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12F0" w14:textId="2D9512D5" w:rsidR="002A6FD4" w:rsidRPr="005E064D" w:rsidRDefault="006E7AE7" w:rsidP="002A6FD4">
      <w:pPr>
        <w:pStyle w:val="Mainheading"/>
      </w:pPr>
      <w:bookmarkStart w:id="0" w:name="_GoBack"/>
      <w:bookmarkEnd w:id="0"/>
      <w:r>
        <w:t>Combining NHS bodies</w:t>
      </w:r>
    </w:p>
    <w:p w14:paraId="53EB48AB" w14:textId="7BD2AF5B" w:rsidR="002A6FD4" w:rsidRPr="005E064D" w:rsidRDefault="008D1445" w:rsidP="002A6FD4">
      <w:pPr>
        <w:pStyle w:val="Strapline"/>
      </w:pPr>
      <w:r>
        <w:t>Review of 2016/17 accounts</w:t>
      </w:r>
    </w:p>
    <w:p w14:paraId="490BF17A" w14:textId="77777777" w:rsidR="006E7AE7" w:rsidRPr="006E7AE7" w:rsidRDefault="006E7AE7" w:rsidP="006E7AE7">
      <w:pPr>
        <w:pStyle w:val="Heading1"/>
      </w:pPr>
      <w:r w:rsidRPr="006E7AE7">
        <w:t>A practical checklist for mergers and acquisitions</w:t>
      </w:r>
    </w:p>
    <w:p w14:paraId="6A3BBA2C" w14:textId="77777777" w:rsidR="006E7AE7" w:rsidRPr="003F405D" w:rsidRDefault="006E7AE7" w:rsidP="006E7AE7">
      <w:pPr>
        <w:pStyle w:val="Heading2"/>
      </w:pPr>
      <w:r w:rsidRPr="003F405D">
        <w:t>List of key issues for the chief financial officer</w:t>
      </w:r>
    </w:p>
    <w:p w14:paraId="1062168F" w14:textId="77777777" w:rsidR="006E7AE7" w:rsidRPr="003F405D" w:rsidRDefault="006E7AE7" w:rsidP="006E7AE7">
      <w:pPr>
        <w:rPr>
          <w:rFonts w:cs="Arial"/>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02"/>
      </w:tblGrid>
      <w:tr w:rsidR="006E7AE7" w:rsidRPr="00A760AA" w14:paraId="7E837969" w14:textId="77777777" w:rsidTr="009E2768">
        <w:trPr>
          <w:tblHeader/>
        </w:trPr>
        <w:tc>
          <w:tcPr>
            <w:tcW w:w="5637" w:type="dxa"/>
            <w:shd w:val="clear" w:color="auto" w:fill="auto"/>
          </w:tcPr>
          <w:p w14:paraId="1E0826FF" w14:textId="77777777" w:rsidR="006E7AE7" w:rsidRPr="00A760AA" w:rsidRDefault="006E7AE7" w:rsidP="009E2768">
            <w:pPr>
              <w:pStyle w:val="Bodytext"/>
              <w:rPr>
                <w:b/>
                <w:lang w:eastAsia="en-GB"/>
              </w:rPr>
            </w:pPr>
          </w:p>
        </w:tc>
        <w:tc>
          <w:tcPr>
            <w:tcW w:w="3402" w:type="dxa"/>
            <w:shd w:val="clear" w:color="auto" w:fill="auto"/>
          </w:tcPr>
          <w:p w14:paraId="39CCBD35" w14:textId="77777777" w:rsidR="006E7AE7" w:rsidRPr="00A760AA" w:rsidRDefault="006E7AE7" w:rsidP="009E2768">
            <w:pPr>
              <w:pStyle w:val="Bodytext"/>
              <w:rPr>
                <w:b/>
                <w:lang w:eastAsia="en-GB"/>
              </w:rPr>
            </w:pPr>
            <w:r w:rsidRPr="00A760AA">
              <w:rPr>
                <w:b/>
                <w:lang w:eastAsia="en-GB"/>
              </w:rPr>
              <w:t>Place where documentation is held</w:t>
            </w:r>
          </w:p>
        </w:tc>
      </w:tr>
      <w:tr w:rsidR="006E7AE7" w:rsidRPr="003F405D" w14:paraId="3B665E56" w14:textId="77777777" w:rsidTr="009E2768">
        <w:tc>
          <w:tcPr>
            <w:tcW w:w="5637" w:type="dxa"/>
            <w:shd w:val="clear" w:color="auto" w:fill="auto"/>
          </w:tcPr>
          <w:p w14:paraId="14D5A536" w14:textId="77777777" w:rsidR="006E7AE7" w:rsidRPr="00A442AF" w:rsidRDefault="006E7AE7" w:rsidP="009E2768">
            <w:pPr>
              <w:pStyle w:val="Bodytext"/>
              <w:rPr>
                <w:lang w:eastAsia="en-GB"/>
              </w:rPr>
            </w:pPr>
            <w:r w:rsidRPr="00A442AF">
              <w:rPr>
                <w:lang w:eastAsia="en-GB"/>
              </w:rPr>
              <w:t>Understand the process for the reorganisation. This will be different from reorganisation to reorganisation</w:t>
            </w:r>
          </w:p>
        </w:tc>
        <w:tc>
          <w:tcPr>
            <w:tcW w:w="3402" w:type="dxa"/>
            <w:shd w:val="clear" w:color="auto" w:fill="auto"/>
          </w:tcPr>
          <w:p w14:paraId="632FCA07" w14:textId="77777777" w:rsidR="006E7AE7" w:rsidRPr="00A442AF" w:rsidRDefault="006E7AE7" w:rsidP="009E2768">
            <w:pPr>
              <w:pStyle w:val="Bodytext"/>
              <w:rPr>
                <w:i/>
                <w:lang w:eastAsia="en-GB"/>
              </w:rPr>
            </w:pPr>
          </w:p>
        </w:tc>
      </w:tr>
      <w:tr w:rsidR="006E7AE7" w:rsidRPr="003F405D" w14:paraId="2549A713" w14:textId="77777777" w:rsidTr="009E2768">
        <w:tc>
          <w:tcPr>
            <w:tcW w:w="5637" w:type="dxa"/>
            <w:shd w:val="clear" w:color="auto" w:fill="auto"/>
          </w:tcPr>
          <w:p w14:paraId="613DE361" w14:textId="77777777" w:rsidR="006E7AE7" w:rsidRPr="00A442AF" w:rsidRDefault="006E7AE7" w:rsidP="009E2768">
            <w:pPr>
              <w:pStyle w:val="Bodytext"/>
              <w:rPr>
                <w:lang w:eastAsia="en-GB"/>
              </w:rPr>
            </w:pPr>
            <w:r w:rsidRPr="00A442AF">
              <w:rPr>
                <w:lang w:eastAsia="en-GB"/>
              </w:rPr>
              <w:t>Understand, document and agree the funding arrangements for any financing required for the reorganisation. This will include:</w:t>
            </w:r>
          </w:p>
          <w:p w14:paraId="1E48EDC9" w14:textId="77777777" w:rsidR="006E7AE7" w:rsidRPr="00A442AF" w:rsidRDefault="006E7AE7" w:rsidP="009E2768">
            <w:pPr>
              <w:pStyle w:val="Bullet"/>
              <w:rPr>
                <w:lang w:eastAsia="en-GB"/>
              </w:rPr>
            </w:pPr>
            <w:r>
              <w:rPr>
                <w:lang w:eastAsia="en-GB"/>
              </w:rPr>
              <w:t>t</w:t>
            </w:r>
            <w:r w:rsidRPr="00A442AF">
              <w:rPr>
                <w:lang w:eastAsia="en-GB"/>
              </w:rPr>
              <w:t>he form of any funding, e.g. public dividend capital, loans or other cash injections</w:t>
            </w:r>
          </w:p>
          <w:p w14:paraId="6ED700EC" w14:textId="77777777" w:rsidR="006E7AE7" w:rsidRPr="00A442AF" w:rsidRDefault="006E7AE7" w:rsidP="009E2768">
            <w:pPr>
              <w:pStyle w:val="Bullet"/>
              <w:rPr>
                <w:lang w:eastAsia="en-GB"/>
              </w:rPr>
            </w:pPr>
            <w:r>
              <w:rPr>
                <w:lang w:eastAsia="en-GB"/>
              </w:rPr>
              <w:t>t</w:t>
            </w:r>
            <w:r w:rsidRPr="00A442AF">
              <w:rPr>
                <w:lang w:eastAsia="en-GB"/>
              </w:rPr>
              <w:t>he timing of its receipt</w:t>
            </w:r>
          </w:p>
          <w:p w14:paraId="494B53D2" w14:textId="77777777" w:rsidR="006E7AE7" w:rsidRPr="00A442AF" w:rsidRDefault="006E7AE7" w:rsidP="009E2768">
            <w:pPr>
              <w:pStyle w:val="Bullet"/>
              <w:rPr>
                <w:lang w:eastAsia="en-GB"/>
              </w:rPr>
            </w:pPr>
            <w:r>
              <w:rPr>
                <w:lang w:eastAsia="en-GB"/>
              </w:rPr>
              <w:t>a</w:t>
            </w:r>
            <w:r w:rsidRPr="00A442AF">
              <w:rPr>
                <w:lang w:eastAsia="en-GB"/>
              </w:rPr>
              <w:t>ny conditions attached to it</w:t>
            </w:r>
          </w:p>
        </w:tc>
        <w:tc>
          <w:tcPr>
            <w:tcW w:w="3402" w:type="dxa"/>
            <w:shd w:val="clear" w:color="auto" w:fill="auto"/>
          </w:tcPr>
          <w:p w14:paraId="69DB8351" w14:textId="77777777" w:rsidR="006E7AE7" w:rsidRPr="00A442AF" w:rsidRDefault="006E7AE7" w:rsidP="009E2768">
            <w:pPr>
              <w:pStyle w:val="Bodytext"/>
              <w:rPr>
                <w:i/>
                <w:lang w:eastAsia="en-GB"/>
              </w:rPr>
            </w:pPr>
          </w:p>
        </w:tc>
      </w:tr>
      <w:tr w:rsidR="006E7AE7" w:rsidRPr="003F405D" w14:paraId="3640DFD5" w14:textId="77777777" w:rsidTr="009E2768">
        <w:tc>
          <w:tcPr>
            <w:tcW w:w="5637" w:type="dxa"/>
            <w:shd w:val="clear" w:color="auto" w:fill="auto"/>
          </w:tcPr>
          <w:p w14:paraId="159B45EB" w14:textId="77777777" w:rsidR="006E7AE7" w:rsidRPr="00A442AF" w:rsidRDefault="006E7AE7" w:rsidP="009E2768">
            <w:pPr>
              <w:pStyle w:val="Bodytext"/>
              <w:rPr>
                <w:lang w:eastAsia="en-GB"/>
              </w:rPr>
            </w:pPr>
            <w:r w:rsidRPr="00A442AF">
              <w:rPr>
                <w:lang w:eastAsia="en-GB"/>
              </w:rPr>
              <w:t>Obtain copies of the documentation which set out the legalities of the transaction – these may include transfer orders, dissolution orders, transaction agreements, grants of acquisition, or authorisation of merger. The actual documentation may have different names and may be issued by different regulatory bodies</w:t>
            </w:r>
          </w:p>
          <w:p w14:paraId="00D5FCD3" w14:textId="77777777" w:rsidR="006E7AE7" w:rsidRPr="00A442AF" w:rsidRDefault="006E7AE7" w:rsidP="009E2768">
            <w:pPr>
              <w:pStyle w:val="Bodytext"/>
              <w:rPr>
                <w:lang w:eastAsia="en-GB"/>
              </w:rPr>
            </w:pPr>
            <w:r w:rsidRPr="00A442AF">
              <w:rPr>
                <w:lang w:eastAsia="en-GB"/>
              </w:rPr>
              <w:t>All of this documentation should be held centrally and made available to the finance team</w:t>
            </w:r>
          </w:p>
        </w:tc>
        <w:tc>
          <w:tcPr>
            <w:tcW w:w="3402" w:type="dxa"/>
            <w:shd w:val="clear" w:color="auto" w:fill="auto"/>
          </w:tcPr>
          <w:p w14:paraId="2C50E3D3" w14:textId="77777777" w:rsidR="006E7AE7" w:rsidRPr="00A442AF" w:rsidRDefault="006E7AE7" w:rsidP="009E2768">
            <w:pPr>
              <w:pStyle w:val="Bodytext"/>
              <w:rPr>
                <w:i/>
                <w:lang w:eastAsia="en-GB"/>
              </w:rPr>
            </w:pPr>
          </w:p>
        </w:tc>
      </w:tr>
      <w:tr w:rsidR="006E7AE7" w:rsidRPr="003F405D" w14:paraId="5B52CCD5" w14:textId="77777777" w:rsidTr="009E2768">
        <w:tc>
          <w:tcPr>
            <w:tcW w:w="5637" w:type="dxa"/>
            <w:shd w:val="clear" w:color="auto" w:fill="auto"/>
          </w:tcPr>
          <w:p w14:paraId="71D7CCF9" w14:textId="77777777" w:rsidR="006E7AE7" w:rsidRPr="00A442AF" w:rsidRDefault="006E7AE7" w:rsidP="009E2768">
            <w:pPr>
              <w:pStyle w:val="Bodytext"/>
              <w:rPr>
                <w:lang w:eastAsia="en-GB"/>
              </w:rPr>
            </w:pPr>
            <w:r w:rsidRPr="00A442AF">
              <w:rPr>
                <w:lang w:eastAsia="en-GB"/>
              </w:rPr>
              <w:t>Obtain copies of the latest ISA 260 reports and any other reports from auditors for all of the organisations involved in the reorganisation</w:t>
            </w:r>
          </w:p>
        </w:tc>
        <w:tc>
          <w:tcPr>
            <w:tcW w:w="3402" w:type="dxa"/>
            <w:shd w:val="clear" w:color="auto" w:fill="auto"/>
          </w:tcPr>
          <w:p w14:paraId="7EDF65D6" w14:textId="77777777" w:rsidR="006E7AE7" w:rsidRPr="00A442AF" w:rsidRDefault="006E7AE7" w:rsidP="009E2768">
            <w:pPr>
              <w:pStyle w:val="Bodytext"/>
              <w:rPr>
                <w:i/>
                <w:lang w:eastAsia="en-GB"/>
              </w:rPr>
            </w:pPr>
          </w:p>
        </w:tc>
      </w:tr>
      <w:tr w:rsidR="006E7AE7" w:rsidRPr="003F405D" w14:paraId="6E2DDEFB" w14:textId="77777777" w:rsidTr="009E2768">
        <w:tc>
          <w:tcPr>
            <w:tcW w:w="5637" w:type="dxa"/>
            <w:shd w:val="clear" w:color="auto" w:fill="auto"/>
          </w:tcPr>
          <w:p w14:paraId="1288FE98" w14:textId="77777777" w:rsidR="006E7AE7" w:rsidRPr="00A442AF" w:rsidRDefault="006E7AE7" w:rsidP="009E2768">
            <w:pPr>
              <w:pStyle w:val="Bodytext"/>
              <w:rPr>
                <w:lang w:eastAsia="en-GB"/>
              </w:rPr>
            </w:pPr>
            <w:r w:rsidRPr="00A442AF">
              <w:rPr>
                <w:lang w:eastAsia="en-GB"/>
              </w:rPr>
              <w:t>Obtain copies of the latest internal audit reports relating to all of the organisations. Identify outstanding recommendations and consider whether they remain applicable</w:t>
            </w:r>
          </w:p>
        </w:tc>
        <w:tc>
          <w:tcPr>
            <w:tcW w:w="3402" w:type="dxa"/>
            <w:shd w:val="clear" w:color="auto" w:fill="auto"/>
          </w:tcPr>
          <w:p w14:paraId="2C9BC052" w14:textId="77777777" w:rsidR="006E7AE7" w:rsidRPr="00A442AF" w:rsidRDefault="006E7AE7" w:rsidP="009E2768">
            <w:pPr>
              <w:pStyle w:val="Bodytext"/>
              <w:rPr>
                <w:i/>
                <w:lang w:eastAsia="en-GB"/>
              </w:rPr>
            </w:pPr>
          </w:p>
        </w:tc>
      </w:tr>
      <w:tr w:rsidR="006E7AE7" w:rsidRPr="006402A5" w14:paraId="34200940" w14:textId="77777777" w:rsidTr="009E2768">
        <w:tc>
          <w:tcPr>
            <w:tcW w:w="5637" w:type="dxa"/>
            <w:shd w:val="clear" w:color="auto" w:fill="auto"/>
          </w:tcPr>
          <w:p w14:paraId="70D0312D" w14:textId="77777777" w:rsidR="006E7AE7" w:rsidRPr="00A442AF" w:rsidRDefault="006E7AE7" w:rsidP="009E2768">
            <w:pPr>
              <w:pStyle w:val="Bodytext"/>
              <w:rPr>
                <w:lang w:eastAsia="en-GB"/>
              </w:rPr>
            </w:pPr>
            <w:r w:rsidRPr="00A442AF">
              <w:rPr>
                <w:lang w:eastAsia="en-GB"/>
              </w:rPr>
              <w:lastRenderedPageBreak/>
              <w:t>Identify channels of communication, ensure that they are open to all staff and are kept up to date</w:t>
            </w:r>
          </w:p>
        </w:tc>
        <w:tc>
          <w:tcPr>
            <w:tcW w:w="3402" w:type="dxa"/>
            <w:shd w:val="clear" w:color="auto" w:fill="auto"/>
          </w:tcPr>
          <w:p w14:paraId="7DFB7E0F" w14:textId="77777777" w:rsidR="006E7AE7" w:rsidRPr="00A442AF" w:rsidRDefault="006E7AE7" w:rsidP="009E2768">
            <w:pPr>
              <w:pStyle w:val="Bodytext"/>
              <w:rPr>
                <w:lang w:eastAsia="en-GB"/>
              </w:rPr>
            </w:pPr>
          </w:p>
        </w:tc>
      </w:tr>
      <w:tr w:rsidR="006E7AE7" w:rsidRPr="006402A5" w14:paraId="6872437C" w14:textId="77777777" w:rsidTr="009E2768">
        <w:tc>
          <w:tcPr>
            <w:tcW w:w="5637" w:type="dxa"/>
            <w:shd w:val="clear" w:color="auto" w:fill="auto"/>
          </w:tcPr>
          <w:p w14:paraId="4C0FA335" w14:textId="77777777" w:rsidR="006E7AE7" w:rsidRPr="00A442AF" w:rsidRDefault="006E7AE7" w:rsidP="009E2768">
            <w:pPr>
              <w:pStyle w:val="Bodytext"/>
              <w:rPr>
                <w:lang w:eastAsia="en-GB"/>
              </w:rPr>
            </w:pPr>
            <w:r>
              <w:rPr>
                <w:lang w:eastAsia="en-GB"/>
              </w:rPr>
              <w:t>Obtain copies of all sustainability and transformation plans/ partnership arrangements the old bodies were involved with.  Ensure that the reorganisation and its impact has been raised and discussed with the appropriate STP</w:t>
            </w:r>
          </w:p>
        </w:tc>
        <w:tc>
          <w:tcPr>
            <w:tcW w:w="3402" w:type="dxa"/>
            <w:shd w:val="clear" w:color="auto" w:fill="auto"/>
          </w:tcPr>
          <w:p w14:paraId="0EF5029F" w14:textId="77777777" w:rsidR="006E7AE7" w:rsidRPr="00A442AF" w:rsidRDefault="006E7AE7" w:rsidP="009E2768">
            <w:pPr>
              <w:pStyle w:val="Bodytext"/>
              <w:rPr>
                <w:lang w:eastAsia="en-GB"/>
              </w:rPr>
            </w:pPr>
          </w:p>
        </w:tc>
      </w:tr>
      <w:tr w:rsidR="006E7AE7" w:rsidRPr="006402A5" w14:paraId="27988FE1" w14:textId="77777777" w:rsidTr="009E2768">
        <w:tc>
          <w:tcPr>
            <w:tcW w:w="5637" w:type="dxa"/>
            <w:shd w:val="clear" w:color="auto" w:fill="auto"/>
          </w:tcPr>
          <w:p w14:paraId="0293CEF5" w14:textId="77777777" w:rsidR="006E7AE7" w:rsidRPr="00A442AF" w:rsidRDefault="006E7AE7" w:rsidP="009E2768">
            <w:pPr>
              <w:pStyle w:val="Bodytext"/>
              <w:rPr>
                <w:lang w:eastAsia="en-GB"/>
              </w:rPr>
            </w:pPr>
            <w:r>
              <w:rPr>
                <w:lang w:eastAsia="en-GB"/>
              </w:rPr>
              <w:t>Ensure that representation on appropriate STP/ health economy committees is retained</w:t>
            </w:r>
          </w:p>
        </w:tc>
        <w:tc>
          <w:tcPr>
            <w:tcW w:w="3402" w:type="dxa"/>
            <w:shd w:val="clear" w:color="auto" w:fill="auto"/>
          </w:tcPr>
          <w:p w14:paraId="7B77377C" w14:textId="77777777" w:rsidR="006E7AE7" w:rsidRPr="00A442AF" w:rsidRDefault="006E7AE7" w:rsidP="009E2768">
            <w:pPr>
              <w:pStyle w:val="Bodytext"/>
              <w:rPr>
                <w:lang w:eastAsia="en-GB"/>
              </w:rPr>
            </w:pPr>
          </w:p>
        </w:tc>
      </w:tr>
      <w:tr w:rsidR="006E7AE7" w:rsidRPr="006402A5" w14:paraId="4DD3E229" w14:textId="77777777" w:rsidTr="009E2768">
        <w:tc>
          <w:tcPr>
            <w:tcW w:w="5637" w:type="dxa"/>
            <w:shd w:val="clear" w:color="auto" w:fill="auto"/>
          </w:tcPr>
          <w:p w14:paraId="22D470A6" w14:textId="77777777" w:rsidR="006E7AE7" w:rsidRPr="00A442AF" w:rsidRDefault="006E7AE7" w:rsidP="009E2768">
            <w:pPr>
              <w:pStyle w:val="Bodytext"/>
              <w:rPr>
                <w:lang w:eastAsia="en-GB"/>
              </w:rPr>
            </w:pPr>
            <w:r>
              <w:rPr>
                <w:lang w:eastAsia="en-GB"/>
              </w:rPr>
              <w:t>Consider whether STP governance arrangements need to be revised to reflect the new structure</w:t>
            </w:r>
          </w:p>
        </w:tc>
        <w:tc>
          <w:tcPr>
            <w:tcW w:w="3402" w:type="dxa"/>
            <w:shd w:val="clear" w:color="auto" w:fill="auto"/>
          </w:tcPr>
          <w:p w14:paraId="4AF255D6" w14:textId="77777777" w:rsidR="006E7AE7" w:rsidRPr="00A442AF" w:rsidRDefault="006E7AE7" w:rsidP="009E2768">
            <w:pPr>
              <w:pStyle w:val="Bodytext"/>
              <w:rPr>
                <w:lang w:eastAsia="en-GB"/>
              </w:rPr>
            </w:pPr>
          </w:p>
        </w:tc>
      </w:tr>
      <w:tr w:rsidR="006E7AE7" w:rsidRPr="006402A5" w14:paraId="23CDDCE9" w14:textId="77777777" w:rsidTr="009E2768">
        <w:tc>
          <w:tcPr>
            <w:tcW w:w="5637" w:type="dxa"/>
            <w:shd w:val="clear" w:color="auto" w:fill="auto"/>
          </w:tcPr>
          <w:p w14:paraId="54981C8E" w14:textId="77777777" w:rsidR="006E7AE7" w:rsidRDefault="006E7AE7" w:rsidP="009E2768">
            <w:pPr>
              <w:pStyle w:val="Bodytext"/>
              <w:rPr>
                <w:lang w:eastAsia="en-GB"/>
              </w:rPr>
            </w:pPr>
          </w:p>
        </w:tc>
        <w:tc>
          <w:tcPr>
            <w:tcW w:w="3402" w:type="dxa"/>
            <w:shd w:val="clear" w:color="auto" w:fill="auto"/>
          </w:tcPr>
          <w:p w14:paraId="6A8C4F5F" w14:textId="77777777" w:rsidR="006E7AE7" w:rsidRPr="00A442AF" w:rsidRDefault="006E7AE7" w:rsidP="009E2768">
            <w:pPr>
              <w:pStyle w:val="Bodytext"/>
              <w:rPr>
                <w:lang w:eastAsia="en-GB"/>
              </w:rPr>
            </w:pPr>
          </w:p>
        </w:tc>
      </w:tr>
      <w:tr w:rsidR="006E7AE7" w:rsidRPr="006402A5" w14:paraId="587C3F47" w14:textId="77777777" w:rsidTr="009E2768">
        <w:tc>
          <w:tcPr>
            <w:tcW w:w="5637" w:type="dxa"/>
            <w:shd w:val="clear" w:color="auto" w:fill="auto"/>
          </w:tcPr>
          <w:p w14:paraId="2BA0919D" w14:textId="77777777" w:rsidR="006E7AE7" w:rsidRDefault="006E7AE7" w:rsidP="009E2768">
            <w:pPr>
              <w:pStyle w:val="Bodytext"/>
              <w:rPr>
                <w:lang w:eastAsia="en-GB"/>
              </w:rPr>
            </w:pPr>
          </w:p>
        </w:tc>
        <w:tc>
          <w:tcPr>
            <w:tcW w:w="3402" w:type="dxa"/>
            <w:shd w:val="clear" w:color="auto" w:fill="auto"/>
          </w:tcPr>
          <w:p w14:paraId="49FF0C00" w14:textId="77777777" w:rsidR="006E7AE7" w:rsidRPr="00A442AF" w:rsidRDefault="006E7AE7" w:rsidP="009E2768">
            <w:pPr>
              <w:pStyle w:val="Bodytext"/>
              <w:rPr>
                <w:lang w:eastAsia="en-GB"/>
              </w:rPr>
            </w:pPr>
          </w:p>
        </w:tc>
      </w:tr>
    </w:tbl>
    <w:p w14:paraId="31947A7C" w14:textId="77777777" w:rsidR="006E7AE7" w:rsidRDefault="006E7AE7" w:rsidP="006E7AE7">
      <w:pPr>
        <w:rPr>
          <w:rFonts w:cs="Arial"/>
          <w:b/>
          <w:szCs w:val="22"/>
        </w:rPr>
      </w:pPr>
    </w:p>
    <w:p w14:paraId="282BABE8" w14:textId="77777777" w:rsidR="006E7AE7" w:rsidRPr="006402A5" w:rsidRDefault="006E7AE7" w:rsidP="006E7AE7">
      <w:pPr>
        <w:pStyle w:val="Heading2"/>
      </w:pPr>
      <w:r w:rsidRPr="006402A5">
        <w:t>SECTION A: CORPORATE GOVERNANCE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1C9C8DB5" w14:textId="77777777" w:rsidTr="009E2768">
        <w:trPr>
          <w:tblHeader/>
        </w:trPr>
        <w:tc>
          <w:tcPr>
            <w:tcW w:w="6345" w:type="dxa"/>
          </w:tcPr>
          <w:p w14:paraId="2E6EBA59" w14:textId="77777777" w:rsidR="006E7AE7" w:rsidRPr="00A760AA" w:rsidRDefault="006E7AE7" w:rsidP="009E2768">
            <w:pPr>
              <w:pStyle w:val="Bodytext"/>
              <w:rPr>
                <w:b/>
              </w:rPr>
            </w:pPr>
            <w:r w:rsidRPr="00A760AA">
              <w:rPr>
                <w:b/>
              </w:rPr>
              <w:t>Corporate governance and committees</w:t>
            </w:r>
          </w:p>
        </w:tc>
        <w:tc>
          <w:tcPr>
            <w:tcW w:w="1134" w:type="dxa"/>
          </w:tcPr>
          <w:p w14:paraId="68EFC4B7" w14:textId="77777777" w:rsidR="006E7AE7" w:rsidRPr="00A760AA" w:rsidRDefault="006E7AE7" w:rsidP="009E2768">
            <w:pPr>
              <w:pStyle w:val="Bodytext"/>
              <w:rPr>
                <w:b/>
              </w:rPr>
            </w:pPr>
            <w:r w:rsidRPr="00A760AA">
              <w:rPr>
                <w:b/>
              </w:rPr>
              <w:t>Deadline</w:t>
            </w:r>
          </w:p>
        </w:tc>
        <w:tc>
          <w:tcPr>
            <w:tcW w:w="1560" w:type="dxa"/>
          </w:tcPr>
          <w:p w14:paraId="515A9F42" w14:textId="77777777" w:rsidR="006E7AE7" w:rsidRPr="00A760AA" w:rsidRDefault="006E7AE7" w:rsidP="009E2768">
            <w:pPr>
              <w:pStyle w:val="Bodytext"/>
              <w:rPr>
                <w:b/>
              </w:rPr>
            </w:pPr>
            <w:r w:rsidRPr="00A760AA">
              <w:rPr>
                <w:b/>
              </w:rPr>
              <w:t>Responsible individual</w:t>
            </w:r>
          </w:p>
        </w:tc>
      </w:tr>
      <w:tr w:rsidR="006E7AE7" w:rsidRPr="006402A5" w14:paraId="38DA12F5" w14:textId="77777777" w:rsidTr="009E2768">
        <w:tc>
          <w:tcPr>
            <w:tcW w:w="6345" w:type="dxa"/>
          </w:tcPr>
          <w:p w14:paraId="3CF50D5B" w14:textId="77777777" w:rsidR="006E7AE7" w:rsidRPr="006402A5" w:rsidRDefault="006E7AE7" w:rsidP="009E2768">
            <w:pPr>
              <w:pStyle w:val="Bodytext"/>
            </w:pPr>
            <w:r w:rsidRPr="006402A5">
              <w:t>Agree the strategic objectives and business plan for the new NHS body and assess the financial impact of those plans and objectives</w:t>
            </w:r>
          </w:p>
          <w:p w14:paraId="200E232B" w14:textId="77777777" w:rsidR="006E7AE7" w:rsidRPr="006402A5" w:rsidRDefault="006E7AE7" w:rsidP="009E2768">
            <w:pPr>
              <w:pStyle w:val="Bodytext"/>
            </w:pPr>
            <w:r w:rsidRPr="006402A5">
              <w:t>Where the reorganisation occurs part way through a financial year, agree and submit part</w:t>
            </w:r>
            <w:r>
              <w:t>-</w:t>
            </w:r>
            <w:r w:rsidRPr="006402A5">
              <w:t>year plans to the appropriate regulator as well as plans for the next full financial year</w:t>
            </w:r>
          </w:p>
          <w:p w14:paraId="5967EA8F" w14:textId="77777777" w:rsidR="006E7AE7" w:rsidRPr="006402A5" w:rsidRDefault="006E7AE7" w:rsidP="009E2768">
            <w:pPr>
              <w:pStyle w:val="Bodytext"/>
            </w:pPr>
            <w:r w:rsidRPr="006402A5">
              <w:t>Consider the arrangements necessary to prepare and submit financial reports for the old bodies up to the vesting date and for the final period of operation</w:t>
            </w:r>
          </w:p>
          <w:p w14:paraId="029E43CC" w14:textId="77777777" w:rsidR="006E7AE7" w:rsidRPr="006402A5" w:rsidRDefault="006E7AE7" w:rsidP="009E2768">
            <w:pPr>
              <w:pStyle w:val="Bodytext"/>
            </w:pPr>
            <w:r w:rsidRPr="006402A5">
              <w:t>Ensure that financial and other returns are made to regulatory bodies both before and after the vesting date</w:t>
            </w:r>
          </w:p>
          <w:p w14:paraId="0C9BA667" w14:textId="77777777" w:rsidR="006E7AE7" w:rsidRPr="006402A5" w:rsidRDefault="006E7AE7" w:rsidP="009E2768">
            <w:pPr>
              <w:pStyle w:val="Bodytext"/>
            </w:pPr>
            <w:r>
              <w:t>(</w:t>
            </w:r>
            <w:r w:rsidRPr="006402A5">
              <w:t>Before vesting</w:t>
            </w:r>
            <w:r>
              <w:t>)</w:t>
            </w:r>
            <w:r w:rsidRPr="006402A5">
              <w:t xml:space="preserve"> Agree how all of the governing bodies involved will be informed of pro</w:t>
            </w:r>
            <w:r>
              <w:t>gr</w:t>
            </w:r>
            <w:r w:rsidRPr="006402A5">
              <w:t>ess against the project plan so they can act in an integrated way. This may be through a committee structure or an individual post (for example, the chair, governing body secretary or company secretary). Ensure the process is transparent</w:t>
            </w:r>
          </w:p>
          <w:p w14:paraId="4A4B8739" w14:textId="77777777" w:rsidR="006E7AE7" w:rsidRPr="006402A5" w:rsidRDefault="006E7AE7" w:rsidP="009E2768">
            <w:pPr>
              <w:pStyle w:val="Bodytext"/>
            </w:pPr>
            <w:r>
              <w:t>(</w:t>
            </w:r>
            <w:r w:rsidRPr="006402A5">
              <w:t>After vesting</w:t>
            </w:r>
            <w:r>
              <w:t>)</w:t>
            </w:r>
            <w:r w:rsidRPr="006402A5">
              <w:t xml:space="preserve"> Agree how the governing body will be informed of progress against the project plan. This may be through a committee structure or an individual post (for example, the Chair, governing body secretary or company secretary). Ensure the process is transparent</w:t>
            </w:r>
          </w:p>
          <w:p w14:paraId="4E8F8351" w14:textId="77777777" w:rsidR="006E7AE7" w:rsidRPr="006402A5" w:rsidRDefault="006E7AE7" w:rsidP="009E2768">
            <w:pPr>
              <w:pStyle w:val="Bodytext"/>
            </w:pPr>
            <w:r w:rsidRPr="006402A5">
              <w:t>Identify all standing committees and review their purpose and terms of reference</w:t>
            </w:r>
          </w:p>
          <w:p w14:paraId="72ADA160" w14:textId="77777777" w:rsidR="006E7AE7" w:rsidRPr="006402A5" w:rsidRDefault="006E7AE7" w:rsidP="009E2768">
            <w:pPr>
              <w:pStyle w:val="Bodytext"/>
            </w:pPr>
            <w:r w:rsidRPr="006402A5">
              <w:lastRenderedPageBreak/>
              <w:t>Agree the new committee structure</w:t>
            </w:r>
            <w:r w:rsidRPr="006402A5">
              <w:rPr>
                <w:rStyle w:val="FootnoteReference"/>
                <w:rFonts w:cs="Arial"/>
                <w:szCs w:val="22"/>
              </w:rPr>
              <w:footnoteReference w:id="1"/>
            </w:r>
            <w:r w:rsidRPr="006402A5">
              <w:t xml:space="preserve"> and develop terms of reference, as necessary</w:t>
            </w:r>
            <w:r>
              <w:t>,</w:t>
            </w:r>
            <w:r w:rsidRPr="006402A5">
              <w:t xml:space="preserve"> to include:</w:t>
            </w:r>
          </w:p>
          <w:p w14:paraId="0A14CFBF" w14:textId="77777777" w:rsidR="006E7AE7" w:rsidRPr="006402A5" w:rsidRDefault="006E7AE7" w:rsidP="009E2768">
            <w:pPr>
              <w:pStyle w:val="Bullet"/>
            </w:pPr>
            <w:r>
              <w:t>r</w:t>
            </w:r>
            <w:r w:rsidRPr="006402A5">
              <w:t xml:space="preserve">emuneration committee </w:t>
            </w:r>
          </w:p>
          <w:p w14:paraId="5B728D34" w14:textId="77777777" w:rsidR="006E7AE7" w:rsidRPr="006402A5" w:rsidRDefault="006E7AE7" w:rsidP="009E2768">
            <w:pPr>
              <w:pStyle w:val="Bullet"/>
            </w:pPr>
            <w:r>
              <w:t>a</w:t>
            </w:r>
            <w:r w:rsidRPr="006402A5">
              <w:t xml:space="preserve">udit committee </w:t>
            </w:r>
          </w:p>
          <w:p w14:paraId="549FF448" w14:textId="77777777" w:rsidR="006E7AE7" w:rsidRPr="006402A5" w:rsidRDefault="006E7AE7" w:rsidP="009E2768">
            <w:pPr>
              <w:pStyle w:val="Bullet"/>
            </w:pPr>
            <w:r w:rsidRPr="006402A5">
              <w:t>(</w:t>
            </w:r>
            <w:r>
              <w:t>provider bodies</w:t>
            </w:r>
            <w:r w:rsidRPr="006402A5">
              <w:t>)</w:t>
            </w:r>
            <w:r>
              <w:t xml:space="preserve"> c</w:t>
            </w:r>
            <w:r w:rsidRPr="006402A5">
              <w:t xml:space="preserve">linical governance committee </w:t>
            </w:r>
          </w:p>
          <w:p w14:paraId="176B59AE" w14:textId="77777777" w:rsidR="006E7AE7" w:rsidRPr="006402A5" w:rsidRDefault="006E7AE7" w:rsidP="009E2768">
            <w:pPr>
              <w:pStyle w:val="Bullet"/>
            </w:pPr>
            <w:r w:rsidRPr="006402A5">
              <w:t>(</w:t>
            </w:r>
            <w:r>
              <w:t>CCGs</w:t>
            </w:r>
            <w:r w:rsidRPr="006402A5">
              <w:t>)</w:t>
            </w:r>
            <w:r>
              <w:t xml:space="preserve"> q</w:t>
            </w:r>
            <w:r w:rsidRPr="006402A5">
              <w:t xml:space="preserve">uality committee </w:t>
            </w:r>
          </w:p>
          <w:p w14:paraId="0C5C34CB" w14:textId="77777777" w:rsidR="006E7AE7" w:rsidRPr="006402A5" w:rsidRDefault="006E7AE7" w:rsidP="009E2768">
            <w:pPr>
              <w:pStyle w:val="Bodytext"/>
            </w:pPr>
            <w:r w:rsidRPr="006402A5">
              <w:t>Consider other committees that are an integral part of the governance structure or that are required due to the nature of the NHS body. Agree their purpose, terms of reference and appropriate duration. For example, should they be:</w:t>
            </w:r>
          </w:p>
          <w:p w14:paraId="4861F549" w14:textId="77777777" w:rsidR="006E7AE7" w:rsidRPr="006402A5" w:rsidRDefault="006E7AE7" w:rsidP="009E2768">
            <w:pPr>
              <w:pStyle w:val="Bullet"/>
            </w:pPr>
            <w:r>
              <w:t>p</w:t>
            </w:r>
            <w:r w:rsidRPr="006402A5">
              <w:t>ermanent</w:t>
            </w:r>
          </w:p>
          <w:p w14:paraId="710BCB6E" w14:textId="77777777" w:rsidR="006E7AE7" w:rsidRPr="006402A5" w:rsidRDefault="006E7AE7" w:rsidP="009E2768">
            <w:pPr>
              <w:pStyle w:val="Bullet"/>
            </w:pPr>
            <w:r>
              <w:t>t</w:t>
            </w:r>
            <w:r w:rsidRPr="006402A5">
              <w:t>ime limited – for example, to put in place arrangements that the governing body will govern in the long term or to act as a project oversight committee</w:t>
            </w:r>
          </w:p>
          <w:p w14:paraId="6C8839F6" w14:textId="77777777" w:rsidR="006E7AE7" w:rsidRPr="006402A5" w:rsidRDefault="006E7AE7" w:rsidP="009E2768">
            <w:pPr>
              <w:pStyle w:val="Bodytext"/>
            </w:pPr>
            <w:r w:rsidRPr="006402A5">
              <w:t>Other committees may include:</w:t>
            </w:r>
          </w:p>
          <w:p w14:paraId="41248E13" w14:textId="77777777" w:rsidR="006E7AE7" w:rsidRPr="006402A5" w:rsidRDefault="006E7AE7" w:rsidP="009E2768">
            <w:pPr>
              <w:pStyle w:val="Bullet"/>
            </w:pPr>
            <w:r>
              <w:t>f</w:t>
            </w:r>
            <w:r w:rsidRPr="006402A5">
              <w:t>inance</w:t>
            </w:r>
          </w:p>
          <w:p w14:paraId="326B448C" w14:textId="77777777" w:rsidR="006E7AE7" w:rsidRPr="006402A5" w:rsidRDefault="006E7AE7" w:rsidP="009E2768">
            <w:pPr>
              <w:pStyle w:val="Bullet"/>
            </w:pPr>
            <w:r>
              <w:t>r</w:t>
            </w:r>
            <w:r w:rsidRPr="006402A5">
              <w:t xml:space="preserve">isk management </w:t>
            </w:r>
          </w:p>
          <w:p w14:paraId="583179F0" w14:textId="77777777" w:rsidR="006E7AE7" w:rsidRPr="006402A5" w:rsidRDefault="006E7AE7" w:rsidP="009E2768">
            <w:pPr>
              <w:pStyle w:val="Bullet"/>
            </w:pPr>
            <w:r>
              <w:t>c</w:t>
            </w:r>
            <w:r w:rsidRPr="006402A5">
              <w:t>haritable funds</w:t>
            </w:r>
          </w:p>
          <w:p w14:paraId="7D1FC62C" w14:textId="77777777" w:rsidR="006E7AE7" w:rsidRPr="006402A5" w:rsidRDefault="006E7AE7" w:rsidP="009E2768">
            <w:pPr>
              <w:pStyle w:val="Bodytext"/>
            </w:pPr>
            <w:r w:rsidRPr="006402A5">
              <w:t>Establish transparent arrangements for declarations, including:</w:t>
            </w:r>
          </w:p>
          <w:p w14:paraId="47028BF5" w14:textId="77777777" w:rsidR="006E7AE7" w:rsidRPr="006402A5" w:rsidRDefault="006E7AE7" w:rsidP="009E2768">
            <w:pPr>
              <w:pStyle w:val="Bullet"/>
            </w:pPr>
            <w:r>
              <w:t>r</w:t>
            </w:r>
            <w:r w:rsidRPr="006402A5">
              <w:t xml:space="preserve">egister of directors’ interests </w:t>
            </w:r>
          </w:p>
          <w:p w14:paraId="47C00727" w14:textId="77777777" w:rsidR="006E7AE7" w:rsidRPr="006402A5" w:rsidRDefault="006E7AE7" w:rsidP="009E2768">
            <w:pPr>
              <w:pStyle w:val="Bullet"/>
            </w:pPr>
            <w:r>
              <w:t>r</w:t>
            </w:r>
            <w:r w:rsidRPr="006402A5">
              <w:t>egister of gifts and hospitality</w:t>
            </w:r>
          </w:p>
          <w:p w14:paraId="2CDF3225" w14:textId="77777777" w:rsidR="006E7AE7" w:rsidRPr="006402A5" w:rsidRDefault="006E7AE7" w:rsidP="009E2768">
            <w:pPr>
              <w:pStyle w:val="Bodytext"/>
            </w:pPr>
            <w:r w:rsidRPr="006402A5">
              <w:t>Production of the annual report and accounts, including all of the signed statements</w:t>
            </w:r>
          </w:p>
          <w:p w14:paraId="09937A28" w14:textId="77777777" w:rsidR="006E7AE7" w:rsidRPr="006402A5" w:rsidRDefault="006E7AE7" w:rsidP="009E2768">
            <w:pPr>
              <w:pStyle w:val="Bodytext"/>
            </w:pPr>
            <w:r w:rsidRPr="006402A5">
              <w:t>Ensure standing orders, schemes of reservation and delegation and standing financial instructions are reviewed, revised and approved by the governing body and that they are made available to all existing and new staff</w:t>
            </w:r>
          </w:p>
          <w:p w14:paraId="79C1F34B" w14:textId="77777777" w:rsidR="006E7AE7" w:rsidRPr="006402A5" w:rsidRDefault="006E7AE7" w:rsidP="009E2768">
            <w:pPr>
              <w:pStyle w:val="Bodytext"/>
            </w:pPr>
            <w:r w:rsidRPr="006402A5">
              <w:t>Agree and implement robust assurance arrangements including:</w:t>
            </w:r>
          </w:p>
          <w:p w14:paraId="209F8F3E" w14:textId="77777777" w:rsidR="006E7AE7" w:rsidRPr="006402A5" w:rsidRDefault="006E7AE7" w:rsidP="009E2768">
            <w:pPr>
              <w:pStyle w:val="Bullet"/>
            </w:pPr>
            <w:r>
              <w:t>i</w:t>
            </w:r>
            <w:r w:rsidRPr="006402A5">
              <w:t>nternal and external audit plans</w:t>
            </w:r>
          </w:p>
          <w:p w14:paraId="2446EEE7" w14:textId="77777777" w:rsidR="006E7AE7" w:rsidRPr="006402A5" w:rsidRDefault="006E7AE7" w:rsidP="009E2768">
            <w:pPr>
              <w:pStyle w:val="Bullet"/>
            </w:pPr>
            <w:r>
              <w:t>m</w:t>
            </w:r>
            <w:r w:rsidRPr="006402A5">
              <w:t>echanisms for learning from other inspectorate/ review bodies such as the CQC, counter fraud specialists and the Health and Safety Executive</w:t>
            </w:r>
          </w:p>
          <w:p w14:paraId="5047E24B" w14:textId="77777777" w:rsidR="006E7AE7" w:rsidRPr="006402A5" w:rsidRDefault="006E7AE7" w:rsidP="009E2768">
            <w:pPr>
              <w:pStyle w:val="Bodytext"/>
            </w:pPr>
            <w:r w:rsidRPr="006402A5">
              <w:t>Establish a process for the governing body to share</w:t>
            </w:r>
            <w:r>
              <w:t xml:space="preserve"> knowledge</w:t>
            </w:r>
            <w:r w:rsidRPr="006402A5">
              <w:t xml:space="preserve"> with – and learn from – partners, service users, staff and stakeholders</w:t>
            </w:r>
          </w:p>
          <w:p w14:paraId="70C130EF" w14:textId="77777777" w:rsidR="006E7AE7" w:rsidRPr="006402A5" w:rsidRDefault="006E7AE7" w:rsidP="009E2768">
            <w:pPr>
              <w:pStyle w:val="Bodytext"/>
            </w:pPr>
            <w:r w:rsidRPr="006402A5">
              <w:t xml:space="preserve">Establish a system for the creation and maintenance of a financial procedures manual including losses and compensations register </w:t>
            </w:r>
          </w:p>
          <w:p w14:paraId="3E7F2AEC" w14:textId="77777777" w:rsidR="006E7AE7" w:rsidRPr="006402A5" w:rsidRDefault="006E7AE7" w:rsidP="009E2768">
            <w:pPr>
              <w:pStyle w:val="Bodytext"/>
            </w:pPr>
            <w:r w:rsidRPr="006402A5">
              <w:lastRenderedPageBreak/>
              <w:t>Ensure that a robust and auditable process exists to report all financial matters transparently to the audit committee and the governing body</w:t>
            </w:r>
          </w:p>
          <w:p w14:paraId="2F9E815E" w14:textId="77777777" w:rsidR="006E7AE7" w:rsidRPr="006402A5" w:rsidRDefault="006E7AE7" w:rsidP="009E2768">
            <w:pPr>
              <w:pStyle w:val="Bodytext"/>
            </w:pPr>
            <w:r>
              <w:t>(Provider bodies)</w:t>
            </w:r>
            <w:r w:rsidRPr="006402A5">
              <w:t xml:space="preserve"> </w:t>
            </w:r>
            <w:r>
              <w:t>E</w:t>
            </w:r>
            <w:r w:rsidRPr="006402A5">
              <w:t xml:space="preserve">nsure that arrangements for assurance over the quality of healthcare services continue to the point of demise of the old bodies and from the vesting date of the new.  </w:t>
            </w:r>
          </w:p>
          <w:p w14:paraId="6ED5C09F" w14:textId="77777777" w:rsidR="006E7AE7" w:rsidRPr="006402A5" w:rsidRDefault="006E7AE7" w:rsidP="009E2768">
            <w:pPr>
              <w:pStyle w:val="Bodytext"/>
            </w:pPr>
            <w:r>
              <w:t>(Provider bodies) P</w:t>
            </w:r>
            <w:r w:rsidRPr="006402A5">
              <w:t xml:space="preserve">ut in place arrangements for the governing body to get assurance over service quality for the whole financial year </w:t>
            </w:r>
            <w:r>
              <w:t>as p</w:t>
            </w:r>
            <w:r w:rsidRPr="006402A5">
              <w:t>art</w:t>
            </w:r>
            <w:r>
              <w:t>-</w:t>
            </w:r>
            <w:r w:rsidRPr="006402A5">
              <w:t xml:space="preserve">year quality accounts may not be </w:t>
            </w:r>
            <w:r>
              <w:t>prepared by</w:t>
            </w:r>
            <w:r w:rsidRPr="006402A5">
              <w:t xml:space="preserve"> old bodies</w:t>
            </w:r>
            <w:r>
              <w:t xml:space="preserve"> but the quality account covers a full year.</w:t>
            </w:r>
          </w:p>
        </w:tc>
        <w:tc>
          <w:tcPr>
            <w:tcW w:w="1134" w:type="dxa"/>
          </w:tcPr>
          <w:p w14:paraId="194B8CEC" w14:textId="77777777" w:rsidR="006E7AE7" w:rsidRPr="006402A5" w:rsidRDefault="006E7AE7" w:rsidP="009E2768">
            <w:pPr>
              <w:pStyle w:val="Bodytext"/>
            </w:pPr>
          </w:p>
        </w:tc>
        <w:tc>
          <w:tcPr>
            <w:tcW w:w="1560" w:type="dxa"/>
          </w:tcPr>
          <w:p w14:paraId="026A08A3" w14:textId="77777777" w:rsidR="006E7AE7" w:rsidRPr="006402A5" w:rsidRDefault="006E7AE7" w:rsidP="009E2768">
            <w:pPr>
              <w:pStyle w:val="Bodytext"/>
            </w:pPr>
          </w:p>
        </w:tc>
      </w:tr>
      <w:tr w:rsidR="006E7AE7" w:rsidRPr="006402A5" w14:paraId="14F8DC31" w14:textId="77777777" w:rsidTr="009E2768">
        <w:tc>
          <w:tcPr>
            <w:tcW w:w="6345" w:type="dxa"/>
          </w:tcPr>
          <w:p w14:paraId="21160E42" w14:textId="77777777" w:rsidR="006E7AE7" w:rsidRPr="006402A5" w:rsidRDefault="006E7AE7" w:rsidP="009E2768">
            <w:pPr>
              <w:pStyle w:val="Bodytext"/>
            </w:pPr>
          </w:p>
        </w:tc>
        <w:tc>
          <w:tcPr>
            <w:tcW w:w="1134" w:type="dxa"/>
          </w:tcPr>
          <w:p w14:paraId="662DCEDE" w14:textId="77777777" w:rsidR="006E7AE7" w:rsidRPr="006402A5" w:rsidRDefault="006E7AE7" w:rsidP="009E2768">
            <w:pPr>
              <w:pStyle w:val="Bodytext"/>
            </w:pPr>
          </w:p>
        </w:tc>
        <w:tc>
          <w:tcPr>
            <w:tcW w:w="1560" w:type="dxa"/>
          </w:tcPr>
          <w:p w14:paraId="06661323" w14:textId="77777777" w:rsidR="006E7AE7" w:rsidRPr="006402A5" w:rsidRDefault="006E7AE7" w:rsidP="009E2768">
            <w:pPr>
              <w:pStyle w:val="Bodytext"/>
            </w:pPr>
          </w:p>
        </w:tc>
      </w:tr>
      <w:tr w:rsidR="006E7AE7" w:rsidRPr="006402A5" w14:paraId="3EA1FD76" w14:textId="77777777" w:rsidTr="009E2768">
        <w:tc>
          <w:tcPr>
            <w:tcW w:w="6345" w:type="dxa"/>
          </w:tcPr>
          <w:p w14:paraId="2A23F94D" w14:textId="77777777" w:rsidR="006E7AE7" w:rsidRPr="006402A5" w:rsidRDefault="006E7AE7" w:rsidP="009E2768">
            <w:pPr>
              <w:pStyle w:val="Bodytext"/>
            </w:pPr>
          </w:p>
        </w:tc>
        <w:tc>
          <w:tcPr>
            <w:tcW w:w="1134" w:type="dxa"/>
          </w:tcPr>
          <w:p w14:paraId="411FCCF9" w14:textId="77777777" w:rsidR="006E7AE7" w:rsidRPr="006402A5" w:rsidRDefault="006E7AE7" w:rsidP="009E2768">
            <w:pPr>
              <w:pStyle w:val="Bodytext"/>
            </w:pPr>
          </w:p>
        </w:tc>
        <w:tc>
          <w:tcPr>
            <w:tcW w:w="1560" w:type="dxa"/>
          </w:tcPr>
          <w:p w14:paraId="7C0749AA" w14:textId="77777777" w:rsidR="006E7AE7" w:rsidRPr="006402A5" w:rsidRDefault="006E7AE7" w:rsidP="009E2768">
            <w:pPr>
              <w:pStyle w:val="Bodytext"/>
            </w:pPr>
          </w:p>
        </w:tc>
      </w:tr>
    </w:tbl>
    <w:p w14:paraId="678577B3" w14:textId="77777777" w:rsidR="006E7AE7" w:rsidRPr="006402A5" w:rsidRDefault="006E7AE7" w:rsidP="006E7AE7">
      <w:pPr>
        <w:rPr>
          <w:rFonts w:cs="Arial"/>
          <w:b/>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706943FC" w14:textId="77777777" w:rsidTr="009E2768">
        <w:trPr>
          <w:tblHeader/>
        </w:trPr>
        <w:tc>
          <w:tcPr>
            <w:tcW w:w="6345" w:type="dxa"/>
          </w:tcPr>
          <w:p w14:paraId="064DF415" w14:textId="77777777" w:rsidR="006E7AE7" w:rsidRPr="00A760AA" w:rsidRDefault="006E7AE7" w:rsidP="009E2768">
            <w:pPr>
              <w:pStyle w:val="Bodytext"/>
              <w:rPr>
                <w:b/>
              </w:rPr>
            </w:pPr>
            <w:r w:rsidRPr="00A760AA">
              <w:rPr>
                <w:b/>
              </w:rPr>
              <w:t>Body-level guidance</w:t>
            </w:r>
          </w:p>
        </w:tc>
        <w:tc>
          <w:tcPr>
            <w:tcW w:w="1134" w:type="dxa"/>
          </w:tcPr>
          <w:p w14:paraId="77998C3D" w14:textId="77777777" w:rsidR="006E7AE7" w:rsidRPr="00A760AA" w:rsidRDefault="006E7AE7" w:rsidP="009E2768">
            <w:pPr>
              <w:pStyle w:val="Bodytext"/>
              <w:rPr>
                <w:b/>
              </w:rPr>
            </w:pPr>
            <w:r w:rsidRPr="00A760AA">
              <w:rPr>
                <w:b/>
              </w:rPr>
              <w:t>Deadline</w:t>
            </w:r>
          </w:p>
        </w:tc>
        <w:tc>
          <w:tcPr>
            <w:tcW w:w="1560" w:type="dxa"/>
          </w:tcPr>
          <w:p w14:paraId="58A5EC5B" w14:textId="77777777" w:rsidR="006E7AE7" w:rsidRPr="00A760AA" w:rsidRDefault="006E7AE7" w:rsidP="009E2768">
            <w:pPr>
              <w:pStyle w:val="Bodytext"/>
              <w:rPr>
                <w:b/>
              </w:rPr>
            </w:pPr>
            <w:r w:rsidRPr="00A760AA">
              <w:rPr>
                <w:b/>
              </w:rPr>
              <w:t>Responsible individual</w:t>
            </w:r>
          </w:p>
        </w:tc>
      </w:tr>
      <w:tr w:rsidR="006E7AE7" w:rsidRPr="006402A5" w14:paraId="0D69A304" w14:textId="77777777" w:rsidTr="009E2768">
        <w:trPr>
          <w:trHeight w:val="1248"/>
        </w:trPr>
        <w:tc>
          <w:tcPr>
            <w:tcW w:w="6345" w:type="dxa"/>
          </w:tcPr>
          <w:p w14:paraId="11620E17" w14:textId="77777777" w:rsidR="006E7AE7" w:rsidRPr="006402A5" w:rsidRDefault="006E7AE7" w:rsidP="009E2768">
            <w:pPr>
              <w:pStyle w:val="Bodytext"/>
            </w:pPr>
            <w:r w:rsidRPr="006402A5">
              <w:t xml:space="preserve">Review existing </w:t>
            </w:r>
            <w:r>
              <w:t xml:space="preserve">financial procedures and </w:t>
            </w:r>
            <w:r w:rsidRPr="006402A5">
              <w:t>working practice guidance in all bodies.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tc>
        <w:tc>
          <w:tcPr>
            <w:tcW w:w="1134" w:type="dxa"/>
          </w:tcPr>
          <w:p w14:paraId="79C33F6D" w14:textId="77777777" w:rsidR="006E7AE7" w:rsidRPr="006402A5" w:rsidRDefault="006E7AE7" w:rsidP="009E2768">
            <w:pPr>
              <w:pStyle w:val="Bodytext"/>
            </w:pPr>
          </w:p>
        </w:tc>
        <w:tc>
          <w:tcPr>
            <w:tcW w:w="1560" w:type="dxa"/>
          </w:tcPr>
          <w:p w14:paraId="526525D8" w14:textId="77777777" w:rsidR="006E7AE7" w:rsidRPr="006402A5" w:rsidRDefault="006E7AE7" w:rsidP="009E2768">
            <w:pPr>
              <w:pStyle w:val="Bodytext"/>
            </w:pPr>
          </w:p>
        </w:tc>
      </w:tr>
      <w:tr w:rsidR="006E7AE7" w:rsidRPr="006402A5" w14:paraId="234FA633" w14:textId="77777777" w:rsidTr="009E2768">
        <w:tc>
          <w:tcPr>
            <w:tcW w:w="6345" w:type="dxa"/>
          </w:tcPr>
          <w:p w14:paraId="289F983C" w14:textId="77777777" w:rsidR="006E7AE7" w:rsidRPr="006402A5" w:rsidRDefault="006E7AE7" w:rsidP="009E2768">
            <w:pPr>
              <w:pStyle w:val="Bodytext"/>
            </w:pPr>
            <w:r w:rsidRPr="00374035">
              <w:t>Find out whether the new body needs a new NHS body code from NHS Digital</w:t>
            </w:r>
            <w:r>
              <w:rPr>
                <w:rStyle w:val="FootnoteReference"/>
              </w:rPr>
              <w:footnoteReference w:id="2"/>
            </w:r>
            <w:r w:rsidRPr="00374035">
              <w:t>.  If a new code is required</w:t>
            </w:r>
            <w:r>
              <w:t>,</w:t>
            </w:r>
            <w:r w:rsidRPr="00374035">
              <w:t xml:space="preserve"> </w:t>
            </w:r>
            <w:r>
              <w:t>e</w:t>
            </w:r>
            <w:r w:rsidRPr="00374035">
              <w:t>nsure that a new code is obtained</w:t>
            </w:r>
          </w:p>
        </w:tc>
        <w:tc>
          <w:tcPr>
            <w:tcW w:w="1134" w:type="dxa"/>
          </w:tcPr>
          <w:p w14:paraId="0DA01017" w14:textId="77777777" w:rsidR="006E7AE7" w:rsidRPr="006402A5" w:rsidRDefault="006E7AE7" w:rsidP="009E2768">
            <w:pPr>
              <w:pStyle w:val="Bodytext"/>
            </w:pPr>
          </w:p>
        </w:tc>
        <w:tc>
          <w:tcPr>
            <w:tcW w:w="1560" w:type="dxa"/>
          </w:tcPr>
          <w:p w14:paraId="5095F11C" w14:textId="77777777" w:rsidR="006E7AE7" w:rsidRPr="006402A5" w:rsidRDefault="006E7AE7" w:rsidP="009E2768">
            <w:pPr>
              <w:pStyle w:val="Bodytext"/>
            </w:pPr>
          </w:p>
        </w:tc>
      </w:tr>
      <w:tr w:rsidR="006E7AE7" w:rsidRPr="006402A5" w14:paraId="73548016" w14:textId="77777777" w:rsidTr="009E2768">
        <w:tc>
          <w:tcPr>
            <w:tcW w:w="6345" w:type="dxa"/>
          </w:tcPr>
          <w:p w14:paraId="41A7C300" w14:textId="77777777" w:rsidR="006E7AE7" w:rsidRPr="006402A5" w:rsidRDefault="006E7AE7" w:rsidP="009E2768">
            <w:pPr>
              <w:pStyle w:val="Bodytext"/>
            </w:pPr>
          </w:p>
        </w:tc>
        <w:tc>
          <w:tcPr>
            <w:tcW w:w="1134" w:type="dxa"/>
          </w:tcPr>
          <w:p w14:paraId="5BF0B3FC" w14:textId="77777777" w:rsidR="006E7AE7" w:rsidRPr="006402A5" w:rsidRDefault="006E7AE7" w:rsidP="009E2768">
            <w:pPr>
              <w:pStyle w:val="Bodytext"/>
            </w:pPr>
          </w:p>
        </w:tc>
        <w:tc>
          <w:tcPr>
            <w:tcW w:w="1560" w:type="dxa"/>
          </w:tcPr>
          <w:p w14:paraId="3C35B459" w14:textId="77777777" w:rsidR="006E7AE7" w:rsidRPr="006402A5" w:rsidRDefault="006E7AE7" w:rsidP="009E2768">
            <w:pPr>
              <w:pStyle w:val="Bodytext"/>
            </w:pPr>
          </w:p>
        </w:tc>
      </w:tr>
    </w:tbl>
    <w:p w14:paraId="0BC2D052" w14:textId="77777777" w:rsidR="006E7AE7" w:rsidRPr="006402A5" w:rsidRDefault="006E7AE7" w:rsidP="006E7AE7">
      <w:pPr>
        <w:rPr>
          <w:rFonts w:cs="Arial"/>
          <w:b/>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5CEC0738" w14:textId="77777777" w:rsidTr="009E2768">
        <w:trPr>
          <w:tblHeader/>
        </w:trPr>
        <w:tc>
          <w:tcPr>
            <w:tcW w:w="6345" w:type="dxa"/>
          </w:tcPr>
          <w:p w14:paraId="4BBE84DF" w14:textId="77777777" w:rsidR="006E7AE7" w:rsidRPr="00A760AA" w:rsidRDefault="006E7AE7" w:rsidP="009E2768">
            <w:pPr>
              <w:pStyle w:val="Bodytext"/>
              <w:rPr>
                <w:b/>
              </w:rPr>
            </w:pPr>
            <w:r w:rsidRPr="00A760AA">
              <w:rPr>
                <w:b/>
              </w:rPr>
              <w:t>Detailed due diligence</w:t>
            </w:r>
            <w:r w:rsidRPr="00A760AA">
              <w:rPr>
                <w:rStyle w:val="FootnoteReference"/>
                <w:rFonts w:cs="Arial"/>
                <w:b/>
                <w:szCs w:val="22"/>
              </w:rPr>
              <w:footnoteReference w:id="3"/>
            </w:r>
          </w:p>
        </w:tc>
        <w:tc>
          <w:tcPr>
            <w:tcW w:w="1134" w:type="dxa"/>
          </w:tcPr>
          <w:p w14:paraId="66FC49DB" w14:textId="77777777" w:rsidR="006E7AE7" w:rsidRPr="00A760AA" w:rsidRDefault="006E7AE7" w:rsidP="009E2768">
            <w:pPr>
              <w:pStyle w:val="Bodytext"/>
              <w:rPr>
                <w:b/>
              </w:rPr>
            </w:pPr>
            <w:r w:rsidRPr="00A760AA">
              <w:rPr>
                <w:b/>
              </w:rPr>
              <w:t>Deadline</w:t>
            </w:r>
          </w:p>
        </w:tc>
        <w:tc>
          <w:tcPr>
            <w:tcW w:w="1560" w:type="dxa"/>
          </w:tcPr>
          <w:p w14:paraId="77AA5782" w14:textId="77777777" w:rsidR="006E7AE7" w:rsidRPr="00A760AA" w:rsidRDefault="006E7AE7" w:rsidP="009E2768">
            <w:pPr>
              <w:pStyle w:val="Bodytext"/>
              <w:rPr>
                <w:b/>
              </w:rPr>
            </w:pPr>
            <w:r w:rsidRPr="00A760AA">
              <w:rPr>
                <w:b/>
              </w:rPr>
              <w:t>Responsible individual</w:t>
            </w:r>
          </w:p>
        </w:tc>
      </w:tr>
      <w:tr w:rsidR="006E7AE7" w:rsidRPr="006402A5" w14:paraId="4F5F5595" w14:textId="77777777" w:rsidTr="009E2768">
        <w:trPr>
          <w:trHeight w:val="1248"/>
        </w:trPr>
        <w:tc>
          <w:tcPr>
            <w:tcW w:w="6345" w:type="dxa"/>
          </w:tcPr>
          <w:p w14:paraId="65DDC5E2" w14:textId="77777777" w:rsidR="006E7AE7" w:rsidRPr="006402A5" w:rsidRDefault="006E7AE7" w:rsidP="009E2768">
            <w:pPr>
              <w:pStyle w:val="Bodytext"/>
            </w:pPr>
            <w:r w:rsidRPr="006402A5">
              <w:t>Ensure comprehensive assessment of the costs of change/ merger is made (including any asset write downs and staff redundancy costs)</w:t>
            </w:r>
          </w:p>
          <w:p w14:paraId="07FD6771" w14:textId="77777777" w:rsidR="006E7AE7" w:rsidRPr="006402A5" w:rsidRDefault="006E7AE7" w:rsidP="009E2768">
            <w:pPr>
              <w:pStyle w:val="Bodytext"/>
            </w:pPr>
            <w:r w:rsidRPr="006402A5">
              <w:t>Obtain the most recent set of accounts for each of the bodies involved in the reorganisation</w:t>
            </w:r>
          </w:p>
          <w:p w14:paraId="1F760297" w14:textId="77777777" w:rsidR="006E7AE7" w:rsidRPr="006402A5" w:rsidRDefault="006E7AE7" w:rsidP="009E2768">
            <w:pPr>
              <w:pStyle w:val="Bodytext"/>
            </w:pPr>
            <w:r w:rsidRPr="006402A5">
              <w:lastRenderedPageBreak/>
              <w:t>Undertake a detailed review of the accounts and raise questions with the teams that prepared them. In particular review:</w:t>
            </w:r>
          </w:p>
          <w:p w14:paraId="0D4E189A" w14:textId="77777777" w:rsidR="006E7AE7" w:rsidRPr="006402A5" w:rsidRDefault="006E7AE7" w:rsidP="009E2768">
            <w:pPr>
              <w:pStyle w:val="Bullet"/>
            </w:pPr>
            <w:r>
              <w:t>a</w:t>
            </w:r>
            <w:r w:rsidRPr="006402A5">
              <w:t>ccruals</w:t>
            </w:r>
          </w:p>
          <w:p w14:paraId="081272D6" w14:textId="77777777" w:rsidR="006E7AE7" w:rsidRPr="006402A5" w:rsidRDefault="006E7AE7" w:rsidP="009E2768">
            <w:pPr>
              <w:pStyle w:val="Bullet"/>
            </w:pPr>
            <w:r>
              <w:t>p</w:t>
            </w:r>
            <w:r w:rsidRPr="006402A5">
              <w:t xml:space="preserve">repayments </w:t>
            </w:r>
          </w:p>
          <w:p w14:paraId="46CC39A2" w14:textId="77777777" w:rsidR="006E7AE7" w:rsidRPr="006402A5" w:rsidRDefault="006E7AE7" w:rsidP="009E2768">
            <w:pPr>
              <w:pStyle w:val="Bullet"/>
            </w:pPr>
            <w:r>
              <w:t>d</w:t>
            </w:r>
            <w:r w:rsidRPr="006402A5">
              <w:t>eferred income (particularly research or R&amp;D grants carried forward)</w:t>
            </w:r>
          </w:p>
          <w:p w14:paraId="23CBD70B" w14:textId="77777777" w:rsidR="006E7AE7" w:rsidRPr="006402A5" w:rsidRDefault="006E7AE7" w:rsidP="009E2768">
            <w:pPr>
              <w:pStyle w:val="Bullet"/>
            </w:pPr>
            <w:r>
              <w:t>p</w:t>
            </w:r>
            <w:r w:rsidRPr="006402A5">
              <w:t>rovisions</w:t>
            </w:r>
          </w:p>
          <w:p w14:paraId="5E0576A5" w14:textId="77777777" w:rsidR="006E7AE7" w:rsidRPr="006402A5" w:rsidRDefault="006E7AE7" w:rsidP="009E2768">
            <w:pPr>
              <w:pStyle w:val="Bodytext"/>
            </w:pPr>
            <w:r>
              <w:t>A</w:t>
            </w:r>
            <w:r w:rsidRPr="006402A5">
              <w:t>ll of these</w:t>
            </w:r>
            <w:r>
              <w:t xml:space="preserve"> items</w:t>
            </w:r>
            <w:r w:rsidRPr="006402A5">
              <w:t xml:space="preserve"> involve an element of judgement. Ensure that the supporting documentation is sufficiently detailed to allow all such balances to be followed up</w:t>
            </w:r>
          </w:p>
          <w:p w14:paraId="12A573E2" w14:textId="77777777" w:rsidR="006E7AE7" w:rsidRPr="006402A5" w:rsidRDefault="006E7AE7" w:rsidP="009E2768">
            <w:pPr>
              <w:pStyle w:val="Bodytext"/>
            </w:pPr>
            <w:r w:rsidRPr="006402A5">
              <w:t>Where balances are to be carried forward from the old bodies to the new, determine how they will be cleared by the new body and what documentation/</w:t>
            </w:r>
            <w:r>
              <w:t xml:space="preserve"> </w:t>
            </w:r>
            <w:r w:rsidRPr="006402A5">
              <w:t>information/</w:t>
            </w:r>
            <w:r>
              <w:t xml:space="preserve"> </w:t>
            </w:r>
            <w:r w:rsidRPr="006402A5">
              <w:t>action will be required to allow them to be cleared</w:t>
            </w:r>
          </w:p>
          <w:p w14:paraId="705B53B4" w14:textId="77777777" w:rsidR="006E7AE7" w:rsidRPr="006402A5" w:rsidRDefault="006E7AE7" w:rsidP="009E2768">
            <w:pPr>
              <w:pStyle w:val="Bodytext"/>
            </w:pPr>
            <w:r w:rsidRPr="006402A5">
              <w:t xml:space="preserve">For accruals, ensure that a full list of accruals carried forward from the old bodies has been </w:t>
            </w:r>
            <w:r>
              <w:t>documented</w:t>
            </w:r>
            <w:r w:rsidRPr="006402A5">
              <w:t xml:space="preserve"> and that all accruals are matched to the new body’s payment system so they can be written off as they are paid</w:t>
            </w:r>
          </w:p>
          <w:p w14:paraId="7AA71FD7" w14:textId="77777777" w:rsidR="006E7AE7" w:rsidRPr="006402A5" w:rsidRDefault="006E7AE7" w:rsidP="009E2768">
            <w:pPr>
              <w:pStyle w:val="Bodytext"/>
            </w:pPr>
            <w:r w:rsidRPr="006402A5">
              <w:t>Ensure that all issues identified in the old bodies’ accounts are acted upon prior to the vesting date</w:t>
            </w:r>
          </w:p>
          <w:p w14:paraId="787D7A41" w14:textId="77777777" w:rsidR="006E7AE7" w:rsidRDefault="006E7AE7" w:rsidP="009E2768">
            <w:pPr>
              <w:pStyle w:val="Bodytext"/>
            </w:pPr>
            <w:r w:rsidRPr="006402A5">
              <w:t>Compare accounting policies to identify any differences</w:t>
            </w:r>
          </w:p>
          <w:p w14:paraId="00C81943" w14:textId="77777777" w:rsidR="006E7AE7" w:rsidRPr="006402A5" w:rsidRDefault="006E7AE7" w:rsidP="009E2768">
            <w:pPr>
              <w:pStyle w:val="Bodytext"/>
            </w:pPr>
            <w:r w:rsidRPr="006402A5">
              <w:t>Ask teams to review their own accounts and identify any items which have been rolled forward year on year (these include any items which have been done that way for years without anyone really remembering why)</w:t>
            </w:r>
          </w:p>
          <w:p w14:paraId="177DC661" w14:textId="77777777" w:rsidR="006E7AE7" w:rsidRPr="006402A5" w:rsidRDefault="006E7AE7" w:rsidP="009E2768">
            <w:pPr>
              <w:pStyle w:val="Bodytext"/>
            </w:pPr>
            <w:r w:rsidRPr="006402A5">
              <w:t>Obtain the most recent asset valuation reports. Consider whether the methodologies used are consistent and whether any amendments will be required to reach consistency. Also consider how impairments have been accounted for to ensure consistency</w:t>
            </w:r>
          </w:p>
          <w:p w14:paraId="4F304311" w14:textId="77777777" w:rsidR="006E7AE7" w:rsidRPr="006402A5" w:rsidRDefault="006E7AE7" w:rsidP="009E2768">
            <w:pPr>
              <w:pStyle w:val="Bodytext"/>
            </w:pPr>
            <w:r w:rsidRPr="006402A5">
              <w:t>Where one or more of the old bodies have been in financial difficulties, determine the actual financial position of the legacy bodies including the level of indebtedness.</w:t>
            </w:r>
            <w:r>
              <w:t xml:space="preserve"> </w:t>
            </w:r>
            <w:r w:rsidRPr="006402A5">
              <w:t>Ensure that this level of indebtedness has been taken into account as part of the agreement and is covered by any funding agreement</w:t>
            </w:r>
          </w:p>
          <w:p w14:paraId="0989C1A0" w14:textId="77777777" w:rsidR="006E7AE7" w:rsidRPr="006402A5" w:rsidRDefault="006E7AE7" w:rsidP="009E2768">
            <w:pPr>
              <w:pStyle w:val="Bodytext"/>
            </w:pPr>
            <w:r w:rsidRPr="006402A5">
              <w:t>Undertake analysis to determine the level of legacy financial difficulties which are recurring.</w:t>
            </w:r>
            <w:r>
              <w:t xml:space="preserve"> </w:t>
            </w:r>
            <w:r w:rsidRPr="006402A5">
              <w:t>Develop a plan to manage these recurring costs</w:t>
            </w:r>
          </w:p>
          <w:p w14:paraId="04D5DC36" w14:textId="77777777" w:rsidR="006E7AE7" w:rsidRPr="006402A5" w:rsidRDefault="006E7AE7" w:rsidP="009E2768">
            <w:pPr>
              <w:pStyle w:val="Bodytext"/>
            </w:pPr>
            <w:r w:rsidRPr="006402A5">
              <w:t>Using the financial information available, prepare forecasts of key metrics for the new bodies. Develop the necessary plans to improve or maintain these metrics</w:t>
            </w:r>
          </w:p>
          <w:p w14:paraId="1B6DC93A" w14:textId="77777777" w:rsidR="006E7AE7" w:rsidRDefault="006E7AE7" w:rsidP="009E2768">
            <w:pPr>
              <w:pStyle w:val="Bodytext"/>
            </w:pPr>
            <w:r w:rsidRPr="006402A5">
              <w:lastRenderedPageBreak/>
              <w:t>Identify all subsidiary bodies and joint ventures. Ensure that any share capital is transferred to the new body and that Companies House is appropriately informed. Consider whether the new body will need to prepare consolidated accounts</w:t>
            </w:r>
          </w:p>
          <w:p w14:paraId="5DCD8618" w14:textId="77777777" w:rsidR="006E7AE7" w:rsidRDefault="006E7AE7" w:rsidP="009E2768">
            <w:pPr>
              <w:pStyle w:val="Bodytext"/>
            </w:pPr>
            <w:r w:rsidRPr="006402A5">
              <w:t xml:space="preserve">Identify all </w:t>
            </w:r>
            <w:r>
              <w:t>joint working arrangements</w:t>
            </w:r>
            <w:r w:rsidRPr="006402A5">
              <w:t xml:space="preserve">. Ensure that </w:t>
            </w:r>
            <w:r>
              <w:t>they have been appropriately accounted for.  If the joint arrangement was between bodies which are involved in the reorganisation, consider what the new arrangement will be and how it should be accounted for</w:t>
            </w:r>
          </w:p>
          <w:p w14:paraId="309E2042" w14:textId="77777777" w:rsidR="006E7AE7" w:rsidRPr="006402A5" w:rsidRDefault="006E7AE7" w:rsidP="009E2768">
            <w:pPr>
              <w:pStyle w:val="Bodytext"/>
            </w:pPr>
            <w:r w:rsidRPr="006402A5">
              <w:t>Review the losses and special payments schedule in detail.  Try to identify any transactions which could result in a loss or special payment at an early stage</w:t>
            </w:r>
          </w:p>
        </w:tc>
        <w:tc>
          <w:tcPr>
            <w:tcW w:w="1134" w:type="dxa"/>
          </w:tcPr>
          <w:p w14:paraId="3D486024" w14:textId="77777777" w:rsidR="006E7AE7" w:rsidRPr="006402A5" w:rsidRDefault="006E7AE7" w:rsidP="009E2768">
            <w:pPr>
              <w:pStyle w:val="Bodytext"/>
            </w:pPr>
          </w:p>
        </w:tc>
        <w:tc>
          <w:tcPr>
            <w:tcW w:w="1560" w:type="dxa"/>
          </w:tcPr>
          <w:p w14:paraId="1C9D0897" w14:textId="77777777" w:rsidR="006E7AE7" w:rsidRPr="006402A5" w:rsidRDefault="006E7AE7" w:rsidP="009E2768">
            <w:pPr>
              <w:pStyle w:val="Bodytext"/>
            </w:pPr>
          </w:p>
        </w:tc>
      </w:tr>
      <w:tr w:rsidR="006E7AE7" w:rsidRPr="006402A5" w14:paraId="25364672" w14:textId="77777777" w:rsidTr="009E2768">
        <w:tc>
          <w:tcPr>
            <w:tcW w:w="6345" w:type="dxa"/>
          </w:tcPr>
          <w:p w14:paraId="17630EF9" w14:textId="77777777" w:rsidR="006E7AE7" w:rsidRPr="006402A5" w:rsidRDefault="006E7AE7" w:rsidP="009E2768">
            <w:pPr>
              <w:pStyle w:val="Bodytext"/>
            </w:pPr>
          </w:p>
        </w:tc>
        <w:tc>
          <w:tcPr>
            <w:tcW w:w="1134" w:type="dxa"/>
          </w:tcPr>
          <w:p w14:paraId="4E4211C4" w14:textId="77777777" w:rsidR="006E7AE7" w:rsidRPr="006402A5" w:rsidRDefault="006E7AE7" w:rsidP="009E2768">
            <w:pPr>
              <w:pStyle w:val="Bodytext"/>
            </w:pPr>
          </w:p>
        </w:tc>
        <w:tc>
          <w:tcPr>
            <w:tcW w:w="1560" w:type="dxa"/>
          </w:tcPr>
          <w:p w14:paraId="57B06597" w14:textId="77777777" w:rsidR="006E7AE7" w:rsidRPr="006402A5" w:rsidRDefault="006E7AE7" w:rsidP="009E2768">
            <w:pPr>
              <w:pStyle w:val="Bodytext"/>
            </w:pPr>
          </w:p>
        </w:tc>
      </w:tr>
      <w:tr w:rsidR="006E7AE7" w:rsidRPr="006402A5" w14:paraId="0AAEEFC1" w14:textId="77777777" w:rsidTr="009E2768">
        <w:tc>
          <w:tcPr>
            <w:tcW w:w="6345" w:type="dxa"/>
          </w:tcPr>
          <w:p w14:paraId="2E394F2B" w14:textId="77777777" w:rsidR="006E7AE7" w:rsidRPr="006402A5" w:rsidRDefault="006E7AE7" w:rsidP="009E2768">
            <w:pPr>
              <w:pStyle w:val="Bodytext"/>
            </w:pPr>
          </w:p>
        </w:tc>
        <w:tc>
          <w:tcPr>
            <w:tcW w:w="1134" w:type="dxa"/>
          </w:tcPr>
          <w:p w14:paraId="679EF099" w14:textId="77777777" w:rsidR="006E7AE7" w:rsidRPr="006402A5" w:rsidRDefault="006E7AE7" w:rsidP="009E2768">
            <w:pPr>
              <w:pStyle w:val="Bodytext"/>
            </w:pPr>
          </w:p>
        </w:tc>
        <w:tc>
          <w:tcPr>
            <w:tcW w:w="1560" w:type="dxa"/>
          </w:tcPr>
          <w:p w14:paraId="5780FE77" w14:textId="77777777" w:rsidR="006E7AE7" w:rsidRPr="006402A5" w:rsidRDefault="006E7AE7" w:rsidP="009E2768">
            <w:pPr>
              <w:pStyle w:val="Bodytext"/>
            </w:pPr>
          </w:p>
        </w:tc>
      </w:tr>
    </w:tbl>
    <w:p w14:paraId="74306E64" w14:textId="77777777" w:rsidR="006E7AE7" w:rsidRPr="006402A5" w:rsidRDefault="006E7AE7" w:rsidP="006E7AE7">
      <w:pPr>
        <w:pStyle w:val="Heading2"/>
      </w:pPr>
      <w:r w:rsidRPr="006402A5">
        <w:t>SECTION B:</w:t>
      </w:r>
      <w:r w:rsidRPr="006402A5">
        <w:tab/>
        <w:t>INTERNAL CONTROL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29BA5F99" w14:textId="77777777" w:rsidTr="009E2768">
        <w:trPr>
          <w:tblHeader/>
        </w:trPr>
        <w:tc>
          <w:tcPr>
            <w:tcW w:w="6345" w:type="dxa"/>
            <w:shd w:val="clear" w:color="auto" w:fill="auto"/>
          </w:tcPr>
          <w:p w14:paraId="0107E3C6" w14:textId="77777777" w:rsidR="006E7AE7" w:rsidRPr="00A760AA" w:rsidRDefault="006E7AE7" w:rsidP="009E2768">
            <w:pPr>
              <w:pStyle w:val="Bodytext"/>
              <w:rPr>
                <w:b/>
                <w:lang w:eastAsia="en-GB"/>
              </w:rPr>
            </w:pPr>
            <w:r w:rsidRPr="00A760AA">
              <w:rPr>
                <w:b/>
                <w:lang w:eastAsia="en-GB"/>
              </w:rPr>
              <w:t xml:space="preserve">Risk </w:t>
            </w:r>
            <w:r>
              <w:rPr>
                <w:b/>
                <w:lang w:eastAsia="en-GB"/>
              </w:rPr>
              <w:t>m</w:t>
            </w:r>
            <w:r w:rsidRPr="00A760AA">
              <w:rPr>
                <w:b/>
                <w:lang w:eastAsia="en-GB"/>
              </w:rPr>
              <w:t>anagement</w:t>
            </w:r>
          </w:p>
        </w:tc>
        <w:tc>
          <w:tcPr>
            <w:tcW w:w="1134" w:type="dxa"/>
            <w:shd w:val="clear" w:color="auto" w:fill="auto"/>
          </w:tcPr>
          <w:p w14:paraId="26B9D6B5" w14:textId="77777777" w:rsidR="006E7AE7" w:rsidRPr="00A760AA" w:rsidRDefault="006E7AE7" w:rsidP="009E2768">
            <w:pPr>
              <w:pStyle w:val="Bodytext"/>
              <w:rPr>
                <w:b/>
                <w:lang w:eastAsia="en-GB"/>
              </w:rPr>
            </w:pPr>
            <w:r w:rsidRPr="00A760AA">
              <w:rPr>
                <w:b/>
                <w:lang w:eastAsia="en-GB"/>
              </w:rPr>
              <w:t>Deadline</w:t>
            </w:r>
          </w:p>
        </w:tc>
        <w:tc>
          <w:tcPr>
            <w:tcW w:w="1560" w:type="dxa"/>
            <w:shd w:val="clear" w:color="auto" w:fill="auto"/>
          </w:tcPr>
          <w:p w14:paraId="426EA4F0" w14:textId="77777777" w:rsidR="006E7AE7" w:rsidRPr="00A760AA" w:rsidRDefault="006E7AE7" w:rsidP="009E2768">
            <w:pPr>
              <w:pStyle w:val="Bodytext"/>
              <w:rPr>
                <w:b/>
                <w:lang w:eastAsia="en-GB"/>
              </w:rPr>
            </w:pPr>
            <w:r w:rsidRPr="00A760AA">
              <w:rPr>
                <w:b/>
                <w:lang w:eastAsia="en-GB"/>
              </w:rPr>
              <w:t>Responsible individual</w:t>
            </w:r>
          </w:p>
        </w:tc>
      </w:tr>
      <w:tr w:rsidR="006E7AE7" w:rsidRPr="006402A5" w14:paraId="38311239" w14:textId="77777777" w:rsidTr="009E2768">
        <w:tc>
          <w:tcPr>
            <w:tcW w:w="6345" w:type="dxa"/>
            <w:shd w:val="clear" w:color="auto" w:fill="auto"/>
          </w:tcPr>
          <w:p w14:paraId="6DF228A0" w14:textId="77777777" w:rsidR="006E7AE7" w:rsidRPr="00A442AF" w:rsidRDefault="006E7AE7" w:rsidP="009E2768">
            <w:pPr>
              <w:pStyle w:val="Bodytext"/>
              <w:rPr>
                <w:lang w:eastAsia="en-GB"/>
              </w:rPr>
            </w:pPr>
            <w:r w:rsidRPr="00A442AF">
              <w:rPr>
                <w:lang w:eastAsia="en-GB"/>
              </w:rPr>
              <w:t>Review, revise and agree a risk management strategy, policy and procedures. This must include an approach to setting an agreed risk appetite and identifying, evaluating and managing risks to continuing NHS bodies, staff, service users, partners and stakeholders</w:t>
            </w:r>
          </w:p>
          <w:p w14:paraId="7E0D7D3B" w14:textId="77777777" w:rsidR="006E7AE7" w:rsidRPr="00A442AF" w:rsidRDefault="006E7AE7" w:rsidP="009E2768">
            <w:pPr>
              <w:pStyle w:val="Bodytext"/>
              <w:rPr>
                <w:lang w:eastAsia="en-GB"/>
              </w:rPr>
            </w:pPr>
            <w:r w:rsidRPr="00A442AF">
              <w:rPr>
                <w:lang w:eastAsia="en-GB"/>
              </w:rPr>
              <w:t>Review risks of all affected NHS bodies and record them in a risk register. Include the risks associated with the reorganisation and reputation risks that could threaten public confidence and perception of the NHS body</w:t>
            </w:r>
          </w:p>
          <w:p w14:paraId="668A2B0E" w14:textId="77777777" w:rsidR="006E7AE7" w:rsidRPr="00A442AF" w:rsidRDefault="006E7AE7" w:rsidP="009E2768">
            <w:pPr>
              <w:pStyle w:val="Bodytext"/>
              <w:rPr>
                <w:lang w:eastAsia="en-GB"/>
              </w:rPr>
            </w:pPr>
            <w:r w:rsidRPr="00A442AF">
              <w:rPr>
                <w:lang w:eastAsia="en-GB"/>
              </w:rPr>
              <w:t>Ensure that the risk register remains a ‘living’ process and reflects all current and newly emerging risks, both potential and residual</w:t>
            </w:r>
          </w:p>
          <w:p w14:paraId="5DA2A435" w14:textId="77777777" w:rsidR="006E7AE7" w:rsidRPr="00A442AF" w:rsidRDefault="006E7AE7" w:rsidP="009E2768">
            <w:pPr>
              <w:pStyle w:val="Bodytext"/>
              <w:rPr>
                <w:lang w:eastAsia="en-GB"/>
              </w:rPr>
            </w:pPr>
            <w:r w:rsidRPr="00A442AF">
              <w:rPr>
                <w:lang w:eastAsia="en-GB"/>
              </w:rPr>
              <w:t>Ensure action plans are in place for all risks that the governing body has deemed unacceptable and that these plans are reviewed to ensure that actions have been taken</w:t>
            </w:r>
          </w:p>
          <w:p w14:paraId="43826337" w14:textId="77777777" w:rsidR="006E7AE7" w:rsidRPr="00A442AF" w:rsidRDefault="006E7AE7" w:rsidP="009E2768">
            <w:pPr>
              <w:pStyle w:val="Bodytext"/>
              <w:rPr>
                <w:lang w:eastAsia="en-GB"/>
              </w:rPr>
            </w:pPr>
            <w:r w:rsidRPr="00A442AF">
              <w:rPr>
                <w:lang w:eastAsia="en-GB"/>
              </w:rPr>
              <w:t>Ensure that there is a process to check that actions taken have reduced or managed the associated risk (i.e. that there is a feedback loop) and that if this is not the case, further action is taken to redress this</w:t>
            </w:r>
          </w:p>
        </w:tc>
        <w:tc>
          <w:tcPr>
            <w:tcW w:w="1134" w:type="dxa"/>
            <w:shd w:val="clear" w:color="auto" w:fill="auto"/>
          </w:tcPr>
          <w:p w14:paraId="7C250646" w14:textId="77777777" w:rsidR="006E7AE7" w:rsidRPr="00A442AF" w:rsidRDefault="006E7AE7" w:rsidP="009E2768">
            <w:pPr>
              <w:pStyle w:val="Bodytext"/>
              <w:rPr>
                <w:lang w:eastAsia="en-GB"/>
              </w:rPr>
            </w:pPr>
          </w:p>
        </w:tc>
        <w:tc>
          <w:tcPr>
            <w:tcW w:w="1560" w:type="dxa"/>
            <w:shd w:val="clear" w:color="auto" w:fill="auto"/>
          </w:tcPr>
          <w:p w14:paraId="336EAEB5" w14:textId="77777777" w:rsidR="006E7AE7" w:rsidRPr="00A442AF" w:rsidRDefault="006E7AE7" w:rsidP="009E2768">
            <w:pPr>
              <w:pStyle w:val="Bodytext"/>
              <w:rPr>
                <w:lang w:eastAsia="en-GB"/>
              </w:rPr>
            </w:pPr>
          </w:p>
        </w:tc>
      </w:tr>
      <w:tr w:rsidR="006E7AE7" w:rsidRPr="006402A5" w14:paraId="23588926" w14:textId="77777777" w:rsidTr="009E2768">
        <w:tc>
          <w:tcPr>
            <w:tcW w:w="6345" w:type="dxa"/>
            <w:shd w:val="clear" w:color="auto" w:fill="auto"/>
          </w:tcPr>
          <w:p w14:paraId="4D94DE96" w14:textId="77777777" w:rsidR="006E7AE7" w:rsidRPr="00A442AF" w:rsidRDefault="006E7AE7" w:rsidP="009E2768">
            <w:pPr>
              <w:pStyle w:val="Bodytext"/>
              <w:rPr>
                <w:lang w:eastAsia="en-GB"/>
              </w:rPr>
            </w:pPr>
          </w:p>
        </w:tc>
        <w:tc>
          <w:tcPr>
            <w:tcW w:w="1134" w:type="dxa"/>
            <w:shd w:val="clear" w:color="auto" w:fill="auto"/>
          </w:tcPr>
          <w:p w14:paraId="632BFE13" w14:textId="77777777" w:rsidR="006E7AE7" w:rsidRPr="00A442AF" w:rsidRDefault="006E7AE7" w:rsidP="009E2768">
            <w:pPr>
              <w:pStyle w:val="Bodytext"/>
              <w:rPr>
                <w:lang w:eastAsia="en-GB"/>
              </w:rPr>
            </w:pPr>
          </w:p>
        </w:tc>
        <w:tc>
          <w:tcPr>
            <w:tcW w:w="1560" w:type="dxa"/>
            <w:shd w:val="clear" w:color="auto" w:fill="auto"/>
          </w:tcPr>
          <w:p w14:paraId="29BF1A16" w14:textId="77777777" w:rsidR="006E7AE7" w:rsidRPr="00A442AF" w:rsidRDefault="006E7AE7" w:rsidP="009E2768">
            <w:pPr>
              <w:pStyle w:val="Bodytext"/>
              <w:rPr>
                <w:lang w:eastAsia="en-GB"/>
              </w:rPr>
            </w:pPr>
          </w:p>
        </w:tc>
      </w:tr>
      <w:tr w:rsidR="006E7AE7" w:rsidRPr="006402A5" w14:paraId="6ABA1245" w14:textId="77777777" w:rsidTr="009E2768">
        <w:tc>
          <w:tcPr>
            <w:tcW w:w="6345" w:type="dxa"/>
            <w:shd w:val="clear" w:color="auto" w:fill="auto"/>
          </w:tcPr>
          <w:p w14:paraId="16923167" w14:textId="77777777" w:rsidR="006E7AE7" w:rsidRPr="00A442AF" w:rsidRDefault="006E7AE7" w:rsidP="009E2768">
            <w:pPr>
              <w:pStyle w:val="Bodytext"/>
              <w:rPr>
                <w:lang w:eastAsia="en-GB"/>
              </w:rPr>
            </w:pPr>
          </w:p>
        </w:tc>
        <w:tc>
          <w:tcPr>
            <w:tcW w:w="1134" w:type="dxa"/>
            <w:shd w:val="clear" w:color="auto" w:fill="auto"/>
          </w:tcPr>
          <w:p w14:paraId="017DF18C" w14:textId="77777777" w:rsidR="006E7AE7" w:rsidRPr="00A442AF" w:rsidRDefault="006E7AE7" w:rsidP="009E2768">
            <w:pPr>
              <w:pStyle w:val="Bodytext"/>
              <w:rPr>
                <w:lang w:eastAsia="en-GB"/>
              </w:rPr>
            </w:pPr>
          </w:p>
        </w:tc>
        <w:tc>
          <w:tcPr>
            <w:tcW w:w="1560" w:type="dxa"/>
            <w:shd w:val="clear" w:color="auto" w:fill="auto"/>
          </w:tcPr>
          <w:p w14:paraId="57A83304" w14:textId="77777777" w:rsidR="006E7AE7" w:rsidRPr="00A442AF" w:rsidRDefault="006E7AE7" w:rsidP="009E2768">
            <w:pPr>
              <w:pStyle w:val="Bodytext"/>
              <w:rPr>
                <w:lang w:eastAsia="en-GB"/>
              </w:rPr>
            </w:pPr>
          </w:p>
        </w:tc>
      </w:tr>
    </w:tbl>
    <w:p w14:paraId="7F5BC2FF"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3BD5CD9C" w14:textId="77777777" w:rsidTr="009E2768">
        <w:trPr>
          <w:tblHeader/>
        </w:trPr>
        <w:tc>
          <w:tcPr>
            <w:tcW w:w="6345" w:type="dxa"/>
          </w:tcPr>
          <w:p w14:paraId="7E5499FC" w14:textId="77777777" w:rsidR="006E7AE7" w:rsidRPr="00A760AA" w:rsidRDefault="006E7AE7" w:rsidP="009E2768">
            <w:pPr>
              <w:pStyle w:val="Bodytext"/>
              <w:rPr>
                <w:b/>
              </w:rPr>
            </w:pPr>
            <w:r w:rsidRPr="00A760AA">
              <w:rPr>
                <w:b/>
              </w:rPr>
              <w:lastRenderedPageBreak/>
              <w:t xml:space="preserve">Internal </w:t>
            </w:r>
            <w:r>
              <w:rPr>
                <w:b/>
              </w:rPr>
              <w:t>a</w:t>
            </w:r>
            <w:r w:rsidRPr="00A760AA">
              <w:rPr>
                <w:b/>
              </w:rPr>
              <w:t>udit</w:t>
            </w:r>
          </w:p>
        </w:tc>
        <w:tc>
          <w:tcPr>
            <w:tcW w:w="1134" w:type="dxa"/>
          </w:tcPr>
          <w:p w14:paraId="0EA44160" w14:textId="77777777" w:rsidR="006E7AE7" w:rsidRPr="00A760AA" w:rsidRDefault="006E7AE7" w:rsidP="009E2768">
            <w:pPr>
              <w:pStyle w:val="Bodytext"/>
              <w:rPr>
                <w:b/>
              </w:rPr>
            </w:pPr>
            <w:r w:rsidRPr="00A760AA">
              <w:rPr>
                <w:b/>
              </w:rPr>
              <w:t>Deadline</w:t>
            </w:r>
          </w:p>
        </w:tc>
        <w:tc>
          <w:tcPr>
            <w:tcW w:w="1560" w:type="dxa"/>
          </w:tcPr>
          <w:p w14:paraId="4E6CB7D9" w14:textId="77777777" w:rsidR="006E7AE7" w:rsidRPr="00A760AA" w:rsidRDefault="006E7AE7" w:rsidP="009E2768">
            <w:pPr>
              <w:pStyle w:val="Bodytext"/>
              <w:rPr>
                <w:b/>
              </w:rPr>
            </w:pPr>
            <w:r w:rsidRPr="00A760AA">
              <w:rPr>
                <w:b/>
              </w:rPr>
              <w:t>Responsible individual</w:t>
            </w:r>
          </w:p>
        </w:tc>
      </w:tr>
      <w:tr w:rsidR="006E7AE7" w:rsidRPr="006402A5" w14:paraId="26283D0C" w14:textId="77777777" w:rsidTr="009E2768">
        <w:tc>
          <w:tcPr>
            <w:tcW w:w="6345" w:type="dxa"/>
          </w:tcPr>
          <w:p w14:paraId="143DA1FB" w14:textId="77777777" w:rsidR="006E7AE7" w:rsidRPr="00A442AF" w:rsidRDefault="006E7AE7" w:rsidP="009E2768">
            <w:pPr>
              <w:pStyle w:val="Bodytext"/>
            </w:pPr>
            <w:r w:rsidRPr="006402A5">
              <w:t>Consider internal audit work both before and after the reorganisation in the light of the risks that it poses and adjust the nature and timing of work accordingly</w:t>
            </w:r>
          </w:p>
          <w:p w14:paraId="1B7BD887" w14:textId="77777777" w:rsidR="006E7AE7" w:rsidRPr="00A442AF" w:rsidRDefault="006E7AE7" w:rsidP="009E2768">
            <w:pPr>
              <w:pStyle w:val="Bodytext"/>
            </w:pPr>
            <w:r w:rsidRPr="006402A5">
              <w:t>Review and integrate arrangements</w:t>
            </w:r>
          </w:p>
          <w:p w14:paraId="792E6B50" w14:textId="77777777" w:rsidR="006E7AE7" w:rsidRPr="00A442AF" w:rsidRDefault="006E7AE7" w:rsidP="009E2768">
            <w:pPr>
              <w:pStyle w:val="Bodytext"/>
            </w:pPr>
            <w:r w:rsidRPr="006402A5">
              <w:t xml:space="preserve">Select service provider </w:t>
            </w:r>
          </w:p>
          <w:p w14:paraId="04D7C5B7" w14:textId="77777777" w:rsidR="006E7AE7" w:rsidRPr="00A442AF" w:rsidRDefault="006E7AE7" w:rsidP="009E2768">
            <w:pPr>
              <w:pStyle w:val="Bodytext"/>
            </w:pPr>
            <w:r w:rsidRPr="006402A5">
              <w:t>Establish audit working protocols (for example, reporting, service standards)</w:t>
            </w:r>
          </w:p>
          <w:p w14:paraId="64C8B573" w14:textId="77777777" w:rsidR="006E7AE7" w:rsidRPr="00A442AF" w:rsidRDefault="006E7AE7" w:rsidP="009E2768">
            <w:pPr>
              <w:pStyle w:val="Bodytext"/>
            </w:pPr>
            <w:r w:rsidRPr="006402A5">
              <w:t xml:space="preserve">Establish working relationships – consider </w:t>
            </w:r>
            <w:r>
              <w:t xml:space="preserve">the </w:t>
            </w:r>
            <w:r w:rsidRPr="006402A5">
              <w:t>benefit of a joint audit committee meeting pre-transfer</w:t>
            </w:r>
          </w:p>
          <w:p w14:paraId="02E5F0EC" w14:textId="77777777" w:rsidR="006E7AE7" w:rsidRPr="00A442AF" w:rsidRDefault="006E7AE7" w:rsidP="009E2768">
            <w:pPr>
              <w:pStyle w:val="Bodytext"/>
            </w:pPr>
            <w:r w:rsidRPr="006402A5">
              <w:t>Make arrangements for a head of internal audit opinion to be signed in relation to all closing accounts (including, as necessary, any part</w:t>
            </w:r>
            <w:r>
              <w:t>-</w:t>
            </w:r>
            <w:r w:rsidRPr="006402A5">
              <w:t>year accounts)</w:t>
            </w:r>
          </w:p>
          <w:p w14:paraId="4A582FAD" w14:textId="77777777" w:rsidR="006E7AE7" w:rsidRPr="00A442AF" w:rsidRDefault="006E7AE7" w:rsidP="009E2768">
            <w:pPr>
              <w:pStyle w:val="Bodytext"/>
            </w:pPr>
            <w:r w:rsidRPr="006402A5">
              <w:t>Ensure that the service meets minimum standards regarding coverage and planning</w:t>
            </w:r>
            <w:r>
              <w:t xml:space="preserve"> for the whole financial year</w:t>
            </w:r>
          </w:p>
          <w:p w14:paraId="3429E48E" w14:textId="77777777" w:rsidR="006E7AE7" w:rsidRPr="00A442AF" w:rsidRDefault="006E7AE7" w:rsidP="009E2768">
            <w:pPr>
              <w:pStyle w:val="Bodytext"/>
            </w:pPr>
            <w:r w:rsidRPr="006402A5">
              <w:t>Ensure that reports from the head of internal audit will be available at the end of the financial period covering all systems and bodies in existence during the year (this will be particularly important if the reorganisation occurs part way through the financial year)</w:t>
            </w:r>
          </w:p>
          <w:p w14:paraId="4631EADC" w14:textId="77777777" w:rsidR="006E7AE7" w:rsidRPr="00A442AF" w:rsidRDefault="006E7AE7" w:rsidP="009E2768">
            <w:pPr>
              <w:pStyle w:val="Bodytext"/>
            </w:pPr>
            <w:r w:rsidRPr="006402A5">
              <w:t>Review the recommendations register from the merging bodies and carry forward or clear those recommendations</w:t>
            </w:r>
          </w:p>
          <w:p w14:paraId="040BDA82" w14:textId="77777777" w:rsidR="006E7AE7" w:rsidRPr="00A442AF" w:rsidRDefault="006E7AE7" w:rsidP="009E2768">
            <w:pPr>
              <w:pStyle w:val="Bodytext"/>
            </w:pPr>
            <w:r w:rsidRPr="006402A5">
              <w:t>Review outstanding actions and ensure that responsibility for their completion is transferred to the new NHS body</w:t>
            </w:r>
          </w:p>
          <w:p w14:paraId="55CA65DF" w14:textId="77777777" w:rsidR="006E7AE7" w:rsidRPr="00A442AF" w:rsidRDefault="006E7AE7" w:rsidP="009E2768">
            <w:pPr>
              <w:pStyle w:val="Bodytext"/>
            </w:pPr>
            <w:r w:rsidRPr="006402A5">
              <w:t>Ensure that audit is involved in reviewing proposed new systems prior to implementation</w:t>
            </w:r>
          </w:p>
          <w:p w14:paraId="50B30223" w14:textId="77777777" w:rsidR="006E7AE7" w:rsidRPr="00A442AF" w:rsidRDefault="006E7AE7" w:rsidP="009E2768">
            <w:pPr>
              <w:pStyle w:val="Bodytext"/>
            </w:pPr>
            <w:r w:rsidRPr="006402A5">
              <w:t>Ensure that there is audit review of new systems once implemented</w:t>
            </w:r>
          </w:p>
          <w:p w14:paraId="7E65E8A7" w14:textId="77777777" w:rsidR="006E7AE7" w:rsidRPr="00A442AF" w:rsidRDefault="006E7AE7" w:rsidP="009E2768">
            <w:pPr>
              <w:pStyle w:val="Bodytext"/>
            </w:pPr>
            <w:r w:rsidRPr="006402A5">
              <w:t>Ensure that there is a Local Counter Fraud Specialist (LCFS) and an agreed plan in place</w:t>
            </w:r>
          </w:p>
          <w:p w14:paraId="269B5D1C" w14:textId="77777777" w:rsidR="006E7AE7" w:rsidRPr="00A442AF" w:rsidRDefault="006E7AE7" w:rsidP="009E2768">
            <w:pPr>
              <w:pStyle w:val="Bodytext"/>
            </w:pPr>
            <w:r w:rsidRPr="006402A5">
              <w:t>Ensure that there is an agreed plan in place in relation to security and potential loss of assets (this is a major risk on reorganisation)</w:t>
            </w:r>
          </w:p>
          <w:p w14:paraId="314FBA30" w14:textId="77777777" w:rsidR="006E7AE7" w:rsidRPr="00A442AF" w:rsidRDefault="006E7AE7" w:rsidP="009E2768">
            <w:pPr>
              <w:pStyle w:val="Bodytext"/>
            </w:pPr>
            <w:r w:rsidRPr="006402A5">
              <w:t>Ensure that LCFS and senior management work plans cover the increased risk of fraud and asset loss during times of change</w:t>
            </w:r>
          </w:p>
          <w:p w14:paraId="5AA6940F" w14:textId="77777777" w:rsidR="006E7AE7" w:rsidRPr="00A442AF" w:rsidRDefault="006E7AE7" w:rsidP="009E2768">
            <w:pPr>
              <w:pStyle w:val="Bodytext"/>
            </w:pPr>
            <w:r w:rsidRPr="006402A5">
              <w:t>Ensure that the LCFS is involved in fraud and risk assessment for the new body</w:t>
            </w:r>
          </w:p>
        </w:tc>
        <w:tc>
          <w:tcPr>
            <w:tcW w:w="1134" w:type="dxa"/>
          </w:tcPr>
          <w:p w14:paraId="438AEE5F" w14:textId="77777777" w:rsidR="006E7AE7" w:rsidRPr="00A442AF" w:rsidRDefault="006E7AE7" w:rsidP="009E2768">
            <w:pPr>
              <w:pStyle w:val="Bodytext"/>
            </w:pPr>
          </w:p>
        </w:tc>
        <w:tc>
          <w:tcPr>
            <w:tcW w:w="1560" w:type="dxa"/>
          </w:tcPr>
          <w:p w14:paraId="43E79412" w14:textId="77777777" w:rsidR="006E7AE7" w:rsidRPr="00A442AF" w:rsidRDefault="006E7AE7" w:rsidP="009E2768">
            <w:pPr>
              <w:pStyle w:val="Bodytext"/>
            </w:pPr>
          </w:p>
        </w:tc>
      </w:tr>
      <w:tr w:rsidR="006E7AE7" w:rsidRPr="006402A5" w14:paraId="261EC790" w14:textId="77777777" w:rsidTr="009E2768">
        <w:tc>
          <w:tcPr>
            <w:tcW w:w="6345" w:type="dxa"/>
          </w:tcPr>
          <w:p w14:paraId="70BACC46" w14:textId="77777777" w:rsidR="006E7AE7" w:rsidRPr="00A442AF" w:rsidRDefault="006E7AE7" w:rsidP="009E2768">
            <w:pPr>
              <w:pStyle w:val="Bodytext"/>
            </w:pPr>
          </w:p>
        </w:tc>
        <w:tc>
          <w:tcPr>
            <w:tcW w:w="1134" w:type="dxa"/>
          </w:tcPr>
          <w:p w14:paraId="493B8E3E" w14:textId="77777777" w:rsidR="006E7AE7" w:rsidRPr="00A442AF" w:rsidRDefault="006E7AE7" w:rsidP="009E2768">
            <w:pPr>
              <w:pStyle w:val="Bodytext"/>
            </w:pPr>
          </w:p>
        </w:tc>
        <w:tc>
          <w:tcPr>
            <w:tcW w:w="1560" w:type="dxa"/>
          </w:tcPr>
          <w:p w14:paraId="0CCCC142" w14:textId="77777777" w:rsidR="006E7AE7" w:rsidRPr="00A442AF" w:rsidRDefault="006E7AE7" w:rsidP="009E2768">
            <w:pPr>
              <w:pStyle w:val="Bodytext"/>
            </w:pPr>
          </w:p>
        </w:tc>
      </w:tr>
      <w:tr w:rsidR="006E7AE7" w:rsidRPr="006402A5" w14:paraId="5CB6D47E" w14:textId="77777777" w:rsidTr="009E2768">
        <w:tc>
          <w:tcPr>
            <w:tcW w:w="6345" w:type="dxa"/>
          </w:tcPr>
          <w:p w14:paraId="05DA96D7" w14:textId="77777777" w:rsidR="006E7AE7" w:rsidRPr="00A442AF" w:rsidRDefault="006E7AE7" w:rsidP="009E2768">
            <w:pPr>
              <w:pStyle w:val="Bodytext"/>
            </w:pPr>
          </w:p>
        </w:tc>
        <w:tc>
          <w:tcPr>
            <w:tcW w:w="1134" w:type="dxa"/>
          </w:tcPr>
          <w:p w14:paraId="2DD95A13" w14:textId="77777777" w:rsidR="006E7AE7" w:rsidRPr="00A442AF" w:rsidRDefault="006E7AE7" w:rsidP="009E2768">
            <w:pPr>
              <w:pStyle w:val="Bodytext"/>
            </w:pPr>
          </w:p>
        </w:tc>
        <w:tc>
          <w:tcPr>
            <w:tcW w:w="1560" w:type="dxa"/>
          </w:tcPr>
          <w:p w14:paraId="06614593" w14:textId="77777777" w:rsidR="006E7AE7" w:rsidRPr="00A442AF" w:rsidRDefault="006E7AE7" w:rsidP="009E2768">
            <w:pPr>
              <w:pStyle w:val="Bodytext"/>
            </w:pPr>
          </w:p>
        </w:tc>
      </w:tr>
    </w:tbl>
    <w:p w14:paraId="6D02D989"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2A2DFE8C" w14:textId="77777777" w:rsidTr="009E2768">
        <w:trPr>
          <w:tblHeader/>
        </w:trPr>
        <w:tc>
          <w:tcPr>
            <w:tcW w:w="6345" w:type="dxa"/>
          </w:tcPr>
          <w:p w14:paraId="21604EF6" w14:textId="77777777" w:rsidR="006E7AE7" w:rsidRPr="00A760AA" w:rsidRDefault="006E7AE7" w:rsidP="009E2768">
            <w:pPr>
              <w:pStyle w:val="Bodytext"/>
              <w:rPr>
                <w:b/>
              </w:rPr>
            </w:pPr>
            <w:r w:rsidRPr="00A760AA">
              <w:rPr>
                <w:b/>
              </w:rPr>
              <w:lastRenderedPageBreak/>
              <w:t xml:space="preserve">External </w:t>
            </w:r>
            <w:r>
              <w:rPr>
                <w:b/>
              </w:rPr>
              <w:t>a</w:t>
            </w:r>
            <w:r w:rsidRPr="00A760AA">
              <w:rPr>
                <w:b/>
              </w:rPr>
              <w:t>udit</w:t>
            </w:r>
          </w:p>
        </w:tc>
        <w:tc>
          <w:tcPr>
            <w:tcW w:w="1134" w:type="dxa"/>
          </w:tcPr>
          <w:p w14:paraId="06C20651" w14:textId="77777777" w:rsidR="006E7AE7" w:rsidRPr="00A760AA" w:rsidRDefault="006E7AE7" w:rsidP="009E2768">
            <w:pPr>
              <w:pStyle w:val="Bodytext"/>
              <w:rPr>
                <w:b/>
              </w:rPr>
            </w:pPr>
            <w:r w:rsidRPr="00A760AA">
              <w:rPr>
                <w:b/>
              </w:rPr>
              <w:t>Deadline</w:t>
            </w:r>
          </w:p>
        </w:tc>
        <w:tc>
          <w:tcPr>
            <w:tcW w:w="1560" w:type="dxa"/>
          </w:tcPr>
          <w:p w14:paraId="5C7907D3" w14:textId="77777777" w:rsidR="006E7AE7" w:rsidRPr="00A760AA" w:rsidRDefault="006E7AE7" w:rsidP="009E2768">
            <w:pPr>
              <w:pStyle w:val="Bodytext"/>
              <w:rPr>
                <w:b/>
              </w:rPr>
            </w:pPr>
            <w:r w:rsidRPr="00A760AA">
              <w:rPr>
                <w:b/>
              </w:rPr>
              <w:t>Responsible individual</w:t>
            </w:r>
          </w:p>
        </w:tc>
      </w:tr>
      <w:tr w:rsidR="006E7AE7" w:rsidRPr="006402A5" w14:paraId="10646FF5" w14:textId="77777777" w:rsidTr="009E2768">
        <w:tc>
          <w:tcPr>
            <w:tcW w:w="6345" w:type="dxa"/>
          </w:tcPr>
          <w:p w14:paraId="418B12FB" w14:textId="77777777" w:rsidR="006E7AE7" w:rsidRPr="00A442AF" w:rsidRDefault="006E7AE7" w:rsidP="009E2768">
            <w:pPr>
              <w:pStyle w:val="Bodytext"/>
            </w:pPr>
            <w:r w:rsidRPr="006402A5">
              <w:t>Discuss the reorganisation with external auditors prior to the reorganisation to ensure that they have completed the work necessary at the old bodies prior to the reorganisation</w:t>
            </w:r>
          </w:p>
          <w:p w14:paraId="0F640406" w14:textId="77777777" w:rsidR="006E7AE7" w:rsidRPr="00A442AF" w:rsidRDefault="006E7AE7" w:rsidP="009E2768">
            <w:pPr>
              <w:pStyle w:val="Bodytext"/>
            </w:pPr>
            <w:r w:rsidRPr="006402A5">
              <w:t>Discuss with the external auditors what evidence they require from both the old and the new bodies</w:t>
            </w:r>
            <w:r>
              <w:rPr>
                <w:rStyle w:val="FootnoteReference"/>
              </w:rPr>
              <w:footnoteReference w:id="4"/>
            </w:r>
          </w:p>
          <w:p w14:paraId="0AFB0FAF" w14:textId="77777777" w:rsidR="006E7AE7" w:rsidRPr="00A442AF" w:rsidRDefault="006E7AE7" w:rsidP="009E2768">
            <w:pPr>
              <w:pStyle w:val="Bodytext"/>
            </w:pPr>
            <w:r>
              <w:t>C</w:t>
            </w:r>
            <w:r w:rsidRPr="006402A5">
              <w:t>onsider what arrangements are necessary to ensure that there is an external auditor appointed at all times</w:t>
            </w:r>
          </w:p>
          <w:p w14:paraId="5C955436" w14:textId="77777777" w:rsidR="006E7AE7" w:rsidRPr="00A442AF" w:rsidRDefault="006E7AE7" w:rsidP="009E2768">
            <w:pPr>
              <w:pStyle w:val="Bodytext"/>
            </w:pPr>
            <w:r w:rsidRPr="006402A5">
              <w:t>Consider whether external auditor contracts can and/</w:t>
            </w:r>
            <w:r>
              <w:t xml:space="preserve"> </w:t>
            </w:r>
            <w:r w:rsidRPr="006402A5">
              <w:t>or should be rolled over or whether the contract should be subject to tender</w:t>
            </w:r>
          </w:p>
          <w:p w14:paraId="67CC78D3" w14:textId="77777777" w:rsidR="006E7AE7" w:rsidRPr="00A442AF" w:rsidRDefault="006E7AE7" w:rsidP="009E2768">
            <w:pPr>
              <w:pStyle w:val="Bodytext"/>
            </w:pPr>
            <w:r w:rsidRPr="006402A5">
              <w:t>Where an external audit contract is to be rolled over for the new body, determine that the external auditor remains independent (the external audit firm may have undertaken non-audit work for one of the old bodies which could compromise their independence of the new body)</w:t>
            </w:r>
          </w:p>
          <w:p w14:paraId="2A44355C" w14:textId="77777777" w:rsidR="006E7AE7" w:rsidRPr="00A442AF" w:rsidRDefault="006E7AE7" w:rsidP="009E2768">
            <w:pPr>
              <w:pStyle w:val="Bodytext"/>
            </w:pPr>
            <w:r w:rsidRPr="006402A5">
              <w:t>Consider what, if any, safeguards the audit committee need to put in place to ensure that the external auditor remains independent</w:t>
            </w:r>
          </w:p>
          <w:p w14:paraId="15BFC3D2" w14:textId="77777777" w:rsidR="006E7AE7" w:rsidRPr="00A442AF" w:rsidRDefault="006E7AE7" w:rsidP="009E2768">
            <w:pPr>
              <w:pStyle w:val="Bodytext"/>
            </w:pPr>
            <w:r w:rsidRPr="006402A5">
              <w:t>Agree handover arrangements between the outgoing auditors and the new auditors</w:t>
            </w:r>
            <w:r>
              <w:t xml:space="preserve"> </w:t>
            </w:r>
            <w:r w:rsidRPr="006402A5">
              <w:t>(re pre</w:t>
            </w:r>
            <w:r>
              <w:t>-</w:t>
            </w:r>
            <w:r w:rsidRPr="006402A5">
              <w:t>reorganisation accounts/</w:t>
            </w:r>
            <w:r>
              <w:t xml:space="preserve"> </w:t>
            </w:r>
            <w:r w:rsidRPr="006402A5">
              <w:t>opening balances)</w:t>
            </w:r>
          </w:p>
          <w:p w14:paraId="78C80802" w14:textId="77777777" w:rsidR="006E7AE7" w:rsidRPr="00A442AF" w:rsidRDefault="006E7AE7" w:rsidP="009E2768">
            <w:pPr>
              <w:pStyle w:val="Bodytext"/>
            </w:pPr>
            <w:r w:rsidRPr="006402A5">
              <w:t>Establish audit protocols</w:t>
            </w:r>
          </w:p>
          <w:p w14:paraId="2CE821D3" w14:textId="77777777" w:rsidR="006E7AE7" w:rsidRPr="00A442AF" w:rsidRDefault="006E7AE7" w:rsidP="009E2768">
            <w:pPr>
              <w:pStyle w:val="Bodytext"/>
            </w:pPr>
            <w:r w:rsidRPr="006402A5">
              <w:t xml:space="preserve">Agree an audit plan </w:t>
            </w:r>
          </w:p>
          <w:p w14:paraId="6066611C" w14:textId="77777777" w:rsidR="006E7AE7" w:rsidRPr="00A442AF" w:rsidRDefault="006E7AE7" w:rsidP="009E2768">
            <w:pPr>
              <w:pStyle w:val="Bodytext"/>
            </w:pPr>
            <w:r w:rsidRPr="006402A5">
              <w:t>Arrange for the audit of any part</w:t>
            </w:r>
            <w:r>
              <w:t>-</w:t>
            </w:r>
            <w:r w:rsidRPr="006402A5">
              <w:t>year annual report and accounts to be completed on a timely basis</w:t>
            </w:r>
          </w:p>
          <w:p w14:paraId="52A8579F" w14:textId="77777777" w:rsidR="006E7AE7" w:rsidRPr="00A442AF" w:rsidRDefault="006E7AE7" w:rsidP="009E2768">
            <w:pPr>
              <w:pStyle w:val="Bodytext"/>
            </w:pPr>
            <w:r w:rsidRPr="006402A5">
              <w:t>Review outstanding actions and ensure that responsibility to complete them is transferred to the new body</w:t>
            </w:r>
          </w:p>
          <w:p w14:paraId="1F36508C" w14:textId="77777777" w:rsidR="006E7AE7" w:rsidRPr="00A442AF" w:rsidRDefault="006E7AE7" w:rsidP="009E2768">
            <w:pPr>
              <w:pStyle w:val="Bodytext"/>
            </w:pPr>
            <w:r w:rsidRPr="006402A5">
              <w:t>Ensure that links exist and work between external and internal audit</w:t>
            </w:r>
          </w:p>
          <w:p w14:paraId="01BCBFEA" w14:textId="77777777" w:rsidR="006E7AE7" w:rsidRPr="00A442AF" w:rsidRDefault="006E7AE7" w:rsidP="009E2768">
            <w:pPr>
              <w:pStyle w:val="Bodytext"/>
            </w:pPr>
            <w:r w:rsidRPr="006402A5">
              <w:t>Ensure that appropriate external assurances (for example the service auditor report on SBS, ESR</w:t>
            </w:r>
            <w:r>
              <w:t xml:space="preserve"> and local shared service providers</w:t>
            </w:r>
            <w:r w:rsidRPr="006402A5">
              <w:t>) are received for any systems used prior to the reorganisation by any of the bodies involved even if the system is not used by the new body/bodies</w:t>
            </w:r>
          </w:p>
          <w:p w14:paraId="411B1833" w14:textId="77777777" w:rsidR="006E7AE7" w:rsidRPr="00A442AF" w:rsidRDefault="006E7AE7" w:rsidP="009E2768">
            <w:pPr>
              <w:pStyle w:val="Bodytext"/>
            </w:pPr>
            <w:r w:rsidRPr="006402A5">
              <w:t>Ensure that any necessary information is obtained to prepare final accounts (for example, information relating to pensions for the remuneration report).  In particular, consider whether appropriate information is available relating to demising bodies and the members of their governing bodies</w:t>
            </w:r>
          </w:p>
        </w:tc>
        <w:tc>
          <w:tcPr>
            <w:tcW w:w="1134" w:type="dxa"/>
          </w:tcPr>
          <w:p w14:paraId="477C2C1A" w14:textId="77777777" w:rsidR="006E7AE7" w:rsidRPr="00A442AF" w:rsidRDefault="006E7AE7" w:rsidP="009E2768">
            <w:pPr>
              <w:pStyle w:val="Bodytext"/>
            </w:pPr>
          </w:p>
        </w:tc>
        <w:tc>
          <w:tcPr>
            <w:tcW w:w="1560" w:type="dxa"/>
          </w:tcPr>
          <w:p w14:paraId="01B4CE8C" w14:textId="77777777" w:rsidR="006E7AE7" w:rsidRPr="00A442AF" w:rsidRDefault="006E7AE7" w:rsidP="009E2768">
            <w:pPr>
              <w:pStyle w:val="Bodytext"/>
            </w:pPr>
          </w:p>
        </w:tc>
      </w:tr>
      <w:tr w:rsidR="006E7AE7" w:rsidRPr="006402A5" w14:paraId="6CEF1AF9" w14:textId="77777777" w:rsidTr="009E2768">
        <w:tc>
          <w:tcPr>
            <w:tcW w:w="6345" w:type="dxa"/>
          </w:tcPr>
          <w:p w14:paraId="7827CC17" w14:textId="77777777" w:rsidR="006E7AE7" w:rsidRPr="00A442AF" w:rsidRDefault="006E7AE7" w:rsidP="009E2768">
            <w:pPr>
              <w:pStyle w:val="Bodytext"/>
            </w:pPr>
          </w:p>
        </w:tc>
        <w:tc>
          <w:tcPr>
            <w:tcW w:w="1134" w:type="dxa"/>
          </w:tcPr>
          <w:p w14:paraId="29CD8724" w14:textId="77777777" w:rsidR="006E7AE7" w:rsidRPr="00A442AF" w:rsidRDefault="006E7AE7" w:rsidP="009E2768">
            <w:pPr>
              <w:pStyle w:val="Bodytext"/>
            </w:pPr>
          </w:p>
        </w:tc>
        <w:tc>
          <w:tcPr>
            <w:tcW w:w="1560" w:type="dxa"/>
          </w:tcPr>
          <w:p w14:paraId="4CC6426D" w14:textId="77777777" w:rsidR="006E7AE7" w:rsidRPr="00A442AF" w:rsidRDefault="006E7AE7" w:rsidP="009E2768">
            <w:pPr>
              <w:pStyle w:val="Bodytext"/>
            </w:pPr>
          </w:p>
        </w:tc>
      </w:tr>
      <w:tr w:rsidR="006E7AE7" w:rsidRPr="006402A5" w14:paraId="1E453ED0" w14:textId="77777777" w:rsidTr="009E2768">
        <w:tc>
          <w:tcPr>
            <w:tcW w:w="6345" w:type="dxa"/>
          </w:tcPr>
          <w:p w14:paraId="2BEAB852" w14:textId="77777777" w:rsidR="006E7AE7" w:rsidRPr="00A442AF" w:rsidRDefault="006E7AE7" w:rsidP="009E2768">
            <w:pPr>
              <w:pStyle w:val="Bodytext"/>
            </w:pPr>
          </w:p>
        </w:tc>
        <w:tc>
          <w:tcPr>
            <w:tcW w:w="1134" w:type="dxa"/>
          </w:tcPr>
          <w:p w14:paraId="66ADF0FC" w14:textId="77777777" w:rsidR="006E7AE7" w:rsidRPr="00A442AF" w:rsidRDefault="006E7AE7" w:rsidP="009E2768">
            <w:pPr>
              <w:pStyle w:val="Bodytext"/>
            </w:pPr>
          </w:p>
        </w:tc>
        <w:tc>
          <w:tcPr>
            <w:tcW w:w="1560" w:type="dxa"/>
          </w:tcPr>
          <w:p w14:paraId="3A02F386" w14:textId="77777777" w:rsidR="006E7AE7" w:rsidRPr="00A442AF" w:rsidRDefault="006E7AE7" w:rsidP="009E2768">
            <w:pPr>
              <w:pStyle w:val="Bodytext"/>
            </w:pPr>
          </w:p>
        </w:tc>
      </w:tr>
    </w:tbl>
    <w:p w14:paraId="618770F3" w14:textId="77777777" w:rsidR="006E7AE7" w:rsidRPr="006402A5" w:rsidRDefault="006E7AE7" w:rsidP="006E7AE7">
      <w:pPr>
        <w:pStyle w:val="Heading2"/>
      </w:pPr>
      <w:r w:rsidRPr="006402A5">
        <w:t>SECTION C:</w:t>
      </w:r>
      <w:r w:rsidRPr="006402A5">
        <w:tab/>
        <w:t>FINANCIAL SERVICES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6DAA959B" w14:textId="77777777" w:rsidTr="009E2768">
        <w:trPr>
          <w:tblHeader/>
        </w:trPr>
        <w:tc>
          <w:tcPr>
            <w:tcW w:w="6345" w:type="dxa"/>
          </w:tcPr>
          <w:p w14:paraId="24050DBE" w14:textId="77777777" w:rsidR="006E7AE7" w:rsidRPr="00A760AA" w:rsidRDefault="006E7AE7" w:rsidP="009E2768">
            <w:pPr>
              <w:pStyle w:val="Bodytext"/>
              <w:rPr>
                <w:b/>
              </w:rPr>
            </w:pPr>
            <w:r w:rsidRPr="00A760AA">
              <w:rPr>
                <w:b/>
              </w:rPr>
              <w:t xml:space="preserve">Banking and </w:t>
            </w:r>
            <w:r>
              <w:rPr>
                <w:b/>
              </w:rPr>
              <w:t>c</w:t>
            </w:r>
            <w:r w:rsidRPr="00A760AA">
              <w:rPr>
                <w:b/>
              </w:rPr>
              <w:t xml:space="preserve">ash </w:t>
            </w:r>
            <w:r>
              <w:rPr>
                <w:b/>
              </w:rPr>
              <w:t>m</w:t>
            </w:r>
            <w:r w:rsidRPr="00A760AA">
              <w:rPr>
                <w:b/>
              </w:rPr>
              <w:t>anagement</w:t>
            </w:r>
          </w:p>
        </w:tc>
        <w:tc>
          <w:tcPr>
            <w:tcW w:w="1134" w:type="dxa"/>
          </w:tcPr>
          <w:p w14:paraId="70ED0857" w14:textId="77777777" w:rsidR="006E7AE7" w:rsidRPr="00A760AA" w:rsidRDefault="006E7AE7" w:rsidP="009E2768">
            <w:pPr>
              <w:pStyle w:val="Bodytext"/>
              <w:rPr>
                <w:b/>
              </w:rPr>
            </w:pPr>
            <w:r w:rsidRPr="00A760AA">
              <w:rPr>
                <w:b/>
              </w:rPr>
              <w:t>Deadline</w:t>
            </w:r>
          </w:p>
        </w:tc>
        <w:tc>
          <w:tcPr>
            <w:tcW w:w="1560" w:type="dxa"/>
          </w:tcPr>
          <w:p w14:paraId="5065D509" w14:textId="77777777" w:rsidR="006E7AE7" w:rsidRPr="00A760AA" w:rsidRDefault="006E7AE7" w:rsidP="009E2768">
            <w:pPr>
              <w:pStyle w:val="Bodytext"/>
              <w:rPr>
                <w:b/>
              </w:rPr>
            </w:pPr>
            <w:r w:rsidRPr="00A760AA">
              <w:rPr>
                <w:b/>
              </w:rPr>
              <w:t>Responsible individual</w:t>
            </w:r>
          </w:p>
        </w:tc>
      </w:tr>
      <w:tr w:rsidR="006E7AE7" w:rsidRPr="006402A5" w14:paraId="61874E87" w14:textId="77777777" w:rsidTr="009E2768">
        <w:tc>
          <w:tcPr>
            <w:tcW w:w="6345" w:type="dxa"/>
          </w:tcPr>
          <w:p w14:paraId="443A4542" w14:textId="77777777" w:rsidR="006E7AE7" w:rsidRPr="00A442AF" w:rsidRDefault="006E7AE7" w:rsidP="009E2768">
            <w:pPr>
              <w:pStyle w:val="Bodytext"/>
            </w:pPr>
            <w:r w:rsidRPr="006402A5">
              <w:t>Appoint one cash manager with responsibility for overseeing cash management and establish systems to monitor implementation of cash action plan</w:t>
            </w:r>
          </w:p>
          <w:p w14:paraId="0A7FC8D3" w14:textId="77777777" w:rsidR="006E7AE7" w:rsidRPr="00A442AF" w:rsidRDefault="006E7AE7" w:rsidP="009E2768">
            <w:pPr>
              <w:pStyle w:val="Bodytext"/>
            </w:pPr>
            <w:r w:rsidRPr="006402A5">
              <w:t>Identify all bank accounts maintained by each of the merging NHS bodies</w:t>
            </w:r>
          </w:p>
          <w:p w14:paraId="634803F1" w14:textId="77777777" w:rsidR="006E7AE7" w:rsidRPr="00A442AF" w:rsidRDefault="006E7AE7" w:rsidP="009E2768">
            <w:pPr>
              <w:pStyle w:val="Bodytext"/>
            </w:pPr>
            <w:r w:rsidRPr="006402A5">
              <w:t xml:space="preserve">Determine new NHS body’s banking requirements including clearing banks, </w:t>
            </w:r>
            <w:r>
              <w:t>government banking service (GBS)</w:t>
            </w:r>
            <w:r w:rsidRPr="006402A5">
              <w:t>, staff banking facilities on site</w:t>
            </w:r>
          </w:p>
          <w:p w14:paraId="5CCC24B8" w14:textId="77777777" w:rsidR="006E7AE7" w:rsidRPr="00A442AF" w:rsidRDefault="006E7AE7" w:rsidP="009E2768">
            <w:pPr>
              <w:pStyle w:val="Bodytext"/>
            </w:pPr>
            <w:r w:rsidRPr="006402A5">
              <w:t xml:space="preserve">Consider the need to undertake tender exercise for banking </w:t>
            </w:r>
          </w:p>
          <w:p w14:paraId="1EA97D77" w14:textId="77777777" w:rsidR="006E7AE7" w:rsidRPr="00A442AF" w:rsidRDefault="006E7AE7" w:rsidP="009E2768">
            <w:pPr>
              <w:pStyle w:val="Bodytext"/>
            </w:pPr>
            <w:r w:rsidRPr="006402A5">
              <w:t>Rationalise bank accounts ahead of the vesting date as much as possible</w:t>
            </w:r>
          </w:p>
          <w:p w14:paraId="673EF0CE" w14:textId="77777777" w:rsidR="006E7AE7" w:rsidRPr="00A442AF" w:rsidRDefault="006E7AE7" w:rsidP="009E2768">
            <w:pPr>
              <w:pStyle w:val="Bodytext"/>
            </w:pPr>
            <w:r w:rsidRPr="006402A5">
              <w:t>Determine interim arrangements if no time is available to rationalise before the vesting date</w:t>
            </w:r>
          </w:p>
          <w:p w14:paraId="74A8FFFA" w14:textId="77777777" w:rsidR="006E7AE7" w:rsidRPr="00A442AF" w:rsidRDefault="006E7AE7" w:rsidP="009E2768">
            <w:pPr>
              <w:pStyle w:val="Bodytext"/>
            </w:pPr>
            <w:r w:rsidRPr="006402A5">
              <w:t>Close redundant accounts</w:t>
            </w:r>
          </w:p>
          <w:p w14:paraId="1270FE4D" w14:textId="77777777" w:rsidR="006E7AE7" w:rsidRPr="00A442AF" w:rsidRDefault="006E7AE7" w:rsidP="009E2768">
            <w:pPr>
              <w:pStyle w:val="Bodytext"/>
            </w:pPr>
            <w:r w:rsidRPr="006402A5">
              <w:t>Open new accounts</w:t>
            </w:r>
          </w:p>
          <w:p w14:paraId="13D899C8" w14:textId="77777777" w:rsidR="006E7AE7" w:rsidRPr="00A442AF" w:rsidRDefault="006E7AE7" w:rsidP="009E2768">
            <w:pPr>
              <w:pStyle w:val="Bodytext"/>
            </w:pPr>
            <w:r w:rsidRPr="006402A5">
              <w:t>Ensure continuity of security for cash collection locations</w:t>
            </w:r>
          </w:p>
          <w:p w14:paraId="77903DE8" w14:textId="77777777" w:rsidR="006E7AE7" w:rsidRPr="00A442AF" w:rsidRDefault="006E7AE7" w:rsidP="009E2768">
            <w:pPr>
              <w:pStyle w:val="Bodytext"/>
            </w:pPr>
            <w:r w:rsidRPr="006402A5">
              <w:t>Ensure stationery (especially payable orders</w:t>
            </w:r>
            <w:r>
              <w:t xml:space="preserve"> (</w:t>
            </w:r>
            <w:r w:rsidRPr="006402A5">
              <w:t>POs</w:t>
            </w:r>
            <w:r>
              <w:t>) and</w:t>
            </w:r>
            <w:r w:rsidRPr="006402A5">
              <w:t xml:space="preserve"> cheques) is ordered and received with name of new merged body (if applicable) or ensure stocks of stationery are distributed across the new body</w:t>
            </w:r>
          </w:p>
          <w:p w14:paraId="73A3EC95" w14:textId="77777777" w:rsidR="006E7AE7" w:rsidRPr="00A442AF" w:rsidRDefault="006E7AE7" w:rsidP="009E2768">
            <w:pPr>
              <w:pStyle w:val="Bodytext"/>
            </w:pPr>
            <w:r w:rsidRPr="006402A5">
              <w:t>Arrange for closure of accounts, transfer of balances and ensure redirection instructions are in place</w:t>
            </w:r>
          </w:p>
          <w:p w14:paraId="72B80158" w14:textId="77777777" w:rsidR="006E7AE7" w:rsidRPr="00A442AF" w:rsidRDefault="006E7AE7" w:rsidP="009E2768">
            <w:pPr>
              <w:pStyle w:val="Bodytext"/>
            </w:pPr>
            <w:r w:rsidRPr="006402A5">
              <w:t>Agree treatment of outstanding cheques/</w:t>
            </w:r>
            <w:r>
              <w:t xml:space="preserve"> </w:t>
            </w:r>
            <w:r w:rsidRPr="006402A5">
              <w:t>POs and bank charges</w:t>
            </w:r>
          </w:p>
          <w:p w14:paraId="1818787E" w14:textId="77777777" w:rsidR="006E7AE7" w:rsidRPr="00A442AF" w:rsidRDefault="006E7AE7" w:rsidP="009E2768">
            <w:pPr>
              <w:pStyle w:val="Bodytext"/>
            </w:pPr>
            <w:r w:rsidRPr="006402A5">
              <w:t xml:space="preserve">Inform suppliers of change in organisational structure and new payment arrangements (experience shows that this process should be started early and at least </w:t>
            </w:r>
            <w:r>
              <w:t>two</w:t>
            </w:r>
            <w:r w:rsidRPr="006402A5">
              <w:t xml:space="preserve"> letters should be sent).  Inform suppliers that any debts will be pursued by the new organisations and balances will be paid by the new organisation</w:t>
            </w:r>
          </w:p>
          <w:p w14:paraId="7DD3466C" w14:textId="77777777" w:rsidR="006E7AE7" w:rsidRPr="00A442AF" w:rsidRDefault="006E7AE7" w:rsidP="009E2768">
            <w:pPr>
              <w:pStyle w:val="Bodytext"/>
            </w:pPr>
            <w:r w:rsidRPr="006402A5">
              <w:t>Agree a final date for paying invoices from the ‘old’ bank accounts</w:t>
            </w:r>
          </w:p>
          <w:p w14:paraId="2D419678" w14:textId="77777777" w:rsidR="006E7AE7" w:rsidRPr="00A442AF" w:rsidRDefault="006E7AE7" w:rsidP="009E2768">
            <w:pPr>
              <w:pStyle w:val="Bodytext"/>
            </w:pPr>
            <w:r w:rsidRPr="006402A5">
              <w:t>Inform suppliers of the final date for sending invoices to the demising body</w:t>
            </w:r>
          </w:p>
          <w:p w14:paraId="48364F89" w14:textId="77777777" w:rsidR="006E7AE7" w:rsidRPr="00A442AF" w:rsidRDefault="006E7AE7" w:rsidP="009E2768">
            <w:pPr>
              <w:pStyle w:val="Bodytext"/>
            </w:pPr>
            <w:r w:rsidRPr="006402A5">
              <w:lastRenderedPageBreak/>
              <w:t>(NHS trusts/CCGs) Liaise across pre</w:t>
            </w:r>
            <w:r>
              <w:t>-</w:t>
            </w:r>
            <w:r w:rsidRPr="006402A5">
              <w:t xml:space="preserve"> and post</w:t>
            </w:r>
            <w:r>
              <w:t>-</w:t>
            </w:r>
            <w:r w:rsidRPr="006402A5">
              <w:t>vesting dates to ensure existing EFL/</w:t>
            </w:r>
            <w:r>
              <w:t xml:space="preserve"> </w:t>
            </w:r>
            <w:r w:rsidRPr="006402A5">
              <w:t>CRL targets are achieved and to manage cash at the vesting date</w:t>
            </w:r>
          </w:p>
          <w:p w14:paraId="669621B8" w14:textId="77777777" w:rsidR="006E7AE7" w:rsidRPr="00A442AF" w:rsidRDefault="006E7AE7" w:rsidP="009E2768">
            <w:pPr>
              <w:pStyle w:val="Bodytext"/>
            </w:pPr>
            <w:r w:rsidRPr="006402A5">
              <w:t>(NHS trusts) Ensure that arrangements have been made for the new body to have access to appropriate pigeonholes. In particular, a new cash pigeonhole will be required if there is a new organisational code</w:t>
            </w:r>
          </w:p>
          <w:p w14:paraId="28987FB7" w14:textId="77777777" w:rsidR="006E7AE7" w:rsidRPr="00A442AF" w:rsidRDefault="006E7AE7" w:rsidP="009E2768">
            <w:pPr>
              <w:pStyle w:val="Bodytext"/>
            </w:pPr>
            <w:r w:rsidRPr="006402A5">
              <w:t xml:space="preserve">Identify the </w:t>
            </w:r>
            <w:r>
              <w:t xml:space="preserve">new </w:t>
            </w:r>
            <w:r w:rsidRPr="006402A5">
              <w:t>NHS body’s likely cash position post reorganisation and prepare forecast</w:t>
            </w:r>
          </w:p>
          <w:p w14:paraId="7D684A39" w14:textId="77777777" w:rsidR="006E7AE7" w:rsidRPr="00A442AF" w:rsidRDefault="006E7AE7" w:rsidP="009E2768">
            <w:pPr>
              <w:pStyle w:val="Bodytext"/>
            </w:pPr>
            <w:r w:rsidRPr="006402A5">
              <w:t>Arrange working capital facility if appropriate</w:t>
            </w:r>
          </w:p>
          <w:p w14:paraId="24F45622" w14:textId="77777777" w:rsidR="006E7AE7" w:rsidRPr="00A442AF" w:rsidRDefault="006E7AE7" w:rsidP="009E2768">
            <w:pPr>
              <w:pStyle w:val="Bodytext"/>
            </w:pPr>
            <w:r w:rsidRPr="006402A5">
              <w:t>(Foundation trusts) Prepare investment/</w:t>
            </w:r>
            <w:r>
              <w:t xml:space="preserve"> </w:t>
            </w:r>
            <w:r w:rsidRPr="006402A5">
              <w:t>treasury management policy</w:t>
            </w:r>
          </w:p>
          <w:p w14:paraId="4C991FB5" w14:textId="77777777" w:rsidR="006E7AE7" w:rsidRPr="00A442AF" w:rsidRDefault="006E7AE7" w:rsidP="009E2768">
            <w:pPr>
              <w:pStyle w:val="Bodytext"/>
            </w:pPr>
            <w:r w:rsidRPr="006402A5">
              <w:t>Determine authorisation levels/controls over major cash transactions including short</w:t>
            </w:r>
            <w:r>
              <w:t>-</w:t>
            </w:r>
            <w:r w:rsidRPr="006402A5">
              <w:t>term borrowing</w:t>
            </w:r>
          </w:p>
          <w:p w14:paraId="296235ED" w14:textId="77777777" w:rsidR="006E7AE7" w:rsidRPr="00A442AF" w:rsidRDefault="006E7AE7" w:rsidP="009E2768">
            <w:pPr>
              <w:pStyle w:val="Bodytext"/>
            </w:pPr>
            <w:r w:rsidRPr="006402A5">
              <w:t>Agree final reconciliation of bank accounts</w:t>
            </w:r>
          </w:p>
          <w:p w14:paraId="37BB9067" w14:textId="77777777" w:rsidR="006E7AE7" w:rsidRPr="00A442AF" w:rsidRDefault="006E7AE7" w:rsidP="009E2768">
            <w:pPr>
              <w:pStyle w:val="Bodytext"/>
            </w:pPr>
            <w:r w:rsidRPr="006402A5">
              <w:t>Complete new mandate and forward to banker(s)</w:t>
            </w:r>
          </w:p>
          <w:p w14:paraId="319F87F3" w14:textId="77777777" w:rsidR="006E7AE7" w:rsidRPr="00A442AF" w:rsidRDefault="006E7AE7" w:rsidP="009E2768">
            <w:pPr>
              <w:pStyle w:val="Bodytext"/>
            </w:pPr>
            <w:r w:rsidRPr="006402A5">
              <w:t>Set up a GBS account for the new NHS body and inform all NHS bodies of new details</w:t>
            </w:r>
          </w:p>
          <w:p w14:paraId="502F4886" w14:textId="77777777" w:rsidR="006E7AE7" w:rsidRPr="00A442AF" w:rsidRDefault="006E7AE7" w:rsidP="009E2768">
            <w:pPr>
              <w:pStyle w:val="Bodytext"/>
            </w:pPr>
            <w:r w:rsidRPr="006402A5">
              <w:t xml:space="preserve">Inform any non-NHS bodies </w:t>
            </w:r>
            <w:r>
              <w:t>which</w:t>
            </w:r>
            <w:r w:rsidRPr="006402A5">
              <w:t xml:space="preserve"> pay electronically of the new bank details</w:t>
            </w:r>
          </w:p>
          <w:p w14:paraId="40FE0EF4" w14:textId="77777777" w:rsidR="006E7AE7" w:rsidRPr="00A442AF" w:rsidRDefault="006E7AE7" w:rsidP="009E2768">
            <w:pPr>
              <w:pStyle w:val="Bodytext"/>
            </w:pPr>
            <w:r w:rsidRPr="006402A5">
              <w:t>(CCGs only) Notify the NHS England cash funding team of the chief financial officer’s name, the NHS body’s address and the GBS account number</w:t>
            </w:r>
          </w:p>
          <w:p w14:paraId="6D906B0C" w14:textId="77777777" w:rsidR="006E7AE7" w:rsidRPr="00A442AF" w:rsidRDefault="006E7AE7" w:rsidP="009E2768">
            <w:pPr>
              <w:pStyle w:val="Bodytext"/>
            </w:pPr>
            <w:r w:rsidRPr="006402A5">
              <w:t>Arrange with banker and BACS to ensure continu</w:t>
            </w:r>
            <w:r>
              <w:t>ity</w:t>
            </w:r>
            <w:r w:rsidRPr="006402A5">
              <w:t xml:space="preserve"> of existing BACS and transition to new BACS arrangements</w:t>
            </w:r>
          </w:p>
          <w:p w14:paraId="5867A557" w14:textId="77777777" w:rsidR="006E7AE7" w:rsidRPr="00A442AF" w:rsidRDefault="006E7AE7" w:rsidP="009E2768">
            <w:pPr>
              <w:pStyle w:val="Bodytext"/>
            </w:pPr>
            <w:r w:rsidRPr="006402A5">
              <w:t>Change bank account references on stationery (for example, receivable accounts)</w:t>
            </w:r>
          </w:p>
          <w:p w14:paraId="1B3EEFB9" w14:textId="77777777" w:rsidR="006E7AE7" w:rsidRPr="00A442AF" w:rsidRDefault="006E7AE7" w:rsidP="009E2768">
            <w:pPr>
              <w:pStyle w:val="Bodytext"/>
            </w:pPr>
            <w:r w:rsidRPr="006402A5">
              <w:t>Destroy old stationery including cheques/</w:t>
            </w:r>
            <w:r>
              <w:t xml:space="preserve"> </w:t>
            </w:r>
            <w:r w:rsidRPr="006402A5">
              <w:t>POs. Evidence for audit purposes</w:t>
            </w:r>
          </w:p>
          <w:p w14:paraId="587F3C03" w14:textId="77777777" w:rsidR="006E7AE7" w:rsidRPr="00A442AF" w:rsidRDefault="006E7AE7" w:rsidP="009E2768">
            <w:pPr>
              <w:pStyle w:val="Bodytext"/>
            </w:pPr>
            <w:r w:rsidRPr="006402A5">
              <w:t>Ensure that all patients’ monies and valuables are accounted for correctly and that relevant staff know how to deal with them consistently across whole body</w:t>
            </w:r>
            <w:r>
              <w:rPr>
                <w:rStyle w:val="FootnoteReference"/>
                <w:rFonts w:cs="Arial"/>
                <w:szCs w:val="22"/>
              </w:rPr>
              <w:footnoteReference w:id="5"/>
            </w:r>
            <w:r w:rsidRPr="006402A5">
              <w:t xml:space="preserve"> </w:t>
            </w:r>
          </w:p>
          <w:p w14:paraId="242E1496" w14:textId="77777777" w:rsidR="006E7AE7" w:rsidRPr="00A442AF" w:rsidRDefault="006E7AE7" w:rsidP="009E2768">
            <w:pPr>
              <w:pStyle w:val="Bodytext"/>
            </w:pPr>
            <w:r w:rsidRPr="006402A5">
              <w:t>Ensure petty cash facilities are appropriate to needs and that processes for reimbursement are amended as required</w:t>
            </w:r>
          </w:p>
          <w:p w14:paraId="16D87BA3" w14:textId="77777777" w:rsidR="006E7AE7" w:rsidRPr="00A442AF" w:rsidRDefault="006E7AE7" w:rsidP="009E2768">
            <w:pPr>
              <w:pStyle w:val="Bodytext"/>
            </w:pPr>
            <w:r w:rsidRPr="006402A5">
              <w:t>Review franking machine requirements and ensure facilities are in place</w:t>
            </w:r>
          </w:p>
          <w:p w14:paraId="0A0BD816" w14:textId="77777777" w:rsidR="006E7AE7" w:rsidRPr="00A442AF" w:rsidRDefault="006E7AE7" w:rsidP="009E2768">
            <w:pPr>
              <w:pStyle w:val="Bodytext"/>
            </w:pPr>
            <w:r w:rsidRPr="006402A5">
              <w:t xml:space="preserve">Review financial procedure notes from all bodies involved in the reorganisation. Consider whether they are fit for purpose </w:t>
            </w:r>
            <w:r w:rsidRPr="006402A5">
              <w:lastRenderedPageBreak/>
              <w:t>for the new body (it may be the new body is sufficiently different to the old bodies that it needs new procedures and no procedures can be rolled over).</w:t>
            </w:r>
            <w:r>
              <w:t xml:space="preserve"> </w:t>
            </w:r>
            <w:r w:rsidRPr="006402A5">
              <w:t>Write and issue revised financial procedure notes</w:t>
            </w:r>
          </w:p>
          <w:p w14:paraId="036D7C7E" w14:textId="77777777" w:rsidR="006E7AE7" w:rsidRPr="00A442AF" w:rsidRDefault="006E7AE7" w:rsidP="009E2768">
            <w:pPr>
              <w:pStyle w:val="Bodytext"/>
            </w:pPr>
            <w:r w:rsidRPr="006402A5">
              <w:t>Arrange training for staff (including hospital cashiers, ward and finance staff) so that they can implement revised procedures</w:t>
            </w:r>
          </w:p>
        </w:tc>
        <w:tc>
          <w:tcPr>
            <w:tcW w:w="1134" w:type="dxa"/>
          </w:tcPr>
          <w:p w14:paraId="1A4D9F9A" w14:textId="77777777" w:rsidR="006E7AE7" w:rsidRPr="00A442AF" w:rsidRDefault="006E7AE7" w:rsidP="009E2768">
            <w:pPr>
              <w:pStyle w:val="Bodytext"/>
            </w:pPr>
          </w:p>
        </w:tc>
        <w:tc>
          <w:tcPr>
            <w:tcW w:w="1560" w:type="dxa"/>
          </w:tcPr>
          <w:p w14:paraId="2EF0A8C5" w14:textId="77777777" w:rsidR="006E7AE7" w:rsidRPr="00A442AF" w:rsidRDefault="006E7AE7" w:rsidP="009E2768">
            <w:pPr>
              <w:pStyle w:val="Bodytext"/>
            </w:pPr>
          </w:p>
        </w:tc>
      </w:tr>
      <w:tr w:rsidR="006E7AE7" w:rsidRPr="006402A5" w14:paraId="02E3441A" w14:textId="77777777" w:rsidTr="009E2768">
        <w:tc>
          <w:tcPr>
            <w:tcW w:w="6345" w:type="dxa"/>
          </w:tcPr>
          <w:p w14:paraId="1EDC7D64" w14:textId="77777777" w:rsidR="006E7AE7" w:rsidRPr="00A442AF" w:rsidRDefault="006E7AE7" w:rsidP="009E2768">
            <w:pPr>
              <w:pStyle w:val="Bodytext"/>
            </w:pPr>
          </w:p>
        </w:tc>
        <w:tc>
          <w:tcPr>
            <w:tcW w:w="1134" w:type="dxa"/>
          </w:tcPr>
          <w:p w14:paraId="0BC331D5" w14:textId="77777777" w:rsidR="006E7AE7" w:rsidRPr="00A442AF" w:rsidRDefault="006E7AE7" w:rsidP="009E2768">
            <w:pPr>
              <w:pStyle w:val="Bodytext"/>
            </w:pPr>
          </w:p>
        </w:tc>
        <w:tc>
          <w:tcPr>
            <w:tcW w:w="1560" w:type="dxa"/>
          </w:tcPr>
          <w:p w14:paraId="5A5B7D50" w14:textId="77777777" w:rsidR="006E7AE7" w:rsidRPr="00A442AF" w:rsidRDefault="006E7AE7" w:rsidP="009E2768">
            <w:pPr>
              <w:pStyle w:val="Bodytext"/>
            </w:pPr>
          </w:p>
        </w:tc>
      </w:tr>
      <w:tr w:rsidR="006E7AE7" w:rsidRPr="00A760AA" w14:paraId="7993003F" w14:textId="77777777" w:rsidTr="009E2768">
        <w:trPr>
          <w:tblHeader/>
        </w:trPr>
        <w:tc>
          <w:tcPr>
            <w:tcW w:w="6345" w:type="dxa"/>
          </w:tcPr>
          <w:p w14:paraId="63B84B59" w14:textId="77777777" w:rsidR="006E7AE7" w:rsidRPr="00A760AA" w:rsidRDefault="006E7AE7" w:rsidP="009E2768">
            <w:pPr>
              <w:pStyle w:val="Bodytext"/>
              <w:rPr>
                <w:b/>
              </w:rPr>
            </w:pPr>
          </w:p>
        </w:tc>
        <w:tc>
          <w:tcPr>
            <w:tcW w:w="1134" w:type="dxa"/>
          </w:tcPr>
          <w:p w14:paraId="302F6E20" w14:textId="77777777" w:rsidR="006E7AE7" w:rsidRPr="00A760AA" w:rsidRDefault="006E7AE7" w:rsidP="009E2768">
            <w:pPr>
              <w:pStyle w:val="Bodytext"/>
              <w:rPr>
                <w:b/>
              </w:rPr>
            </w:pPr>
          </w:p>
        </w:tc>
        <w:tc>
          <w:tcPr>
            <w:tcW w:w="1560" w:type="dxa"/>
          </w:tcPr>
          <w:p w14:paraId="26A09579" w14:textId="77777777" w:rsidR="006E7AE7" w:rsidRPr="00A760AA" w:rsidRDefault="006E7AE7" w:rsidP="009E2768">
            <w:pPr>
              <w:pStyle w:val="Bodytext"/>
              <w:rPr>
                <w:b/>
              </w:rPr>
            </w:pPr>
          </w:p>
        </w:tc>
      </w:tr>
    </w:tbl>
    <w:p w14:paraId="177D610F" w14:textId="77777777" w:rsidR="006E7AE7"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A760AA" w14:paraId="15762AB7" w14:textId="77777777" w:rsidTr="009E2768">
        <w:trPr>
          <w:tblHeader/>
        </w:trPr>
        <w:tc>
          <w:tcPr>
            <w:tcW w:w="6345" w:type="dxa"/>
          </w:tcPr>
          <w:p w14:paraId="40012CC7" w14:textId="77777777" w:rsidR="006E7AE7" w:rsidRPr="00A760AA" w:rsidRDefault="006E7AE7" w:rsidP="009E2768">
            <w:pPr>
              <w:pStyle w:val="Bodytext"/>
              <w:rPr>
                <w:b/>
              </w:rPr>
            </w:pPr>
            <w:r w:rsidRPr="00A760AA">
              <w:rPr>
                <w:b/>
              </w:rPr>
              <w:t>Payroll</w:t>
            </w:r>
            <w:r w:rsidRPr="00A760AA">
              <w:rPr>
                <w:rStyle w:val="FootnoteReference"/>
                <w:rFonts w:cs="Arial"/>
                <w:b/>
                <w:szCs w:val="22"/>
              </w:rPr>
              <w:footnoteReference w:id="6"/>
            </w:r>
          </w:p>
        </w:tc>
        <w:tc>
          <w:tcPr>
            <w:tcW w:w="1134" w:type="dxa"/>
          </w:tcPr>
          <w:p w14:paraId="081FAE34" w14:textId="77777777" w:rsidR="006E7AE7" w:rsidRPr="00A760AA" w:rsidRDefault="006E7AE7" w:rsidP="009E2768">
            <w:pPr>
              <w:pStyle w:val="Bodytext"/>
              <w:rPr>
                <w:b/>
              </w:rPr>
            </w:pPr>
            <w:r w:rsidRPr="00A760AA">
              <w:rPr>
                <w:b/>
              </w:rPr>
              <w:t>Deadline</w:t>
            </w:r>
          </w:p>
        </w:tc>
        <w:tc>
          <w:tcPr>
            <w:tcW w:w="1560" w:type="dxa"/>
          </w:tcPr>
          <w:p w14:paraId="426AC78C" w14:textId="77777777" w:rsidR="006E7AE7" w:rsidRPr="00A760AA" w:rsidRDefault="006E7AE7" w:rsidP="009E2768">
            <w:pPr>
              <w:pStyle w:val="Bodytext"/>
              <w:rPr>
                <w:b/>
              </w:rPr>
            </w:pPr>
            <w:r w:rsidRPr="00A760AA">
              <w:rPr>
                <w:b/>
              </w:rPr>
              <w:t>Responsible individual</w:t>
            </w:r>
          </w:p>
        </w:tc>
      </w:tr>
      <w:tr w:rsidR="006E7AE7" w:rsidRPr="006402A5" w14:paraId="173CD4A0" w14:textId="77777777" w:rsidTr="009E2768">
        <w:tc>
          <w:tcPr>
            <w:tcW w:w="6345" w:type="dxa"/>
          </w:tcPr>
          <w:p w14:paraId="715174B0" w14:textId="77777777" w:rsidR="006E7AE7" w:rsidRPr="00A442AF" w:rsidRDefault="006E7AE7" w:rsidP="009E2768">
            <w:pPr>
              <w:pStyle w:val="Bodytext"/>
            </w:pPr>
            <w:r w:rsidRPr="006402A5">
              <w:t>Specify payroll service requirements and determine if time constraints will force a period of dual running after the vesting date</w:t>
            </w:r>
          </w:p>
          <w:p w14:paraId="5CF66558" w14:textId="77777777" w:rsidR="006E7AE7" w:rsidRPr="00A442AF" w:rsidRDefault="006E7AE7" w:rsidP="009E2768">
            <w:pPr>
              <w:pStyle w:val="Bodytext"/>
            </w:pPr>
            <w:r w:rsidRPr="006402A5">
              <w:t>Where payroll service is not provided by a common provider for each NHS body, determine the service provider for the merged body</w:t>
            </w:r>
          </w:p>
          <w:p w14:paraId="739ABFE6" w14:textId="77777777" w:rsidR="006E7AE7" w:rsidRPr="00A442AF" w:rsidRDefault="006E7AE7" w:rsidP="009E2768">
            <w:pPr>
              <w:pStyle w:val="Bodytext"/>
            </w:pPr>
            <w:r w:rsidRPr="006402A5">
              <w:t>If applicable, discuss new arrangements with ESR and determine their information requirements and timescales</w:t>
            </w:r>
          </w:p>
          <w:p w14:paraId="12C0E014" w14:textId="77777777" w:rsidR="006E7AE7" w:rsidRPr="00A442AF" w:rsidRDefault="006E7AE7" w:rsidP="009E2768">
            <w:pPr>
              <w:pStyle w:val="Bodytext"/>
            </w:pPr>
            <w:r w:rsidRPr="006402A5">
              <w:t xml:space="preserve">If applicable, discuss new arrangements with SBS and determine their information requirements </w:t>
            </w:r>
            <w:r>
              <w:t xml:space="preserve">and </w:t>
            </w:r>
            <w:r w:rsidRPr="006402A5">
              <w:t>timescales</w:t>
            </w:r>
          </w:p>
          <w:p w14:paraId="0C612D1F" w14:textId="77777777" w:rsidR="006E7AE7" w:rsidRPr="00A442AF" w:rsidRDefault="006E7AE7" w:rsidP="009E2768">
            <w:pPr>
              <w:pStyle w:val="Bodytext"/>
            </w:pPr>
            <w:r w:rsidRPr="006402A5">
              <w:t>Continue to liaise with external providers throughout the transfer</w:t>
            </w:r>
          </w:p>
          <w:p w14:paraId="070CA72D" w14:textId="77777777" w:rsidR="006E7AE7" w:rsidRPr="00A442AF" w:rsidRDefault="006E7AE7" w:rsidP="009E2768">
            <w:pPr>
              <w:pStyle w:val="Bodytext"/>
            </w:pPr>
            <w:r w:rsidRPr="006402A5">
              <w:t>Inform HMRC and NHS Business Services Authority (for NHS Pensions) of proposed changes</w:t>
            </w:r>
          </w:p>
          <w:p w14:paraId="0B762392" w14:textId="77777777" w:rsidR="006E7AE7" w:rsidRPr="00A442AF" w:rsidRDefault="006E7AE7" w:rsidP="009E2768">
            <w:pPr>
              <w:pStyle w:val="Bodytext"/>
            </w:pPr>
            <w:r w:rsidRPr="006402A5">
              <w:t>Ensure that payroll dates are understood and aligned (ensure staff are consulted where required)</w:t>
            </w:r>
          </w:p>
          <w:p w14:paraId="4E3F50AF" w14:textId="77777777" w:rsidR="006E7AE7" w:rsidRPr="00A442AF" w:rsidRDefault="006E7AE7" w:rsidP="009E2768">
            <w:pPr>
              <w:pStyle w:val="Bodytext"/>
            </w:pPr>
            <w:r w:rsidRPr="006402A5">
              <w:t>Determine arrangements for payment of statutory deductions and pension contributions and other payroll deductions</w:t>
            </w:r>
          </w:p>
          <w:p w14:paraId="6E072FB3" w14:textId="77777777" w:rsidR="006E7AE7" w:rsidRPr="00A442AF" w:rsidRDefault="006E7AE7" w:rsidP="009E2768">
            <w:pPr>
              <w:pStyle w:val="Bodytext"/>
            </w:pPr>
            <w:r w:rsidRPr="006402A5">
              <w:t>Identify whether any staff belong to any other pension schemes. Contact those pension schemes and inform them of the proposed changes</w:t>
            </w:r>
          </w:p>
          <w:p w14:paraId="24BDD5F9" w14:textId="77777777" w:rsidR="006E7AE7" w:rsidRPr="00A442AF" w:rsidRDefault="006E7AE7" w:rsidP="009E2768">
            <w:pPr>
              <w:pStyle w:val="Bodytext"/>
            </w:pPr>
            <w:r w:rsidRPr="006402A5">
              <w:t>Identify any staff who retired before 1995 for which payments are being made on an annual or monthly basis. Review the list of payments to ensure that it is valid and take into account when setting budgets</w:t>
            </w:r>
          </w:p>
          <w:p w14:paraId="21C67352" w14:textId="77777777" w:rsidR="006E7AE7" w:rsidRPr="00A442AF" w:rsidRDefault="006E7AE7" w:rsidP="009E2768">
            <w:pPr>
              <w:pStyle w:val="Bodytext"/>
            </w:pPr>
            <w:r w:rsidRPr="006402A5">
              <w:t>Arrange to have the new NHS body’s name added to payslips</w:t>
            </w:r>
          </w:p>
          <w:p w14:paraId="5542DDAA" w14:textId="77777777" w:rsidR="006E7AE7" w:rsidRPr="00A442AF" w:rsidRDefault="006E7AE7" w:rsidP="009E2768">
            <w:pPr>
              <w:pStyle w:val="Bodytext"/>
            </w:pPr>
            <w:r w:rsidRPr="006402A5">
              <w:lastRenderedPageBreak/>
              <w:t>Ensure arrangements are in place with the human resources team for input and maintenance of payroll details</w:t>
            </w:r>
          </w:p>
          <w:p w14:paraId="013EAA8A" w14:textId="77777777" w:rsidR="006E7AE7" w:rsidRPr="00A442AF" w:rsidRDefault="006E7AE7" w:rsidP="009E2768">
            <w:pPr>
              <w:pStyle w:val="Bodytext"/>
            </w:pPr>
            <w:r w:rsidRPr="006402A5">
              <w:t>Ensure arrangements are in place for completing final returns for predecessor NHS bodies for tax, national insurance and superannuation</w:t>
            </w:r>
          </w:p>
          <w:p w14:paraId="5C211333" w14:textId="77777777" w:rsidR="006E7AE7" w:rsidRPr="00A442AF" w:rsidRDefault="006E7AE7" w:rsidP="009E2768">
            <w:pPr>
              <w:pStyle w:val="Bodytext"/>
            </w:pPr>
            <w:r w:rsidRPr="006402A5">
              <w:t>Review and standardise notification systems – for example, starter, changes, termination, sickness, holidays</w:t>
            </w:r>
          </w:p>
          <w:p w14:paraId="7BEA65AA" w14:textId="77777777" w:rsidR="006E7AE7" w:rsidRPr="00A442AF" w:rsidRDefault="006E7AE7" w:rsidP="009E2768">
            <w:pPr>
              <w:pStyle w:val="Bodytext"/>
            </w:pPr>
            <w:r w:rsidRPr="006402A5">
              <w:t>Liaise with human resources team regarding consultation with staff representatives where there are any changes in existing terms and conditions of service (for example, pay date, payment for overtime etc.)</w:t>
            </w:r>
          </w:p>
          <w:p w14:paraId="6A4B23C4" w14:textId="77777777" w:rsidR="006E7AE7" w:rsidRPr="00A442AF" w:rsidRDefault="006E7AE7" w:rsidP="009E2768">
            <w:pPr>
              <w:pStyle w:val="Bodytext"/>
            </w:pPr>
            <w:r w:rsidRPr="006402A5">
              <w:t>Inform all staff of new pay arrangements</w:t>
            </w:r>
          </w:p>
          <w:p w14:paraId="5FA7FD87" w14:textId="77777777" w:rsidR="006E7AE7" w:rsidRPr="00A442AF" w:rsidRDefault="006E7AE7" w:rsidP="009E2768">
            <w:pPr>
              <w:pStyle w:val="Bodytext"/>
            </w:pPr>
            <w:r w:rsidRPr="006402A5">
              <w:t>Ensure payroll system/ledger, personnel system interfaces are in place and operational</w:t>
            </w:r>
          </w:p>
          <w:p w14:paraId="4AB61064" w14:textId="77777777" w:rsidR="006E7AE7" w:rsidRPr="00A442AF" w:rsidRDefault="006E7AE7" w:rsidP="009E2768">
            <w:pPr>
              <w:pStyle w:val="Bodytext"/>
            </w:pPr>
            <w:r w:rsidRPr="006402A5">
              <w:t>Inform staff of any change of tax office as a result of reorganisation</w:t>
            </w:r>
          </w:p>
          <w:p w14:paraId="459F98D4" w14:textId="77777777" w:rsidR="006E7AE7" w:rsidRPr="00A442AF" w:rsidRDefault="006E7AE7" w:rsidP="009E2768">
            <w:pPr>
              <w:pStyle w:val="Bodytext"/>
            </w:pPr>
            <w:r w:rsidRPr="006402A5">
              <w:t>Agree arrangements for accounting/clearance of pre</w:t>
            </w:r>
            <w:r>
              <w:t>-</w:t>
            </w:r>
            <w:r w:rsidRPr="006402A5">
              <w:t>vesting date payroll receivables/payables including national insurance, tax, superannuation</w:t>
            </w:r>
          </w:p>
          <w:p w14:paraId="16B6E851" w14:textId="77777777" w:rsidR="006E7AE7" w:rsidRPr="00A442AF" w:rsidRDefault="006E7AE7" w:rsidP="009E2768">
            <w:pPr>
              <w:pStyle w:val="Bodytext"/>
            </w:pPr>
            <w:r w:rsidRPr="006402A5">
              <w:t>Convert payroll expenditure coding to any revised chart of accounts coding</w:t>
            </w:r>
          </w:p>
          <w:p w14:paraId="01FB231A" w14:textId="77777777" w:rsidR="006E7AE7" w:rsidRPr="00A442AF" w:rsidRDefault="006E7AE7" w:rsidP="009E2768">
            <w:pPr>
              <w:pStyle w:val="Bodytext"/>
            </w:pPr>
            <w:r w:rsidRPr="006402A5">
              <w:t>Select service provider (for example, in-house, contracted out, shared services agency)</w:t>
            </w:r>
          </w:p>
          <w:p w14:paraId="1A7E4E5A" w14:textId="77777777" w:rsidR="006E7AE7" w:rsidRPr="00A442AF" w:rsidRDefault="006E7AE7" w:rsidP="009E2768">
            <w:pPr>
              <w:pStyle w:val="Bodytext"/>
            </w:pPr>
            <w:r w:rsidRPr="006402A5">
              <w:t>Ensure any new system is properly tested prior to going live</w:t>
            </w:r>
          </w:p>
          <w:p w14:paraId="7A90851F" w14:textId="77777777" w:rsidR="006E7AE7" w:rsidRPr="00A442AF" w:rsidRDefault="006E7AE7" w:rsidP="009E2768">
            <w:pPr>
              <w:pStyle w:val="Bodytext"/>
            </w:pPr>
            <w:r w:rsidRPr="006402A5">
              <w:t>Ensure there is adequate liaison between the existing and new provider for handover of records to ensure a seamless transfer</w:t>
            </w:r>
          </w:p>
          <w:p w14:paraId="154FF079" w14:textId="77777777" w:rsidR="006E7AE7" w:rsidRPr="00A442AF" w:rsidRDefault="006E7AE7" w:rsidP="009E2768">
            <w:pPr>
              <w:pStyle w:val="Bodytext"/>
            </w:pPr>
            <w:r w:rsidRPr="006402A5">
              <w:t>Review approach to archiving and retention of old body records</w:t>
            </w:r>
          </w:p>
          <w:p w14:paraId="36C90F53" w14:textId="77777777" w:rsidR="006E7AE7" w:rsidRPr="00A442AF" w:rsidRDefault="006E7AE7" w:rsidP="009E2768">
            <w:pPr>
              <w:pStyle w:val="Bodytext"/>
            </w:pPr>
            <w:r w:rsidRPr="006402A5">
              <w:t>Review payroll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payroll procedure notes</w:t>
            </w:r>
          </w:p>
          <w:p w14:paraId="5A5DB3EC" w14:textId="77777777" w:rsidR="006E7AE7" w:rsidRDefault="006E7AE7" w:rsidP="009E2768">
            <w:pPr>
              <w:pStyle w:val="Bodytext"/>
            </w:pPr>
            <w:r w:rsidRPr="006402A5">
              <w:t xml:space="preserve">Arrange staff training – including new starter/ leaver processes (to ensure salary overpayments avoided) </w:t>
            </w:r>
          </w:p>
          <w:p w14:paraId="57CC5D98" w14:textId="77777777" w:rsidR="006E7AE7" w:rsidRDefault="006E7AE7" w:rsidP="009E2768">
            <w:pPr>
              <w:pStyle w:val="Bodytext"/>
            </w:pPr>
            <w:r>
              <w:t>Notify the Department of Education of the reorganisation to ensure that the apprenticeship levy digital account is transferred and accessible</w:t>
            </w:r>
          </w:p>
          <w:p w14:paraId="562F6988" w14:textId="77777777" w:rsidR="006E7AE7" w:rsidRPr="00A442AF" w:rsidRDefault="006E7AE7" w:rsidP="009E2768">
            <w:pPr>
              <w:pStyle w:val="Bodytext"/>
            </w:pPr>
            <w:r>
              <w:lastRenderedPageBreak/>
              <w:t>Liaise with the human resources team to ensure that any accreditation as a training provider is rolled over to the new organisation so the apprenticeship levy can still be accessed</w:t>
            </w:r>
          </w:p>
        </w:tc>
        <w:tc>
          <w:tcPr>
            <w:tcW w:w="1134" w:type="dxa"/>
          </w:tcPr>
          <w:p w14:paraId="73F07406" w14:textId="77777777" w:rsidR="006E7AE7" w:rsidRPr="00A442AF" w:rsidRDefault="006E7AE7" w:rsidP="009E2768">
            <w:pPr>
              <w:pStyle w:val="Bodytext"/>
            </w:pPr>
          </w:p>
        </w:tc>
        <w:tc>
          <w:tcPr>
            <w:tcW w:w="1560" w:type="dxa"/>
          </w:tcPr>
          <w:p w14:paraId="6AA0006A" w14:textId="77777777" w:rsidR="006E7AE7" w:rsidRPr="00A442AF" w:rsidRDefault="006E7AE7" w:rsidP="009E2768">
            <w:pPr>
              <w:pStyle w:val="Bodytext"/>
            </w:pPr>
          </w:p>
        </w:tc>
      </w:tr>
      <w:tr w:rsidR="006E7AE7" w:rsidRPr="006402A5" w14:paraId="7BE275E9" w14:textId="77777777" w:rsidTr="009E2768">
        <w:tc>
          <w:tcPr>
            <w:tcW w:w="6345" w:type="dxa"/>
          </w:tcPr>
          <w:p w14:paraId="13B5CA1B" w14:textId="77777777" w:rsidR="006E7AE7" w:rsidRPr="006402A5" w:rsidRDefault="006E7AE7" w:rsidP="009E2768">
            <w:pPr>
              <w:pStyle w:val="Bodytext"/>
            </w:pPr>
          </w:p>
        </w:tc>
        <w:tc>
          <w:tcPr>
            <w:tcW w:w="1134" w:type="dxa"/>
          </w:tcPr>
          <w:p w14:paraId="40172854" w14:textId="77777777" w:rsidR="006E7AE7" w:rsidRPr="00A442AF" w:rsidRDefault="006E7AE7" w:rsidP="009E2768">
            <w:pPr>
              <w:pStyle w:val="Bodytext"/>
            </w:pPr>
          </w:p>
        </w:tc>
        <w:tc>
          <w:tcPr>
            <w:tcW w:w="1560" w:type="dxa"/>
          </w:tcPr>
          <w:p w14:paraId="5372F309" w14:textId="77777777" w:rsidR="006E7AE7" w:rsidRPr="00A442AF" w:rsidRDefault="006E7AE7" w:rsidP="009E2768">
            <w:pPr>
              <w:pStyle w:val="Bodytext"/>
            </w:pPr>
          </w:p>
        </w:tc>
      </w:tr>
      <w:tr w:rsidR="006E7AE7" w:rsidRPr="006402A5" w14:paraId="3E38FAAD" w14:textId="77777777" w:rsidTr="009E2768">
        <w:tc>
          <w:tcPr>
            <w:tcW w:w="6345" w:type="dxa"/>
          </w:tcPr>
          <w:p w14:paraId="39D25D16" w14:textId="77777777" w:rsidR="006E7AE7" w:rsidRPr="006402A5" w:rsidRDefault="006E7AE7" w:rsidP="009E2768">
            <w:pPr>
              <w:pStyle w:val="Bodytext"/>
            </w:pPr>
          </w:p>
        </w:tc>
        <w:tc>
          <w:tcPr>
            <w:tcW w:w="1134" w:type="dxa"/>
          </w:tcPr>
          <w:p w14:paraId="5649EF21" w14:textId="77777777" w:rsidR="006E7AE7" w:rsidRPr="00A442AF" w:rsidRDefault="006E7AE7" w:rsidP="009E2768">
            <w:pPr>
              <w:pStyle w:val="Bodytext"/>
            </w:pPr>
          </w:p>
        </w:tc>
        <w:tc>
          <w:tcPr>
            <w:tcW w:w="1560" w:type="dxa"/>
          </w:tcPr>
          <w:p w14:paraId="6D67B288" w14:textId="77777777" w:rsidR="006E7AE7" w:rsidRPr="00A442AF" w:rsidRDefault="006E7AE7" w:rsidP="009E2768">
            <w:pPr>
              <w:pStyle w:val="Bodytext"/>
            </w:pPr>
          </w:p>
        </w:tc>
      </w:tr>
    </w:tbl>
    <w:p w14:paraId="2AF58EA6" w14:textId="77777777" w:rsidR="006E7AE7" w:rsidRDefault="006E7AE7" w:rsidP="006E7AE7">
      <w:pPr>
        <w:rPr>
          <w:rFonts w:cs="Arial"/>
          <w:szCs w:val="22"/>
        </w:rPr>
      </w:pPr>
    </w:p>
    <w:p w14:paraId="296E3AF1"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343B56" w14:paraId="10F48A8F" w14:textId="77777777" w:rsidTr="009E2768">
        <w:trPr>
          <w:tblHeader/>
        </w:trPr>
        <w:tc>
          <w:tcPr>
            <w:tcW w:w="6345" w:type="dxa"/>
          </w:tcPr>
          <w:p w14:paraId="04D7F1B7" w14:textId="77777777" w:rsidR="006E7AE7" w:rsidRPr="00343B56" w:rsidRDefault="006E7AE7" w:rsidP="009E2768">
            <w:pPr>
              <w:pStyle w:val="Bodytext"/>
              <w:rPr>
                <w:b/>
              </w:rPr>
            </w:pPr>
            <w:r w:rsidRPr="00343B56">
              <w:rPr>
                <w:b/>
              </w:rPr>
              <w:t>Expenses</w:t>
            </w:r>
          </w:p>
        </w:tc>
        <w:tc>
          <w:tcPr>
            <w:tcW w:w="1134" w:type="dxa"/>
          </w:tcPr>
          <w:p w14:paraId="6B60BBDD" w14:textId="77777777" w:rsidR="006E7AE7" w:rsidRPr="00343B56" w:rsidRDefault="006E7AE7" w:rsidP="009E2768">
            <w:pPr>
              <w:pStyle w:val="Bodytext"/>
              <w:rPr>
                <w:b/>
              </w:rPr>
            </w:pPr>
            <w:r w:rsidRPr="00343B56">
              <w:rPr>
                <w:b/>
              </w:rPr>
              <w:t>Deadline</w:t>
            </w:r>
          </w:p>
        </w:tc>
        <w:tc>
          <w:tcPr>
            <w:tcW w:w="1560" w:type="dxa"/>
          </w:tcPr>
          <w:p w14:paraId="79140AF0" w14:textId="77777777" w:rsidR="006E7AE7" w:rsidRPr="00343B56" w:rsidRDefault="006E7AE7" w:rsidP="009E2768">
            <w:pPr>
              <w:pStyle w:val="Bodytext"/>
              <w:rPr>
                <w:b/>
              </w:rPr>
            </w:pPr>
            <w:r w:rsidRPr="00343B56">
              <w:rPr>
                <w:b/>
              </w:rPr>
              <w:t>Responsible individual</w:t>
            </w:r>
          </w:p>
        </w:tc>
      </w:tr>
      <w:tr w:rsidR="006E7AE7" w:rsidRPr="006402A5" w14:paraId="3CBD3076" w14:textId="77777777" w:rsidTr="009E2768">
        <w:tc>
          <w:tcPr>
            <w:tcW w:w="6345" w:type="dxa"/>
          </w:tcPr>
          <w:p w14:paraId="10743CAF" w14:textId="77777777" w:rsidR="006E7AE7" w:rsidRPr="00A442AF" w:rsidRDefault="006E7AE7" w:rsidP="009E2768">
            <w:pPr>
              <w:pStyle w:val="Bodytext"/>
            </w:pPr>
            <w:r w:rsidRPr="006402A5">
              <w:t>Specify requirements for system for payment of staff expenses</w:t>
            </w:r>
          </w:p>
          <w:p w14:paraId="5648C9E8" w14:textId="77777777" w:rsidR="006E7AE7" w:rsidRPr="00A442AF" w:rsidRDefault="006E7AE7" w:rsidP="009E2768">
            <w:pPr>
              <w:pStyle w:val="Bodytext"/>
            </w:pPr>
            <w:r w:rsidRPr="006402A5">
              <w:t>Review existing arrangements for calculating and paying staff expenses</w:t>
            </w:r>
          </w:p>
          <w:p w14:paraId="4176BC4C" w14:textId="77777777" w:rsidR="006E7AE7" w:rsidRPr="00A442AF" w:rsidRDefault="006E7AE7" w:rsidP="009E2768">
            <w:pPr>
              <w:pStyle w:val="Bodytext"/>
            </w:pPr>
            <w:r w:rsidRPr="006402A5">
              <w:t>Decide on method of payment (i.e. payroll or standalone system)</w:t>
            </w:r>
          </w:p>
          <w:p w14:paraId="0322827C" w14:textId="77777777" w:rsidR="006E7AE7" w:rsidRPr="00A442AF" w:rsidRDefault="006E7AE7" w:rsidP="009E2768">
            <w:pPr>
              <w:pStyle w:val="Bodytext"/>
            </w:pPr>
            <w:r w:rsidRPr="006402A5">
              <w:t>Identify differences in systems, develop unified procedures and policy to ensure common treatment of:</w:t>
            </w:r>
          </w:p>
          <w:p w14:paraId="5DF47E7A" w14:textId="77777777" w:rsidR="006E7AE7" w:rsidRPr="00A442AF" w:rsidRDefault="006E7AE7" w:rsidP="009E2768">
            <w:pPr>
              <w:pStyle w:val="Bullet"/>
            </w:pPr>
            <w:r>
              <w:t>t</w:t>
            </w:r>
            <w:r w:rsidRPr="006402A5">
              <w:t>ravel expenses</w:t>
            </w:r>
          </w:p>
          <w:p w14:paraId="07A4E757" w14:textId="77777777" w:rsidR="006E7AE7" w:rsidRPr="00A442AF" w:rsidRDefault="006E7AE7" w:rsidP="009E2768">
            <w:pPr>
              <w:pStyle w:val="Bullet"/>
            </w:pPr>
            <w:r>
              <w:t>t</w:t>
            </w:r>
            <w:r w:rsidRPr="006402A5">
              <w:t>raining expenses</w:t>
            </w:r>
          </w:p>
          <w:p w14:paraId="5C4BB6FE" w14:textId="77777777" w:rsidR="006E7AE7" w:rsidRPr="00A442AF" w:rsidRDefault="006E7AE7" w:rsidP="009E2768">
            <w:pPr>
              <w:pStyle w:val="Bullet"/>
            </w:pPr>
            <w:r>
              <w:t>r</w:t>
            </w:r>
            <w:r w:rsidRPr="006402A5">
              <w:t>elocation</w:t>
            </w:r>
          </w:p>
          <w:p w14:paraId="5FB80590" w14:textId="77777777" w:rsidR="006E7AE7" w:rsidRPr="00A442AF" w:rsidRDefault="006E7AE7" w:rsidP="009E2768">
            <w:pPr>
              <w:pStyle w:val="Bullet"/>
            </w:pPr>
            <w:r>
              <w:t>e</w:t>
            </w:r>
            <w:r w:rsidRPr="006402A5">
              <w:t>xcess travel</w:t>
            </w:r>
          </w:p>
          <w:p w14:paraId="31BA569B" w14:textId="77777777" w:rsidR="006E7AE7" w:rsidRPr="00A442AF" w:rsidRDefault="006E7AE7" w:rsidP="009E2768">
            <w:pPr>
              <w:pStyle w:val="Bullet"/>
            </w:pPr>
            <w:r>
              <w:t>l</w:t>
            </w:r>
            <w:r w:rsidRPr="006402A5">
              <w:t>ease cars</w:t>
            </w:r>
          </w:p>
          <w:p w14:paraId="5499445C" w14:textId="77777777" w:rsidR="006E7AE7" w:rsidRPr="00A442AF" w:rsidRDefault="006E7AE7" w:rsidP="009E2768">
            <w:pPr>
              <w:pStyle w:val="Bullet"/>
            </w:pPr>
            <w:r>
              <w:t>t</w:t>
            </w:r>
            <w:r w:rsidRPr="006402A5">
              <w:t>elephones (including mobiles)</w:t>
            </w:r>
          </w:p>
          <w:p w14:paraId="16E06546" w14:textId="77777777" w:rsidR="006E7AE7" w:rsidRPr="00A442AF" w:rsidRDefault="006E7AE7" w:rsidP="009E2768">
            <w:pPr>
              <w:pStyle w:val="Bullet"/>
            </w:pPr>
            <w:r>
              <w:t>l</w:t>
            </w:r>
            <w:r w:rsidRPr="006402A5">
              <w:t>ong service awards</w:t>
            </w:r>
          </w:p>
          <w:p w14:paraId="3999FED4" w14:textId="77777777" w:rsidR="006E7AE7" w:rsidRPr="00A442AF" w:rsidRDefault="006E7AE7" w:rsidP="009E2768">
            <w:pPr>
              <w:pStyle w:val="Bodytext"/>
            </w:pPr>
            <w:r w:rsidRPr="006402A5">
              <w:t>Liaise with human resources team regarding consultation with staff representatives where there are any changes in existing terms and conditions of service</w:t>
            </w:r>
          </w:p>
          <w:p w14:paraId="63D1E108" w14:textId="77777777" w:rsidR="006E7AE7" w:rsidRPr="00A442AF" w:rsidRDefault="006E7AE7" w:rsidP="009E2768">
            <w:pPr>
              <w:pStyle w:val="Bodytext"/>
            </w:pPr>
            <w:r w:rsidRPr="006402A5">
              <w:t>Review and (if necessary) redesign stationery</w:t>
            </w:r>
          </w:p>
          <w:p w14:paraId="05B2DDD4" w14:textId="77777777" w:rsidR="006E7AE7" w:rsidRPr="00A442AF" w:rsidRDefault="006E7AE7" w:rsidP="009E2768">
            <w:pPr>
              <w:pStyle w:val="Bodytext"/>
            </w:pPr>
            <w:r w:rsidRPr="006402A5">
              <w:t>Produce and distribute new stationery</w:t>
            </w:r>
          </w:p>
          <w:p w14:paraId="39F4D366" w14:textId="77777777" w:rsidR="006E7AE7" w:rsidRPr="00A442AF" w:rsidRDefault="006E7AE7" w:rsidP="009E2768">
            <w:pPr>
              <w:pStyle w:val="Bodytext"/>
            </w:pPr>
            <w:r w:rsidRPr="006402A5">
              <w:t>Destroy old stationery. Evidence for audit purposes</w:t>
            </w:r>
          </w:p>
          <w:p w14:paraId="005ED18A" w14:textId="77777777" w:rsidR="006E7AE7" w:rsidRPr="00A442AF" w:rsidRDefault="006E7AE7" w:rsidP="009E2768">
            <w:pPr>
              <w:pStyle w:val="Bodytext"/>
            </w:pPr>
            <w:r w:rsidRPr="006402A5">
              <w:t>Agree officers who will be responsible for authorising claims (refer to schemes of delegation)</w:t>
            </w:r>
          </w:p>
          <w:p w14:paraId="50995AAC" w14:textId="77777777" w:rsidR="006E7AE7" w:rsidRPr="00A442AF" w:rsidRDefault="006E7AE7" w:rsidP="009E2768">
            <w:pPr>
              <w:pStyle w:val="Bodytext"/>
            </w:pPr>
            <w:r w:rsidRPr="006402A5">
              <w:t xml:space="preserve">Select service provider (for example, </w:t>
            </w:r>
            <w:r>
              <w:t>in-house</w:t>
            </w:r>
            <w:r w:rsidRPr="006402A5">
              <w:t>, contracted out, shared services agency)</w:t>
            </w:r>
          </w:p>
          <w:p w14:paraId="26385387" w14:textId="77777777" w:rsidR="006E7AE7" w:rsidRPr="00A442AF" w:rsidRDefault="006E7AE7" w:rsidP="009E2768">
            <w:pPr>
              <w:pStyle w:val="Bodytext"/>
            </w:pPr>
            <w:r w:rsidRPr="006402A5">
              <w:t>Inform all staff of revised arrangements, procedures and claim submission dates</w:t>
            </w:r>
          </w:p>
          <w:p w14:paraId="59E91824" w14:textId="77777777" w:rsidR="006E7AE7" w:rsidRPr="00A442AF" w:rsidRDefault="006E7AE7" w:rsidP="009E2768">
            <w:pPr>
              <w:pStyle w:val="Bodytext"/>
            </w:pPr>
            <w:r w:rsidRPr="006402A5">
              <w:t>Ensure arrangements are in place to:</w:t>
            </w:r>
          </w:p>
          <w:p w14:paraId="5E4FFC76" w14:textId="77777777" w:rsidR="006E7AE7" w:rsidRPr="00A442AF" w:rsidRDefault="006E7AE7" w:rsidP="009E2768">
            <w:pPr>
              <w:pStyle w:val="Bullet"/>
            </w:pPr>
            <w:r>
              <w:t>p</w:t>
            </w:r>
            <w:r w:rsidRPr="00326381">
              <w:t>roduce and submit end of year taxation returns (P11D and P60)</w:t>
            </w:r>
          </w:p>
          <w:p w14:paraId="3D951D79" w14:textId="77777777" w:rsidR="006E7AE7" w:rsidRPr="00A442AF" w:rsidRDefault="006E7AE7" w:rsidP="009E2768">
            <w:pPr>
              <w:pStyle w:val="Bullet"/>
            </w:pPr>
            <w:r>
              <w:t>t</w:t>
            </w:r>
            <w:r w:rsidRPr="006402A5">
              <w:t>ransfer lease car contracts to the new trust</w:t>
            </w:r>
          </w:p>
          <w:p w14:paraId="1C98864C" w14:textId="77777777" w:rsidR="006E7AE7" w:rsidRPr="00A442AF" w:rsidRDefault="006E7AE7" w:rsidP="009E2768">
            <w:pPr>
              <w:pStyle w:val="Bullet"/>
            </w:pPr>
            <w:r>
              <w:lastRenderedPageBreak/>
              <w:t>c</w:t>
            </w:r>
            <w:r w:rsidRPr="006402A5">
              <w:t>ontinue lease car insurance</w:t>
            </w:r>
          </w:p>
          <w:p w14:paraId="2264D532" w14:textId="77777777" w:rsidR="006E7AE7" w:rsidRPr="00A442AF" w:rsidRDefault="006E7AE7" w:rsidP="009E2768">
            <w:pPr>
              <w:pStyle w:val="Bodytext"/>
            </w:pPr>
            <w:r w:rsidRPr="006402A5">
              <w:t>Review approach to archiving</w:t>
            </w:r>
          </w:p>
          <w:p w14:paraId="1153B2DD" w14:textId="77777777" w:rsidR="006E7AE7"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p w14:paraId="530177A4" w14:textId="77777777" w:rsidR="006E7AE7" w:rsidRDefault="006E7AE7" w:rsidP="009E2768">
            <w:pPr>
              <w:pStyle w:val="Bodytext"/>
            </w:pPr>
            <w:r>
              <w:t>Review procedures for entering into off-payroll arrangements and consider whether they are fit for purpose for the new body</w:t>
            </w:r>
          </w:p>
          <w:p w14:paraId="7A57A09F" w14:textId="77777777" w:rsidR="006E7AE7" w:rsidRPr="00A442AF" w:rsidRDefault="006E7AE7" w:rsidP="009E2768">
            <w:pPr>
              <w:pStyle w:val="Bodytext"/>
            </w:pPr>
            <w:r>
              <w:t>Ensure that documentation (for example, copies of the HMRC checklist) relating to off-payroll arrangements is archived and available in case of an HMRC visit</w:t>
            </w:r>
          </w:p>
          <w:p w14:paraId="0EB9EFFF" w14:textId="77777777" w:rsidR="006E7AE7" w:rsidRPr="00A442AF" w:rsidRDefault="006E7AE7" w:rsidP="009E2768">
            <w:pPr>
              <w:pStyle w:val="Bodytext"/>
            </w:pPr>
            <w:r w:rsidRPr="006402A5">
              <w:t>Arrange staff training</w:t>
            </w:r>
          </w:p>
        </w:tc>
        <w:tc>
          <w:tcPr>
            <w:tcW w:w="1134" w:type="dxa"/>
          </w:tcPr>
          <w:p w14:paraId="0E38C369" w14:textId="77777777" w:rsidR="006E7AE7" w:rsidRPr="00A442AF" w:rsidRDefault="006E7AE7" w:rsidP="009E2768">
            <w:pPr>
              <w:pStyle w:val="Bodytext"/>
            </w:pPr>
          </w:p>
        </w:tc>
        <w:tc>
          <w:tcPr>
            <w:tcW w:w="1560" w:type="dxa"/>
          </w:tcPr>
          <w:p w14:paraId="32AD4858" w14:textId="77777777" w:rsidR="006E7AE7" w:rsidRPr="00A442AF" w:rsidRDefault="006E7AE7" w:rsidP="009E2768">
            <w:pPr>
              <w:pStyle w:val="Bodytext"/>
            </w:pPr>
          </w:p>
        </w:tc>
      </w:tr>
      <w:tr w:rsidR="006E7AE7" w:rsidRPr="006402A5" w14:paraId="67E51D0D" w14:textId="77777777" w:rsidTr="009E2768">
        <w:tc>
          <w:tcPr>
            <w:tcW w:w="6345" w:type="dxa"/>
          </w:tcPr>
          <w:p w14:paraId="40F8E633" w14:textId="77777777" w:rsidR="006E7AE7" w:rsidRPr="00A442AF" w:rsidRDefault="006E7AE7" w:rsidP="009E2768">
            <w:pPr>
              <w:pStyle w:val="Bodytext"/>
            </w:pPr>
          </w:p>
        </w:tc>
        <w:tc>
          <w:tcPr>
            <w:tcW w:w="1134" w:type="dxa"/>
          </w:tcPr>
          <w:p w14:paraId="27A4095F" w14:textId="77777777" w:rsidR="006E7AE7" w:rsidRPr="00A442AF" w:rsidRDefault="006E7AE7" w:rsidP="009E2768">
            <w:pPr>
              <w:pStyle w:val="Bodytext"/>
            </w:pPr>
          </w:p>
        </w:tc>
        <w:tc>
          <w:tcPr>
            <w:tcW w:w="1560" w:type="dxa"/>
          </w:tcPr>
          <w:p w14:paraId="5B0848FE" w14:textId="77777777" w:rsidR="006E7AE7" w:rsidRPr="00A442AF" w:rsidRDefault="006E7AE7" w:rsidP="009E2768">
            <w:pPr>
              <w:pStyle w:val="Bodytext"/>
            </w:pPr>
          </w:p>
        </w:tc>
      </w:tr>
      <w:tr w:rsidR="006E7AE7" w:rsidRPr="006402A5" w14:paraId="6E7C9765" w14:textId="77777777" w:rsidTr="009E2768">
        <w:tc>
          <w:tcPr>
            <w:tcW w:w="6345" w:type="dxa"/>
          </w:tcPr>
          <w:p w14:paraId="5B986153" w14:textId="77777777" w:rsidR="006E7AE7" w:rsidRPr="00A442AF" w:rsidRDefault="006E7AE7" w:rsidP="009E2768">
            <w:pPr>
              <w:pStyle w:val="Bodytext"/>
            </w:pPr>
          </w:p>
        </w:tc>
        <w:tc>
          <w:tcPr>
            <w:tcW w:w="1134" w:type="dxa"/>
          </w:tcPr>
          <w:p w14:paraId="7FDA92AD" w14:textId="77777777" w:rsidR="006E7AE7" w:rsidRPr="00A442AF" w:rsidRDefault="006E7AE7" w:rsidP="009E2768">
            <w:pPr>
              <w:pStyle w:val="Bodytext"/>
            </w:pPr>
          </w:p>
        </w:tc>
        <w:tc>
          <w:tcPr>
            <w:tcW w:w="1560" w:type="dxa"/>
          </w:tcPr>
          <w:p w14:paraId="7F39FBC4" w14:textId="77777777" w:rsidR="006E7AE7" w:rsidRPr="00A442AF" w:rsidRDefault="006E7AE7" w:rsidP="009E2768">
            <w:pPr>
              <w:pStyle w:val="Bodytext"/>
            </w:pPr>
          </w:p>
        </w:tc>
      </w:tr>
    </w:tbl>
    <w:p w14:paraId="3CC8EE02"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B06D10" w14:paraId="4BCCAFA1" w14:textId="77777777" w:rsidTr="009E2768">
        <w:trPr>
          <w:tblHeader/>
        </w:trPr>
        <w:tc>
          <w:tcPr>
            <w:tcW w:w="6345" w:type="dxa"/>
          </w:tcPr>
          <w:p w14:paraId="035FA75C" w14:textId="77777777" w:rsidR="006E7AE7" w:rsidRPr="00B06D10" w:rsidRDefault="006E7AE7" w:rsidP="009E2768">
            <w:pPr>
              <w:pStyle w:val="Bodytext"/>
              <w:rPr>
                <w:b/>
              </w:rPr>
            </w:pPr>
            <w:r w:rsidRPr="00B06D10">
              <w:rPr>
                <w:b/>
              </w:rPr>
              <w:t>Payables (creditors)</w:t>
            </w:r>
          </w:p>
        </w:tc>
        <w:tc>
          <w:tcPr>
            <w:tcW w:w="1134" w:type="dxa"/>
          </w:tcPr>
          <w:p w14:paraId="07A425BA" w14:textId="77777777" w:rsidR="006E7AE7" w:rsidRPr="00B06D10" w:rsidRDefault="006E7AE7" w:rsidP="009E2768">
            <w:pPr>
              <w:pStyle w:val="Bodytext"/>
              <w:rPr>
                <w:b/>
              </w:rPr>
            </w:pPr>
            <w:r w:rsidRPr="00B06D10">
              <w:rPr>
                <w:b/>
              </w:rPr>
              <w:t>Deadline</w:t>
            </w:r>
          </w:p>
        </w:tc>
        <w:tc>
          <w:tcPr>
            <w:tcW w:w="1560" w:type="dxa"/>
          </w:tcPr>
          <w:p w14:paraId="3F4817FA" w14:textId="77777777" w:rsidR="006E7AE7" w:rsidRPr="00B06D10" w:rsidRDefault="006E7AE7" w:rsidP="009E2768">
            <w:pPr>
              <w:pStyle w:val="Bodytext"/>
              <w:rPr>
                <w:b/>
              </w:rPr>
            </w:pPr>
            <w:r w:rsidRPr="00B06D10">
              <w:rPr>
                <w:b/>
              </w:rPr>
              <w:t>Responsible individual</w:t>
            </w:r>
          </w:p>
        </w:tc>
      </w:tr>
      <w:tr w:rsidR="006E7AE7" w:rsidRPr="006402A5" w14:paraId="0C01CD25" w14:textId="77777777" w:rsidTr="009E2768">
        <w:tc>
          <w:tcPr>
            <w:tcW w:w="6345" w:type="dxa"/>
          </w:tcPr>
          <w:p w14:paraId="067A9D37" w14:textId="77777777" w:rsidR="006E7AE7" w:rsidRPr="00A442AF" w:rsidRDefault="006E7AE7" w:rsidP="009E2768">
            <w:pPr>
              <w:pStyle w:val="Bodytext"/>
            </w:pPr>
            <w:r w:rsidRPr="006402A5">
              <w:t>Review services provided and see if there are consolidation opportunities. Ensure that processes for tender/quotation for services are followed (combined services may change the required procedure under SFIs). Agree/</w:t>
            </w:r>
            <w:r>
              <w:t xml:space="preserve"> </w:t>
            </w:r>
            <w:r w:rsidRPr="006402A5">
              <w:t>confirm combined body new tender/</w:t>
            </w:r>
            <w:r>
              <w:t xml:space="preserve"> </w:t>
            </w:r>
            <w:r w:rsidRPr="006402A5">
              <w:t>quotes limits</w:t>
            </w:r>
          </w:p>
          <w:p w14:paraId="28EE05C6" w14:textId="77777777" w:rsidR="006E7AE7" w:rsidRPr="00A442AF" w:rsidRDefault="006E7AE7" w:rsidP="009E2768">
            <w:pPr>
              <w:pStyle w:val="Bodytext"/>
            </w:pPr>
            <w:r w:rsidRPr="006402A5">
              <w:t>Specify requirements for payments and determine if time constraints will force a period of dual running after the vesting date</w:t>
            </w:r>
          </w:p>
          <w:p w14:paraId="4E6038A6" w14:textId="77777777" w:rsidR="006E7AE7" w:rsidRPr="00A442AF" w:rsidRDefault="006E7AE7" w:rsidP="009E2768">
            <w:pPr>
              <w:pStyle w:val="Bodytext"/>
            </w:pPr>
            <w:r w:rsidRPr="006402A5">
              <w:t>Ensure compatibility with ordering and goods received systems</w:t>
            </w:r>
          </w:p>
          <w:p w14:paraId="5C6A093A" w14:textId="77777777" w:rsidR="006E7AE7" w:rsidRDefault="006E7AE7" w:rsidP="009E2768">
            <w:pPr>
              <w:pStyle w:val="Bodytext"/>
            </w:pPr>
            <w:r w:rsidRPr="006402A5">
              <w:t>Review contracts in place and negotiate with suppliers so the new body is able to buy at the best price given to the old bodies</w:t>
            </w:r>
          </w:p>
          <w:p w14:paraId="6AF0D680" w14:textId="77777777" w:rsidR="006E7AE7" w:rsidRPr="00A442AF" w:rsidRDefault="006E7AE7" w:rsidP="009E2768">
            <w:pPr>
              <w:pStyle w:val="Bodytext"/>
            </w:pPr>
            <w:r>
              <w:t>Ensure arrangements are in place to submit purchasing information to NHS Improvement for model hospital metrics</w:t>
            </w:r>
          </w:p>
          <w:p w14:paraId="3461E3F0" w14:textId="77777777" w:rsidR="006E7AE7" w:rsidRPr="00A442AF" w:rsidRDefault="006E7AE7" w:rsidP="009E2768">
            <w:pPr>
              <w:pStyle w:val="Bodytext"/>
            </w:pPr>
            <w:r w:rsidRPr="006402A5">
              <w:t xml:space="preserve">Identify key purchasing staff and ensure that they can continue to order supplies during the transition period </w:t>
            </w:r>
          </w:p>
          <w:p w14:paraId="2A723658" w14:textId="77777777" w:rsidR="006E7AE7" w:rsidRPr="00A442AF" w:rsidRDefault="006E7AE7" w:rsidP="009E2768">
            <w:pPr>
              <w:pStyle w:val="Bodytext"/>
            </w:pPr>
            <w:r w:rsidRPr="006402A5">
              <w:t>Clear all goods received not invoiced balances (GRNI) as soon as the invoice is paid. Investigate any outstanding balances</w:t>
            </w:r>
          </w:p>
          <w:p w14:paraId="7A9BA4BC" w14:textId="77777777" w:rsidR="006E7AE7" w:rsidRPr="00A442AF" w:rsidRDefault="006E7AE7" w:rsidP="009E2768">
            <w:pPr>
              <w:pStyle w:val="Bodytext"/>
            </w:pPr>
            <w:r w:rsidRPr="006402A5">
              <w:t xml:space="preserve">Identify payables between merged bodies for internal cancellation with equivalent internal receivable. Ensure that all balances between bodies are the same on both sides (e.g. if </w:t>
            </w:r>
            <w:r w:rsidRPr="006402A5">
              <w:lastRenderedPageBreak/>
              <w:t>body A says it owes body B £500, check that body B has a receivable for £500 not £550), if there is a difference resolve it prior to the vesting date</w:t>
            </w:r>
            <w:r>
              <w:t>. It is likely that the annual agreement of balances of exercise will take place during the period leading up to the vesting date which should allow special attention to be paid to these balances</w:t>
            </w:r>
          </w:p>
          <w:p w14:paraId="400BA72C" w14:textId="77777777" w:rsidR="006E7AE7" w:rsidRPr="00A442AF" w:rsidRDefault="006E7AE7" w:rsidP="009E2768">
            <w:pPr>
              <w:pStyle w:val="Bodytext"/>
            </w:pPr>
            <w:r w:rsidRPr="006402A5">
              <w:t>Identify ongoing service contracts (small contracts such as milk delivery, window cleaning as well as the more obvious such as servicing of medical equipment) and decide whether these contracts need to be terminated</w:t>
            </w:r>
          </w:p>
          <w:p w14:paraId="1A192BF6" w14:textId="77777777" w:rsidR="006E7AE7" w:rsidRPr="00A442AF" w:rsidRDefault="006E7AE7" w:rsidP="009E2768">
            <w:pPr>
              <w:pStyle w:val="Bodytext"/>
            </w:pPr>
            <w:r w:rsidRPr="006402A5">
              <w:t>Identify any service level agreements (SLAs) with other NHS bodies to determine whether those agreements should continue</w:t>
            </w:r>
          </w:p>
          <w:p w14:paraId="52B84233" w14:textId="77777777" w:rsidR="006E7AE7" w:rsidRPr="00A442AF" w:rsidRDefault="006E7AE7" w:rsidP="009E2768">
            <w:pPr>
              <w:pStyle w:val="Bodytext"/>
            </w:pPr>
            <w:r w:rsidRPr="006402A5">
              <w:t xml:space="preserve">Identify any penalty clauses in contracts for early termination of contracts </w:t>
            </w:r>
          </w:p>
          <w:p w14:paraId="01D08376" w14:textId="77777777" w:rsidR="006E7AE7" w:rsidRPr="00A442AF" w:rsidRDefault="006E7AE7" w:rsidP="009E2768">
            <w:pPr>
              <w:pStyle w:val="Bodytext"/>
            </w:pPr>
            <w:r w:rsidRPr="006402A5">
              <w:t>Review supplies team processes and ensure they are amended as required</w:t>
            </w:r>
          </w:p>
          <w:p w14:paraId="374FECAE" w14:textId="77777777" w:rsidR="006E7AE7" w:rsidRPr="00A442AF" w:rsidRDefault="006E7AE7" w:rsidP="009E2768">
            <w:pPr>
              <w:pStyle w:val="Bodytext"/>
            </w:pPr>
            <w:r w:rsidRPr="006402A5">
              <w:t>Establish service provider (for example, in-house, contracted out, shared services agency)</w:t>
            </w:r>
          </w:p>
          <w:p w14:paraId="1037AC81" w14:textId="77777777" w:rsidR="006E7AE7" w:rsidRPr="00A442AF" w:rsidRDefault="006E7AE7" w:rsidP="009E2768">
            <w:pPr>
              <w:pStyle w:val="Bodytext"/>
            </w:pPr>
            <w:r w:rsidRPr="006402A5">
              <w:t>Ensure payable</w:t>
            </w:r>
            <w:r>
              <w:t>s</w:t>
            </w:r>
            <w:r w:rsidRPr="006402A5">
              <w:t xml:space="preserve"> payment system interfaces with ledger accounting</w:t>
            </w:r>
          </w:p>
          <w:p w14:paraId="42E17A73" w14:textId="77777777" w:rsidR="006E7AE7" w:rsidRPr="00A442AF" w:rsidRDefault="006E7AE7" w:rsidP="009E2768">
            <w:pPr>
              <w:pStyle w:val="Bodytext"/>
            </w:pPr>
            <w:r w:rsidRPr="006402A5">
              <w:t xml:space="preserve">Ensure processes are in place to monitor and report on performance against the Better Payment Practice Code </w:t>
            </w:r>
          </w:p>
          <w:p w14:paraId="5F236059" w14:textId="77777777" w:rsidR="006E7AE7" w:rsidRPr="00A442AF" w:rsidRDefault="006E7AE7" w:rsidP="009E2768">
            <w:pPr>
              <w:pStyle w:val="Bodytext"/>
            </w:pPr>
            <w:r w:rsidRPr="006402A5">
              <w:t>Review and (if necessary) redesign stationery</w:t>
            </w:r>
          </w:p>
          <w:p w14:paraId="6B34169D" w14:textId="77777777" w:rsidR="006E7AE7" w:rsidRPr="00A442AF" w:rsidRDefault="006E7AE7" w:rsidP="009E2768">
            <w:pPr>
              <w:pStyle w:val="Bodytext"/>
            </w:pPr>
            <w:r w:rsidRPr="006402A5">
              <w:t>Produce and distribute new stationery</w:t>
            </w:r>
          </w:p>
          <w:p w14:paraId="48546E89" w14:textId="77777777" w:rsidR="006E7AE7" w:rsidRPr="00A442AF" w:rsidRDefault="006E7AE7" w:rsidP="009E2768">
            <w:pPr>
              <w:pStyle w:val="Bodytext"/>
            </w:pPr>
            <w:r w:rsidRPr="006402A5">
              <w:t>Destroy old stationery. Evidence for audit purposes</w:t>
            </w:r>
          </w:p>
          <w:p w14:paraId="6A214E04" w14:textId="77777777" w:rsidR="006E7AE7" w:rsidRPr="00A442AF" w:rsidRDefault="006E7AE7" w:rsidP="009E2768">
            <w:pPr>
              <w:pStyle w:val="Bodytext"/>
            </w:pPr>
            <w:r w:rsidRPr="006402A5">
              <w:t>Inform suppliers and users of address for invoices/queries</w:t>
            </w:r>
          </w:p>
          <w:p w14:paraId="1ABADDE6" w14:textId="77777777" w:rsidR="006E7AE7" w:rsidRPr="00A442AF" w:rsidRDefault="006E7AE7" w:rsidP="009E2768">
            <w:pPr>
              <w:pStyle w:val="Bodytext"/>
            </w:pPr>
            <w:r w:rsidRPr="006402A5">
              <w:t>Determine frequency of payments and establish timetable to operate from vesting date. Harmonise payment dates if operating with two or more systems</w:t>
            </w:r>
          </w:p>
          <w:p w14:paraId="0DDF905B" w14:textId="77777777" w:rsidR="006E7AE7" w:rsidRPr="00A442AF" w:rsidRDefault="006E7AE7" w:rsidP="009E2768">
            <w:pPr>
              <w:pStyle w:val="Bodytext"/>
            </w:pPr>
            <w:r w:rsidRPr="006402A5">
              <w:t>Determine arrangements for new corporate payments, for example, PDC dividends, repayments of loans from the Department</w:t>
            </w:r>
            <w:r>
              <w:t xml:space="preserve"> of Health</w:t>
            </w:r>
          </w:p>
          <w:p w14:paraId="54B1B7B1" w14:textId="77777777" w:rsidR="006E7AE7" w:rsidRPr="00A442AF" w:rsidRDefault="006E7AE7" w:rsidP="009E2768">
            <w:pPr>
              <w:pStyle w:val="Bodytext"/>
            </w:pPr>
            <w:r w:rsidRPr="006402A5">
              <w:t>Review payables, decide on reference methodology and eliminate redundant/duplicated references</w:t>
            </w:r>
          </w:p>
          <w:p w14:paraId="40E0E9D3" w14:textId="77777777" w:rsidR="006E7AE7" w:rsidRPr="00A442AF" w:rsidRDefault="006E7AE7" w:rsidP="009E2768">
            <w:pPr>
              <w:pStyle w:val="Bodytext"/>
            </w:pPr>
            <w:r w:rsidRPr="006402A5">
              <w:t>Identify common payables of merged NHS bodies and determine if payments can be consolidated</w:t>
            </w:r>
          </w:p>
          <w:p w14:paraId="0F772C68" w14:textId="77777777" w:rsidR="006E7AE7" w:rsidRPr="00A442AF" w:rsidRDefault="006E7AE7" w:rsidP="009E2768">
            <w:pPr>
              <w:pStyle w:val="Bodytext"/>
            </w:pPr>
            <w:r w:rsidRPr="006402A5">
              <w:t>Ensure bank details are obtained and reviewed for payables paid by BACS</w:t>
            </w:r>
          </w:p>
          <w:p w14:paraId="69EF42B5" w14:textId="77777777" w:rsidR="006E7AE7" w:rsidRPr="00A442AF" w:rsidRDefault="006E7AE7" w:rsidP="009E2768">
            <w:pPr>
              <w:pStyle w:val="Bodytext"/>
            </w:pPr>
            <w:r w:rsidRPr="006402A5">
              <w:t xml:space="preserve">Determine authorisation limits and identify staff that can authorise payments. </w:t>
            </w:r>
            <w:r>
              <w:t xml:space="preserve">Consider whether the authorisation limits </w:t>
            </w:r>
            <w:r>
              <w:lastRenderedPageBreak/>
              <w:t xml:space="preserve">are still applicable or whether they should be changed. </w:t>
            </w:r>
            <w:r w:rsidRPr="006402A5">
              <w:t xml:space="preserve">Obtain governing body approval </w:t>
            </w:r>
            <w:r>
              <w:t>of</w:t>
            </w:r>
            <w:r w:rsidRPr="006402A5">
              <w:t xml:space="preserve"> the </w:t>
            </w:r>
            <w:r>
              <w:t xml:space="preserve">new </w:t>
            </w:r>
            <w:r w:rsidRPr="006402A5">
              <w:t>list</w:t>
            </w:r>
          </w:p>
          <w:p w14:paraId="1ADF0B0C" w14:textId="77777777" w:rsidR="006E7AE7" w:rsidRPr="00A442AF" w:rsidRDefault="006E7AE7" w:rsidP="009E2768">
            <w:pPr>
              <w:pStyle w:val="Bodytext"/>
            </w:pPr>
            <w:r w:rsidRPr="006402A5">
              <w:t>Seek to clear up all outstanding payable queries and paying as many invoices as possible prior to closure of accounts</w:t>
            </w:r>
          </w:p>
          <w:p w14:paraId="79B79769" w14:textId="77777777" w:rsidR="006E7AE7" w:rsidRPr="00A442AF" w:rsidRDefault="006E7AE7" w:rsidP="009E2768">
            <w:pPr>
              <w:pStyle w:val="Bodytext"/>
            </w:pPr>
            <w:r w:rsidRPr="006402A5">
              <w:t>Ensure that any balances which are carried forward to the new organisation are fully documented (assume that all of the knowledge of the history of the balance will be lost on the vesting date)</w:t>
            </w:r>
          </w:p>
          <w:p w14:paraId="13387F00" w14:textId="77777777" w:rsidR="006E7AE7" w:rsidRPr="00A442AF" w:rsidRDefault="006E7AE7" w:rsidP="009E2768">
            <w:pPr>
              <w:pStyle w:val="Bodytext"/>
            </w:pPr>
            <w:r w:rsidRPr="006402A5">
              <w:t>Ensure all carry forward balances are reconciled and intra-NHS body balances cleared (this is particularly important if the vesting date is not at the year end. It will be important at the year end to identify which balances relate to which NHS body)</w:t>
            </w:r>
          </w:p>
          <w:p w14:paraId="796CCD2E" w14:textId="77777777" w:rsidR="006E7AE7" w:rsidRPr="00A442AF" w:rsidRDefault="006E7AE7" w:rsidP="009E2768">
            <w:pPr>
              <w:pStyle w:val="Bodytext"/>
            </w:pPr>
            <w:r w:rsidRPr="006402A5">
              <w:t>Determine how any payables carried forward from old bodies are going to be cleared in the new body’s accounts</w:t>
            </w:r>
          </w:p>
          <w:p w14:paraId="5E086807" w14:textId="77777777" w:rsidR="006E7AE7" w:rsidRPr="00A442AF" w:rsidRDefault="006E7AE7" w:rsidP="009E2768">
            <w:pPr>
              <w:pStyle w:val="Bodytext"/>
            </w:pPr>
            <w:r w:rsidRPr="006402A5">
              <w:t>Review all provisions/accruals carried forward and understand the basis on which they were made. Put in place arrangements to monitor developments so the provision can be released when necessary and accruals are appropriately written off as payments are made</w:t>
            </w:r>
          </w:p>
          <w:p w14:paraId="038BBA60" w14:textId="77777777" w:rsidR="006E7AE7" w:rsidRPr="00A442AF" w:rsidRDefault="006E7AE7" w:rsidP="009E2768">
            <w:pPr>
              <w:pStyle w:val="Bodytext"/>
            </w:pPr>
            <w:r w:rsidRPr="006402A5">
              <w:t>Review approach to archiving</w:t>
            </w:r>
          </w:p>
          <w:p w14:paraId="2279A295" w14:textId="77777777" w:rsidR="006E7AE7" w:rsidRPr="00A442AF" w:rsidRDefault="006E7AE7" w:rsidP="009E2768">
            <w:pPr>
              <w:pStyle w:val="Bodytext"/>
            </w:pPr>
            <w:r w:rsidRPr="006402A5">
              <w:t>Inform all users of payment systems and procedures</w:t>
            </w:r>
          </w:p>
          <w:p w14:paraId="2F5F0054" w14:textId="77777777" w:rsidR="006E7AE7"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p>
          <w:p w14:paraId="6A9C53F4" w14:textId="77777777" w:rsidR="006E7AE7" w:rsidRPr="00A442AF" w:rsidRDefault="006E7AE7" w:rsidP="009E2768">
            <w:pPr>
              <w:pStyle w:val="Bodytext"/>
            </w:pPr>
            <w:r w:rsidRPr="006402A5">
              <w:t>Write and issue revised financial procedure notes</w:t>
            </w:r>
          </w:p>
          <w:p w14:paraId="0A4DB5C0" w14:textId="77777777" w:rsidR="006E7AE7" w:rsidRPr="00A442AF" w:rsidRDefault="006E7AE7" w:rsidP="009E2768">
            <w:pPr>
              <w:pStyle w:val="Bodytext"/>
            </w:pPr>
            <w:r w:rsidRPr="006402A5">
              <w:t>Arrange staff training</w:t>
            </w:r>
          </w:p>
        </w:tc>
        <w:tc>
          <w:tcPr>
            <w:tcW w:w="1134" w:type="dxa"/>
          </w:tcPr>
          <w:p w14:paraId="62422EC3" w14:textId="77777777" w:rsidR="006E7AE7" w:rsidRPr="00A442AF" w:rsidRDefault="006E7AE7" w:rsidP="009E2768">
            <w:pPr>
              <w:pStyle w:val="Bodytext"/>
            </w:pPr>
          </w:p>
        </w:tc>
        <w:tc>
          <w:tcPr>
            <w:tcW w:w="1560" w:type="dxa"/>
          </w:tcPr>
          <w:p w14:paraId="2008C888" w14:textId="77777777" w:rsidR="006E7AE7" w:rsidRPr="00A442AF" w:rsidRDefault="006E7AE7" w:rsidP="009E2768">
            <w:pPr>
              <w:pStyle w:val="Bodytext"/>
            </w:pPr>
          </w:p>
        </w:tc>
      </w:tr>
      <w:tr w:rsidR="006E7AE7" w:rsidRPr="006402A5" w14:paraId="7C550046" w14:textId="77777777" w:rsidTr="009E2768">
        <w:tc>
          <w:tcPr>
            <w:tcW w:w="6345" w:type="dxa"/>
          </w:tcPr>
          <w:p w14:paraId="3C27BFB6" w14:textId="77777777" w:rsidR="006E7AE7" w:rsidRPr="00A442AF" w:rsidRDefault="006E7AE7" w:rsidP="009E2768">
            <w:pPr>
              <w:pStyle w:val="Bodytext"/>
            </w:pPr>
          </w:p>
        </w:tc>
        <w:tc>
          <w:tcPr>
            <w:tcW w:w="1134" w:type="dxa"/>
          </w:tcPr>
          <w:p w14:paraId="5BF27697" w14:textId="77777777" w:rsidR="006E7AE7" w:rsidRPr="00A442AF" w:rsidRDefault="006E7AE7" w:rsidP="009E2768">
            <w:pPr>
              <w:pStyle w:val="Bodytext"/>
            </w:pPr>
          </w:p>
        </w:tc>
        <w:tc>
          <w:tcPr>
            <w:tcW w:w="1560" w:type="dxa"/>
          </w:tcPr>
          <w:p w14:paraId="7FBC7803" w14:textId="77777777" w:rsidR="006E7AE7" w:rsidRPr="00A442AF" w:rsidRDefault="006E7AE7" w:rsidP="009E2768">
            <w:pPr>
              <w:pStyle w:val="Bodytext"/>
            </w:pPr>
          </w:p>
        </w:tc>
      </w:tr>
      <w:tr w:rsidR="006E7AE7" w:rsidRPr="006402A5" w14:paraId="10187294" w14:textId="77777777" w:rsidTr="009E2768">
        <w:tc>
          <w:tcPr>
            <w:tcW w:w="6345" w:type="dxa"/>
          </w:tcPr>
          <w:p w14:paraId="63F880ED" w14:textId="77777777" w:rsidR="006E7AE7" w:rsidRPr="00A442AF" w:rsidRDefault="006E7AE7" w:rsidP="009E2768">
            <w:pPr>
              <w:pStyle w:val="Bodytext"/>
            </w:pPr>
          </w:p>
        </w:tc>
        <w:tc>
          <w:tcPr>
            <w:tcW w:w="1134" w:type="dxa"/>
          </w:tcPr>
          <w:p w14:paraId="4F76FBE8" w14:textId="77777777" w:rsidR="006E7AE7" w:rsidRPr="00A442AF" w:rsidRDefault="006E7AE7" w:rsidP="009E2768">
            <w:pPr>
              <w:pStyle w:val="Bodytext"/>
            </w:pPr>
          </w:p>
        </w:tc>
        <w:tc>
          <w:tcPr>
            <w:tcW w:w="1560" w:type="dxa"/>
          </w:tcPr>
          <w:p w14:paraId="22AADE22" w14:textId="77777777" w:rsidR="006E7AE7" w:rsidRPr="00A442AF" w:rsidRDefault="006E7AE7" w:rsidP="009E2768">
            <w:pPr>
              <w:pStyle w:val="Bodytext"/>
            </w:pPr>
          </w:p>
        </w:tc>
      </w:tr>
    </w:tbl>
    <w:p w14:paraId="14F06266"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B06D10" w14:paraId="3DABA356" w14:textId="77777777" w:rsidTr="009E2768">
        <w:trPr>
          <w:tblHeader/>
        </w:trPr>
        <w:tc>
          <w:tcPr>
            <w:tcW w:w="6345" w:type="dxa"/>
          </w:tcPr>
          <w:p w14:paraId="64FB933B" w14:textId="77777777" w:rsidR="006E7AE7" w:rsidRPr="00B06D10" w:rsidRDefault="006E7AE7" w:rsidP="009E2768">
            <w:pPr>
              <w:pStyle w:val="Bodytext"/>
              <w:rPr>
                <w:b/>
              </w:rPr>
            </w:pPr>
            <w:r w:rsidRPr="00B06D10">
              <w:rPr>
                <w:b/>
              </w:rPr>
              <w:t>Receivables (debtors)</w:t>
            </w:r>
          </w:p>
        </w:tc>
        <w:tc>
          <w:tcPr>
            <w:tcW w:w="1134" w:type="dxa"/>
          </w:tcPr>
          <w:p w14:paraId="224C36C5" w14:textId="77777777" w:rsidR="006E7AE7" w:rsidRPr="00B06D10" w:rsidRDefault="006E7AE7" w:rsidP="009E2768">
            <w:pPr>
              <w:pStyle w:val="Bodytext"/>
              <w:rPr>
                <w:b/>
              </w:rPr>
            </w:pPr>
            <w:r w:rsidRPr="00B06D10">
              <w:rPr>
                <w:b/>
              </w:rPr>
              <w:t>Deadline</w:t>
            </w:r>
          </w:p>
        </w:tc>
        <w:tc>
          <w:tcPr>
            <w:tcW w:w="1560" w:type="dxa"/>
          </w:tcPr>
          <w:p w14:paraId="60DDF277" w14:textId="77777777" w:rsidR="006E7AE7" w:rsidRPr="00B06D10" w:rsidRDefault="006E7AE7" w:rsidP="009E2768">
            <w:pPr>
              <w:pStyle w:val="Bodytext"/>
              <w:rPr>
                <w:b/>
              </w:rPr>
            </w:pPr>
            <w:r w:rsidRPr="00B06D10">
              <w:rPr>
                <w:b/>
              </w:rPr>
              <w:t>Responsible individual</w:t>
            </w:r>
          </w:p>
        </w:tc>
      </w:tr>
      <w:tr w:rsidR="006E7AE7" w:rsidRPr="006402A5" w14:paraId="44FF8F09" w14:textId="77777777" w:rsidTr="009E2768">
        <w:tc>
          <w:tcPr>
            <w:tcW w:w="6345" w:type="dxa"/>
          </w:tcPr>
          <w:p w14:paraId="7CA5E77D" w14:textId="77777777" w:rsidR="006E7AE7" w:rsidRPr="00A442AF" w:rsidRDefault="006E7AE7" w:rsidP="009E2768">
            <w:pPr>
              <w:pStyle w:val="Bodytext"/>
            </w:pPr>
            <w:r w:rsidRPr="006402A5">
              <w:t>Specify requirements for receivables system and determine if time constraints will force a period of dual running after the reorganisation date</w:t>
            </w:r>
          </w:p>
          <w:p w14:paraId="03AEB108" w14:textId="77777777" w:rsidR="006E7AE7" w:rsidRPr="00A442AF" w:rsidRDefault="006E7AE7" w:rsidP="009E2768">
            <w:pPr>
              <w:pStyle w:val="Bodytext"/>
            </w:pPr>
            <w:r w:rsidRPr="006402A5">
              <w:t>Evaluate and compare existing systems against new NHS body requirements. Compare to other systems if appropriate</w:t>
            </w:r>
          </w:p>
          <w:p w14:paraId="5FCA34E1" w14:textId="77777777" w:rsidR="006E7AE7" w:rsidRPr="00A442AF" w:rsidRDefault="006E7AE7" w:rsidP="009E2768">
            <w:pPr>
              <w:pStyle w:val="Bodytext"/>
            </w:pPr>
            <w:r w:rsidRPr="006402A5">
              <w:t>Prepare new receivables policy for credit terms, recovery, legal action, write-off, de minimis levels etc</w:t>
            </w:r>
          </w:p>
          <w:p w14:paraId="6B5B85AF" w14:textId="77777777" w:rsidR="006E7AE7" w:rsidRPr="00A442AF" w:rsidRDefault="006E7AE7" w:rsidP="009E2768">
            <w:pPr>
              <w:pStyle w:val="Bodytext"/>
            </w:pPr>
            <w:r w:rsidRPr="006402A5">
              <w:lastRenderedPageBreak/>
              <w:t>Identify receivables between merged bodies for internal cancellation with equivalent internal payable. Ensure that all balances between bodies are the same on both sides (e.g. if body A says it owes body B £500, check that body B has a receivable for £500 not £550)</w:t>
            </w:r>
            <w:r>
              <w:t>. It is likely that the annual agreement of balances of exercise will take place during the period leading up to the vesting date which should allow special attention to be paid to these balances</w:t>
            </w:r>
          </w:p>
          <w:p w14:paraId="312484A2" w14:textId="77777777" w:rsidR="006E7AE7" w:rsidRPr="00A442AF" w:rsidRDefault="006E7AE7" w:rsidP="009E2768">
            <w:pPr>
              <w:pStyle w:val="Bodytext"/>
            </w:pPr>
            <w:r w:rsidRPr="006402A5">
              <w:t>Review arrangements where payments are made by instalment and amend as required</w:t>
            </w:r>
          </w:p>
          <w:p w14:paraId="610110A5" w14:textId="77777777" w:rsidR="006E7AE7" w:rsidRPr="00A442AF" w:rsidRDefault="006E7AE7" w:rsidP="009E2768">
            <w:pPr>
              <w:pStyle w:val="Bodytext"/>
            </w:pPr>
            <w:r w:rsidRPr="006402A5">
              <w:t xml:space="preserve">Ensure all outstanding debts are paid prior to vesting date wherever possible </w:t>
            </w:r>
          </w:p>
          <w:p w14:paraId="00E862F6" w14:textId="77777777" w:rsidR="006E7AE7" w:rsidRPr="00A442AF" w:rsidRDefault="006E7AE7" w:rsidP="009E2768">
            <w:pPr>
              <w:pStyle w:val="Bodytext"/>
            </w:pPr>
            <w:r w:rsidRPr="006402A5">
              <w:t>Review all receivables carried forward into the new body prior to the vesting date to ensure that:</w:t>
            </w:r>
          </w:p>
          <w:p w14:paraId="6E2922C0" w14:textId="77777777" w:rsidR="006E7AE7" w:rsidRPr="00A442AF" w:rsidRDefault="006E7AE7" w:rsidP="009E2768">
            <w:pPr>
              <w:pStyle w:val="Bodytext"/>
            </w:pPr>
            <w:r w:rsidRPr="006402A5">
              <w:t>Where the reorganisation is one to many, the appropriate new body is identified</w:t>
            </w:r>
          </w:p>
          <w:p w14:paraId="3B27001C" w14:textId="77777777" w:rsidR="006E7AE7" w:rsidRPr="00A442AF" w:rsidRDefault="006E7AE7" w:rsidP="009E2768">
            <w:pPr>
              <w:pStyle w:val="Bodytext"/>
            </w:pPr>
            <w:r w:rsidRPr="006402A5">
              <w:t>All necessary evidence is available so that the receivable can be chased and recovered</w:t>
            </w:r>
          </w:p>
          <w:p w14:paraId="623C07D0" w14:textId="77777777" w:rsidR="006E7AE7" w:rsidRPr="00A442AF" w:rsidRDefault="006E7AE7" w:rsidP="009E2768">
            <w:pPr>
              <w:pStyle w:val="Bodytext"/>
            </w:pPr>
            <w:r w:rsidRPr="006402A5">
              <w:t>Decide a final date for payments to be made into the ‘old’ bank accounts</w:t>
            </w:r>
          </w:p>
          <w:p w14:paraId="3404A801" w14:textId="77777777" w:rsidR="006E7AE7" w:rsidRPr="00A442AF" w:rsidRDefault="006E7AE7" w:rsidP="009E2768">
            <w:pPr>
              <w:pStyle w:val="Bodytext"/>
            </w:pPr>
            <w:r w:rsidRPr="006402A5">
              <w:t>Decide how historic debts from the predecessor NHS bodies will be recognised on the new ledger systems</w:t>
            </w:r>
          </w:p>
          <w:p w14:paraId="31AE085A" w14:textId="77777777" w:rsidR="006E7AE7" w:rsidRPr="00A442AF" w:rsidRDefault="006E7AE7" w:rsidP="009E2768">
            <w:pPr>
              <w:pStyle w:val="Bodytext"/>
            </w:pPr>
            <w:r w:rsidRPr="006402A5">
              <w:t>Ensure staff are aware of new policies</w:t>
            </w:r>
          </w:p>
          <w:p w14:paraId="7C83444D" w14:textId="77777777" w:rsidR="006E7AE7" w:rsidRPr="00A442AF" w:rsidRDefault="006E7AE7" w:rsidP="009E2768">
            <w:pPr>
              <w:pStyle w:val="Bodytext"/>
            </w:pPr>
            <w:r w:rsidRPr="006402A5">
              <w:t>Agree post</w:t>
            </w:r>
            <w:r>
              <w:t>-</w:t>
            </w:r>
            <w:r w:rsidRPr="006402A5">
              <w:t>reorganisation debt recovery service if via more than one external supplier</w:t>
            </w:r>
          </w:p>
          <w:p w14:paraId="52E0357C" w14:textId="77777777" w:rsidR="006E7AE7" w:rsidRPr="00A442AF" w:rsidRDefault="006E7AE7" w:rsidP="009E2768">
            <w:pPr>
              <w:pStyle w:val="Bodytext"/>
            </w:pPr>
            <w:r w:rsidRPr="006402A5">
              <w:t>Review NHS bodies’ receivables’ registers eliminating duplications and redundant receivables</w:t>
            </w:r>
          </w:p>
          <w:p w14:paraId="7E70A518" w14:textId="77777777" w:rsidR="006E7AE7" w:rsidRPr="00A442AF" w:rsidRDefault="006E7AE7" w:rsidP="009E2768">
            <w:pPr>
              <w:pStyle w:val="Bodytext"/>
            </w:pPr>
            <w:r w:rsidRPr="006402A5">
              <w:t>Review and</w:t>
            </w:r>
            <w:r>
              <w:t>,</w:t>
            </w:r>
            <w:r w:rsidRPr="006402A5">
              <w:t xml:space="preserve"> where appropriate</w:t>
            </w:r>
            <w:r>
              <w:t>,</w:t>
            </w:r>
            <w:r w:rsidRPr="006402A5">
              <w:t xml:space="preserve"> write</w:t>
            </w:r>
            <w:r>
              <w:t xml:space="preserve"> </w:t>
            </w:r>
            <w:r w:rsidRPr="006402A5">
              <w:t>off irrecoverable debts in the books of predecessor NHS bodies (i.e. include in pre</w:t>
            </w:r>
            <w:r>
              <w:t>-</w:t>
            </w:r>
            <w:r w:rsidRPr="006402A5">
              <w:t>vesting date accounts). This should be done in detail on a balance by balance basis. If the debt cannot be written off, consider whether any impairment is necessary</w:t>
            </w:r>
          </w:p>
          <w:p w14:paraId="427A7BC3" w14:textId="77777777" w:rsidR="006E7AE7" w:rsidRDefault="006E7AE7" w:rsidP="009E2768">
            <w:pPr>
              <w:pStyle w:val="Bodytext"/>
            </w:pPr>
            <w:r w:rsidRPr="006402A5">
              <w:t>Inform the Compensation Recovery Unit of the reorganisation and provide them with the appropriate contact details</w:t>
            </w:r>
            <w:r>
              <w:rPr>
                <w:rStyle w:val="FootnoteReference"/>
              </w:rPr>
              <w:footnoteReference w:id="7"/>
            </w:r>
          </w:p>
          <w:p w14:paraId="6FEAACFF" w14:textId="77777777" w:rsidR="006E7AE7" w:rsidRPr="00A442AF" w:rsidRDefault="006E7AE7" w:rsidP="009E2768">
            <w:pPr>
              <w:pStyle w:val="Bodytext"/>
            </w:pPr>
            <w:r w:rsidRPr="006402A5">
              <w:t xml:space="preserve">Review and redesign stationery – to include new VAT number and </w:t>
            </w:r>
            <w:r>
              <w:t>GBS</w:t>
            </w:r>
            <w:r w:rsidRPr="006402A5">
              <w:t>/</w:t>
            </w:r>
            <w:r>
              <w:t xml:space="preserve"> </w:t>
            </w:r>
            <w:r w:rsidRPr="006402A5">
              <w:t>bank account details</w:t>
            </w:r>
          </w:p>
          <w:p w14:paraId="18FBA594" w14:textId="77777777" w:rsidR="006E7AE7" w:rsidRPr="00A442AF" w:rsidRDefault="006E7AE7" w:rsidP="009E2768">
            <w:pPr>
              <w:pStyle w:val="Bodytext"/>
            </w:pPr>
            <w:r w:rsidRPr="006402A5">
              <w:t>Destroy old stationery</w:t>
            </w:r>
          </w:p>
          <w:p w14:paraId="090BEAD2" w14:textId="77777777" w:rsidR="006E7AE7" w:rsidRPr="00A442AF" w:rsidRDefault="006E7AE7" w:rsidP="009E2768">
            <w:pPr>
              <w:pStyle w:val="Bodytext"/>
            </w:pPr>
            <w:r w:rsidRPr="006402A5">
              <w:t xml:space="preserve">Ensure all carry forward balances are reconciled and intra-NHS body balances cleared (this is particularly important if the </w:t>
            </w:r>
            <w:r w:rsidRPr="006402A5">
              <w:lastRenderedPageBreak/>
              <w:t>vesting date is not at the year end. It will be important at the year end to identify which balances relate to which NHS body)</w:t>
            </w:r>
          </w:p>
          <w:p w14:paraId="293C3BC7" w14:textId="77777777" w:rsidR="006E7AE7" w:rsidRPr="00A442AF" w:rsidRDefault="006E7AE7" w:rsidP="009E2768">
            <w:pPr>
              <w:pStyle w:val="Bodytext"/>
            </w:pPr>
            <w:r w:rsidRPr="006402A5">
              <w:t>Review all prepayments and ensure that the good/service which has already been paid for is received in the future</w:t>
            </w:r>
          </w:p>
          <w:p w14:paraId="06CE11B2" w14:textId="77777777" w:rsidR="006E7AE7" w:rsidRPr="00A442AF" w:rsidRDefault="006E7AE7" w:rsidP="009E2768">
            <w:pPr>
              <w:pStyle w:val="Bodytext"/>
            </w:pPr>
            <w:r w:rsidRPr="006402A5">
              <w:t>Review approach to archiving</w:t>
            </w:r>
          </w:p>
          <w:p w14:paraId="2A898952" w14:textId="77777777" w:rsidR="006E7AE7"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p>
          <w:p w14:paraId="7965D658" w14:textId="77777777" w:rsidR="006E7AE7" w:rsidRPr="00A442AF" w:rsidRDefault="006E7AE7" w:rsidP="009E2768">
            <w:pPr>
              <w:pStyle w:val="Bodytext"/>
            </w:pPr>
            <w:r w:rsidRPr="006402A5">
              <w:t>Write and issue revised financial procedure notes</w:t>
            </w:r>
          </w:p>
          <w:p w14:paraId="52DCD9B7" w14:textId="77777777" w:rsidR="006E7AE7" w:rsidRPr="00A442AF" w:rsidRDefault="006E7AE7" w:rsidP="009E2768">
            <w:pPr>
              <w:pStyle w:val="Bodytext"/>
            </w:pPr>
            <w:r w:rsidRPr="006402A5">
              <w:t>Arrange staff training</w:t>
            </w:r>
          </w:p>
        </w:tc>
        <w:tc>
          <w:tcPr>
            <w:tcW w:w="1134" w:type="dxa"/>
          </w:tcPr>
          <w:p w14:paraId="7D99231C" w14:textId="77777777" w:rsidR="006E7AE7" w:rsidRPr="00A442AF" w:rsidRDefault="006E7AE7" w:rsidP="009E2768">
            <w:pPr>
              <w:pStyle w:val="Bodytext"/>
            </w:pPr>
          </w:p>
        </w:tc>
        <w:tc>
          <w:tcPr>
            <w:tcW w:w="1560" w:type="dxa"/>
          </w:tcPr>
          <w:p w14:paraId="76E4DD02" w14:textId="77777777" w:rsidR="006E7AE7" w:rsidRPr="00A442AF" w:rsidRDefault="006E7AE7" w:rsidP="009E2768">
            <w:pPr>
              <w:pStyle w:val="Bodytext"/>
            </w:pPr>
          </w:p>
        </w:tc>
      </w:tr>
      <w:tr w:rsidR="006E7AE7" w:rsidRPr="006402A5" w14:paraId="708F6241" w14:textId="77777777" w:rsidTr="009E2768">
        <w:tc>
          <w:tcPr>
            <w:tcW w:w="6345" w:type="dxa"/>
          </w:tcPr>
          <w:p w14:paraId="1B1F291C" w14:textId="77777777" w:rsidR="006E7AE7" w:rsidRPr="00A442AF" w:rsidRDefault="006E7AE7" w:rsidP="009E2768">
            <w:pPr>
              <w:pStyle w:val="Bodytext"/>
            </w:pPr>
          </w:p>
        </w:tc>
        <w:tc>
          <w:tcPr>
            <w:tcW w:w="1134" w:type="dxa"/>
          </w:tcPr>
          <w:p w14:paraId="1578CCAC" w14:textId="77777777" w:rsidR="006E7AE7" w:rsidRPr="00A442AF" w:rsidRDefault="006E7AE7" w:rsidP="009E2768">
            <w:pPr>
              <w:pStyle w:val="Bodytext"/>
            </w:pPr>
          </w:p>
        </w:tc>
        <w:tc>
          <w:tcPr>
            <w:tcW w:w="1560" w:type="dxa"/>
          </w:tcPr>
          <w:p w14:paraId="5650B07C" w14:textId="77777777" w:rsidR="006E7AE7" w:rsidRPr="00A442AF" w:rsidRDefault="006E7AE7" w:rsidP="009E2768">
            <w:pPr>
              <w:pStyle w:val="Bodytext"/>
            </w:pPr>
          </w:p>
        </w:tc>
      </w:tr>
      <w:tr w:rsidR="006E7AE7" w:rsidRPr="006402A5" w14:paraId="62FA6084" w14:textId="77777777" w:rsidTr="009E2768">
        <w:tc>
          <w:tcPr>
            <w:tcW w:w="6345" w:type="dxa"/>
          </w:tcPr>
          <w:p w14:paraId="47B95651" w14:textId="77777777" w:rsidR="006E7AE7" w:rsidRPr="00A442AF" w:rsidRDefault="006E7AE7" w:rsidP="009E2768">
            <w:pPr>
              <w:pStyle w:val="Bodytext"/>
            </w:pPr>
          </w:p>
        </w:tc>
        <w:tc>
          <w:tcPr>
            <w:tcW w:w="1134" w:type="dxa"/>
          </w:tcPr>
          <w:p w14:paraId="2C314143" w14:textId="77777777" w:rsidR="006E7AE7" w:rsidRPr="00A442AF" w:rsidRDefault="006E7AE7" w:rsidP="009E2768">
            <w:pPr>
              <w:pStyle w:val="Bodytext"/>
            </w:pPr>
          </w:p>
        </w:tc>
        <w:tc>
          <w:tcPr>
            <w:tcW w:w="1560" w:type="dxa"/>
          </w:tcPr>
          <w:p w14:paraId="78A16707" w14:textId="77777777" w:rsidR="006E7AE7" w:rsidRPr="00A442AF" w:rsidRDefault="006E7AE7" w:rsidP="009E2768">
            <w:pPr>
              <w:pStyle w:val="Bodytext"/>
            </w:pPr>
          </w:p>
        </w:tc>
      </w:tr>
    </w:tbl>
    <w:p w14:paraId="3A55943A"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7311F6" w14:paraId="2CCAF594" w14:textId="77777777" w:rsidTr="009E2768">
        <w:trPr>
          <w:tblHeader/>
        </w:trPr>
        <w:tc>
          <w:tcPr>
            <w:tcW w:w="6345" w:type="dxa"/>
          </w:tcPr>
          <w:p w14:paraId="00243A9C" w14:textId="77777777" w:rsidR="006E7AE7" w:rsidRPr="007311F6" w:rsidRDefault="006E7AE7" w:rsidP="009E2768">
            <w:pPr>
              <w:pStyle w:val="Bodytext"/>
              <w:rPr>
                <w:b/>
              </w:rPr>
            </w:pPr>
            <w:r w:rsidRPr="007311F6">
              <w:rPr>
                <w:b/>
              </w:rPr>
              <w:t xml:space="preserve">Value </w:t>
            </w:r>
            <w:r>
              <w:rPr>
                <w:b/>
              </w:rPr>
              <w:t>a</w:t>
            </w:r>
            <w:r w:rsidRPr="007311F6">
              <w:rPr>
                <w:b/>
              </w:rPr>
              <w:t xml:space="preserve">dded </w:t>
            </w:r>
            <w:r>
              <w:rPr>
                <w:b/>
              </w:rPr>
              <w:t>t</w:t>
            </w:r>
            <w:r w:rsidRPr="007311F6">
              <w:rPr>
                <w:b/>
              </w:rPr>
              <w:t>ax</w:t>
            </w:r>
          </w:p>
        </w:tc>
        <w:tc>
          <w:tcPr>
            <w:tcW w:w="1134" w:type="dxa"/>
          </w:tcPr>
          <w:p w14:paraId="08E9155E" w14:textId="77777777" w:rsidR="006E7AE7" w:rsidRPr="007311F6" w:rsidRDefault="006E7AE7" w:rsidP="009E2768">
            <w:pPr>
              <w:pStyle w:val="Bodytext"/>
              <w:rPr>
                <w:b/>
              </w:rPr>
            </w:pPr>
            <w:r w:rsidRPr="007311F6">
              <w:rPr>
                <w:b/>
              </w:rPr>
              <w:t>Deadline</w:t>
            </w:r>
          </w:p>
        </w:tc>
        <w:tc>
          <w:tcPr>
            <w:tcW w:w="1560" w:type="dxa"/>
          </w:tcPr>
          <w:p w14:paraId="70E56E72" w14:textId="77777777" w:rsidR="006E7AE7" w:rsidRPr="007311F6" w:rsidRDefault="006E7AE7" w:rsidP="009E2768">
            <w:pPr>
              <w:pStyle w:val="Bodytext"/>
              <w:rPr>
                <w:b/>
              </w:rPr>
            </w:pPr>
            <w:r w:rsidRPr="007311F6">
              <w:rPr>
                <w:b/>
              </w:rPr>
              <w:t>Responsible individual</w:t>
            </w:r>
          </w:p>
        </w:tc>
      </w:tr>
      <w:tr w:rsidR="006E7AE7" w:rsidRPr="006402A5" w14:paraId="1AA57565" w14:textId="77777777" w:rsidTr="009E2768">
        <w:tc>
          <w:tcPr>
            <w:tcW w:w="6345" w:type="dxa"/>
          </w:tcPr>
          <w:p w14:paraId="013C0829" w14:textId="77777777" w:rsidR="006E7AE7" w:rsidRPr="00A442AF" w:rsidRDefault="006E7AE7" w:rsidP="009E2768">
            <w:pPr>
              <w:pStyle w:val="Bodytext"/>
            </w:pPr>
            <w:r w:rsidRPr="006402A5">
              <w:t>Inform HMRC of reorganisation</w:t>
            </w:r>
          </w:p>
          <w:p w14:paraId="7711B4C1" w14:textId="77777777" w:rsidR="006E7AE7" w:rsidRPr="00A442AF" w:rsidRDefault="006E7AE7" w:rsidP="009E2768">
            <w:pPr>
              <w:pStyle w:val="Bodytext"/>
            </w:pPr>
            <w:r w:rsidRPr="006402A5">
              <w:t>If necessary, obtain new VAT registration and VAT number</w:t>
            </w:r>
          </w:p>
          <w:p w14:paraId="7D50423A" w14:textId="77777777" w:rsidR="006E7AE7" w:rsidRPr="00A442AF" w:rsidRDefault="006E7AE7" w:rsidP="009E2768">
            <w:pPr>
              <w:pStyle w:val="Bodytext"/>
            </w:pPr>
            <w:r w:rsidRPr="006402A5">
              <w:t>Arrange submission of pre</w:t>
            </w:r>
            <w:r>
              <w:t>-</w:t>
            </w:r>
            <w:r w:rsidRPr="006402A5">
              <w:t>reorganisation VAT returns</w:t>
            </w:r>
          </w:p>
          <w:p w14:paraId="0B09A907" w14:textId="77777777" w:rsidR="006E7AE7" w:rsidRPr="00A442AF" w:rsidRDefault="006E7AE7" w:rsidP="009E2768">
            <w:pPr>
              <w:pStyle w:val="Bodytext"/>
            </w:pPr>
            <w:r>
              <w:t>Recalculate partial exemption</w:t>
            </w:r>
          </w:p>
          <w:p w14:paraId="0CA6320F" w14:textId="77777777" w:rsidR="006E7AE7" w:rsidRPr="00A442AF" w:rsidRDefault="006E7AE7" w:rsidP="009E2768">
            <w:pPr>
              <w:pStyle w:val="Bodytext"/>
            </w:pPr>
            <w:r w:rsidRPr="006402A5">
              <w:t>Review operations and activities of the new NHS body making best use of existing recovery arrangements</w:t>
            </w:r>
          </w:p>
          <w:p w14:paraId="5EDB2BFC" w14:textId="77777777" w:rsidR="006E7AE7" w:rsidRPr="00A442AF" w:rsidRDefault="006E7AE7" w:rsidP="009E2768">
            <w:pPr>
              <w:pStyle w:val="Bodytext"/>
            </w:pPr>
            <w:r w:rsidRPr="006402A5">
              <w:t>Consider the adequacy of in-house expertise and whether or not external consultancy services are required</w:t>
            </w:r>
          </w:p>
          <w:p w14:paraId="193347C7" w14:textId="77777777" w:rsidR="006E7AE7" w:rsidRPr="00A442AF" w:rsidRDefault="006E7AE7" w:rsidP="009E2768">
            <w:pPr>
              <w:pStyle w:val="Bodytext"/>
            </w:pPr>
            <w:r w:rsidRPr="006402A5">
              <w:t>Where old bodies have used more than one consultancy service, consider the need to tender for the new service</w:t>
            </w:r>
          </w:p>
          <w:p w14:paraId="5F555FFA" w14:textId="77777777" w:rsidR="006E7AE7" w:rsidRPr="00A442AF" w:rsidRDefault="006E7AE7" w:rsidP="009E2768">
            <w:pPr>
              <w:pStyle w:val="Bodytext"/>
            </w:pPr>
            <w:r w:rsidRPr="006402A5">
              <w:t>Ensure the correct VAT number appears on all relevant stationery</w:t>
            </w:r>
          </w:p>
          <w:p w14:paraId="694FECFC" w14:textId="77777777" w:rsidR="006E7AE7" w:rsidRPr="00A442AF" w:rsidRDefault="006E7AE7" w:rsidP="009E2768">
            <w:pPr>
              <w:pStyle w:val="Bodytext"/>
            </w:pPr>
            <w:r w:rsidRPr="006402A5">
              <w:t>Train staff and provide guidance in identification and recovery</w:t>
            </w:r>
          </w:p>
          <w:p w14:paraId="3A43605B" w14:textId="77777777" w:rsidR="006E7AE7" w:rsidRPr="00A442AF"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tc>
        <w:tc>
          <w:tcPr>
            <w:tcW w:w="1134" w:type="dxa"/>
          </w:tcPr>
          <w:p w14:paraId="45D4509C" w14:textId="77777777" w:rsidR="006E7AE7" w:rsidRPr="00A442AF" w:rsidRDefault="006E7AE7" w:rsidP="009E2768">
            <w:pPr>
              <w:pStyle w:val="Bodytext"/>
            </w:pPr>
          </w:p>
        </w:tc>
        <w:tc>
          <w:tcPr>
            <w:tcW w:w="1560" w:type="dxa"/>
          </w:tcPr>
          <w:p w14:paraId="7D254A6F" w14:textId="77777777" w:rsidR="006E7AE7" w:rsidRPr="00A442AF" w:rsidRDefault="006E7AE7" w:rsidP="009E2768">
            <w:pPr>
              <w:pStyle w:val="Bodytext"/>
            </w:pPr>
          </w:p>
        </w:tc>
      </w:tr>
      <w:tr w:rsidR="006E7AE7" w:rsidRPr="006402A5" w14:paraId="3E8A31A7" w14:textId="77777777" w:rsidTr="009E2768">
        <w:tc>
          <w:tcPr>
            <w:tcW w:w="6345" w:type="dxa"/>
          </w:tcPr>
          <w:p w14:paraId="58955AEA" w14:textId="77777777" w:rsidR="006E7AE7" w:rsidRPr="00A442AF" w:rsidRDefault="006E7AE7" w:rsidP="009E2768">
            <w:pPr>
              <w:pStyle w:val="Bodytext"/>
            </w:pPr>
          </w:p>
        </w:tc>
        <w:tc>
          <w:tcPr>
            <w:tcW w:w="1134" w:type="dxa"/>
          </w:tcPr>
          <w:p w14:paraId="74CD97D3" w14:textId="77777777" w:rsidR="006E7AE7" w:rsidRPr="00A442AF" w:rsidRDefault="006E7AE7" w:rsidP="009E2768">
            <w:pPr>
              <w:pStyle w:val="Bodytext"/>
            </w:pPr>
          </w:p>
        </w:tc>
        <w:tc>
          <w:tcPr>
            <w:tcW w:w="1560" w:type="dxa"/>
          </w:tcPr>
          <w:p w14:paraId="0E466B2C" w14:textId="77777777" w:rsidR="006E7AE7" w:rsidRPr="00A442AF" w:rsidRDefault="006E7AE7" w:rsidP="009E2768">
            <w:pPr>
              <w:pStyle w:val="Bodytext"/>
            </w:pPr>
          </w:p>
        </w:tc>
      </w:tr>
      <w:tr w:rsidR="006E7AE7" w:rsidRPr="006402A5" w14:paraId="5C473675" w14:textId="77777777" w:rsidTr="009E2768">
        <w:tc>
          <w:tcPr>
            <w:tcW w:w="6345" w:type="dxa"/>
          </w:tcPr>
          <w:p w14:paraId="569FB61F" w14:textId="77777777" w:rsidR="006E7AE7" w:rsidRPr="00A442AF" w:rsidRDefault="006E7AE7" w:rsidP="009E2768">
            <w:pPr>
              <w:pStyle w:val="Bodytext"/>
            </w:pPr>
          </w:p>
        </w:tc>
        <w:tc>
          <w:tcPr>
            <w:tcW w:w="1134" w:type="dxa"/>
          </w:tcPr>
          <w:p w14:paraId="481AB707" w14:textId="77777777" w:rsidR="006E7AE7" w:rsidRPr="00A442AF" w:rsidRDefault="006E7AE7" w:rsidP="009E2768">
            <w:pPr>
              <w:pStyle w:val="Bodytext"/>
            </w:pPr>
          </w:p>
        </w:tc>
        <w:tc>
          <w:tcPr>
            <w:tcW w:w="1560" w:type="dxa"/>
          </w:tcPr>
          <w:p w14:paraId="43EC535F" w14:textId="77777777" w:rsidR="006E7AE7" w:rsidRPr="00A442AF" w:rsidRDefault="006E7AE7" w:rsidP="009E2768">
            <w:pPr>
              <w:pStyle w:val="Bodytext"/>
            </w:pPr>
          </w:p>
        </w:tc>
      </w:tr>
    </w:tbl>
    <w:p w14:paraId="33010344"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7311F6" w14:paraId="24C9CDEF" w14:textId="77777777" w:rsidTr="009E2768">
        <w:trPr>
          <w:tblHeader/>
        </w:trPr>
        <w:tc>
          <w:tcPr>
            <w:tcW w:w="6345" w:type="dxa"/>
          </w:tcPr>
          <w:p w14:paraId="48E71C99" w14:textId="77777777" w:rsidR="006E7AE7" w:rsidRPr="007311F6" w:rsidRDefault="006E7AE7" w:rsidP="009E2768">
            <w:pPr>
              <w:pStyle w:val="Bodytext"/>
              <w:rPr>
                <w:b/>
              </w:rPr>
            </w:pPr>
            <w:r w:rsidRPr="007311F6">
              <w:rPr>
                <w:b/>
              </w:rPr>
              <w:t xml:space="preserve">Insurance and </w:t>
            </w:r>
            <w:r>
              <w:rPr>
                <w:b/>
              </w:rPr>
              <w:t>c</w:t>
            </w:r>
            <w:r w:rsidRPr="007311F6">
              <w:rPr>
                <w:b/>
              </w:rPr>
              <w:t>laims</w:t>
            </w:r>
          </w:p>
        </w:tc>
        <w:tc>
          <w:tcPr>
            <w:tcW w:w="1134" w:type="dxa"/>
          </w:tcPr>
          <w:p w14:paraId="6540EBB4" w14:textId="77777777" w:rsidR="006E7AE7" w:rsidRPr="007311F6" w:rsidRDefault="006E7AE7" w:rsidP="009E2768">
            <w:pPr>
              <w:pStyle w:val="Bodytext"/>
              <w:rPr>
                <w:b/>
              </w:rPr>
            </w:pPr>
            <w:r w:rsidRPr="007311F6">
              <w:rPr>
                <w:b/>
              </w:rPr>
              <w:t>Deadline</w:t>
            </w:r>
          </w:p>
        </w:tc>
        <w:tc>
          <w:tcPr>
            <w:tcW w:w="1560" w:type="dxa"/>
          </w:tcPr>
          <w:p w14:paraId="069F353B" w14:textId="77777777" w:rsidR="006E7AE7" w:rsidRPr="007311F6" w:rsidRDefault="006E7AE7" w:rsidP="009E2768">
            <w:pPr>
              <w:pStyle w:val="Bodytext"/>
              <w:rPr>
                <w:b/>
              </w:rPr>
            </w:pPr>
            <w:r w:rsidRPr="007311F6">
              <w:rPr>
                <w:b/>
              </w:rPr>
              <w:t>Responsible individual</w:t>
            </w:r>
          </w:p>
        </w:tc>
      </w:tr>
      <w:tr w:rsidR="006E7AE7" w:rsidRPr="006402A5" w14:paraId="1F99B98C" w14:textId="77777777" w:rsidTr="009E2768">
        <w:tc>
          <w:tcPr>
            <w:tcW w:w="6345" w:type="dxa"/>
          </w:tcPr>
          <w:p w14:paraId="6CEE17D2" w14:textId="77777777" w:rsidR="006E7AE7" w:rsidRPr="00A442AF" w:rsidRDefault="006E7AE7" w:rsidP="009E2768">
            <w:pPr>
              <w:pStyle w:val="Bodytext"/>
            </w:pPr>
            <w:r w:rsidRPr="006402A5">
              <w:t xml:space="preserve">Contact </w:t>
            </w:r>
            <w:r>
              <w:t>NHS Protect</w:t>
            </w:r>
            <w:r w:rsidRPr="006402A5">
              <w:t xml:space="preserve"> to inform them of NHS bodies affected by reorganisation so that all insurance cover and claims can be amalgamated and new reference numbers allocated</w:t>
            </w:r>
          </w:p>
          <w:p w14:paraId="0514D6DE" w14:textId="77777777" w:rsidR="006E7AE7" w:rsidRPr="00A442AF" w:rsidRDefault="006E7AE7" w:rsidP="009E2768">
            <w:pPr>
              <w:pStyle w:val="Bodytext"/>
            </w:pPr>
            <w:r w:rsidRPr="006402A5">
              <w:t>Contact all other insurers to inform them of the NHS bodies affected by the reorganisation so that cover can be continued and claims continue to be dealt with</w:t>
            </w:r>
          </w:p>
          <w:p w14:paraId="0B83B4A1" w14:textId="77777777" w:rsidR="006E7AE7" w:rsidRPr="00A442AF" w:rsidRDefault="006E7AE7" w:rsidP="009E2768">
            <w:pPr>
              <w:pStyle w:val="Bodytext"/>
            </w:pPr>
            <w:r w:rsidRPr="006402A5">
              <w:t>Determine insurance requirements for the new NHS body and ensure portfolio of required cover is in place by the vesting date – liaise with NHS</w:t>
            </w:r>
            <w:r>
              <w:t xml:space="preserve"> Protect</w:t>
            </w:r>
            <w:r w:rsidRPr="006402A5">
              <w:t xml:space="preserve"> in relation to clinical cover</w:t>
            </w:r>
          </w:p>
          <w:p w14:paraId="56B53DE2" w14:textId="77777777" w:rsidR="006E7AE7" w:rsidRPr="00A442AF" w:rsidRDefault="006E7AE7" w:rsidP="009E2768">
            <w:pPr>
              <w:pStyle w:val="Bodytext"/>
            </w:pPr>
            <w:r w:rsidRPr="006402A5">
              <w:t>Consider the need to go out to tender for insurance cover</w:t>
            </w:r>
          </w:p>
          <w:p w14:paraId="0213E631" w14:textId="77777777" w:rsidR="006E7AE7" w:rsidRPr="00A442AF" w:rsidRDefault="006E7AE7" w:rsidP="009E2768">
            <w:pPr>
              <w:pStyle w:val="Bodytext"/>
            </w:pPr>
            <w:r w:rsidRPr="006402A5">
              <w:t>Secure agreement from NHS</w:t>
            </w:r>
            <w:r>
              <w:t xml:space="preserve"> Protect</w:t>
            </w:r>
            <w:r w:rsidRPr="006402A5">
              <w:t xml:space="preserve"> that ongoing clinical negligence claims under the CNST scheme will be honoured and ongoing cover provided</w:t>
            </w:r>
          </w:p>
          <w:p w14:paraId="5072862B" w14:textId="77777777" w:rsidR="006E7AE7" w:rsidRPr="00A442AF" w:rsidRDefault="006E7AE7" w:rsidP="009E2768">
            <w:pPr>
              <w:pStyle w:val="Bodytext"/>
            </w:pPr>
            <w:r w:rsidRPr="006402A5">
              <w:t xml:space="preserve">Ensure that the new body has access to all </w:t>
            </w:r>
            <w:r>
              <w:t xml:space="preserve">of the </w:t>
            </w:r>
            <w:r w:rsidRPr="006402A5">
              <w:t>old body’s claims history on the NHS</w:t>
            </w:r>
            <w:r>
              <w:t xml:space="preserve"> Protect</w:t>
            </w:r>
            <w:r w:rsidRPr="006402A5">
              <w:t>’s extranet</w:t>
            </w:r>
          </w:p>
          <w:p w14:paraId="54920B72" w14:textId="77777777" w:rsidR="006E7AE7" w:rsidRPr="00A442AF" w:rsidRDefault="006E7AE7" w:rsidP="009E2768">
            <w:pPr>
              <w:pStyle w:val="Bodytext"/>
            </w:pPr>
            <w:r w:rsidRPr="006402A5">
              <w:t>Arrange insurance of any charitable fund property (including arrangements for acquisition and disposal)</w:t>
            </w:r>
          </w:p>
          <w:p w14:paraId="01CDED82" w14:textId="77777777" w:rsidR="006E7AE7" w:rsidRPr="00A442AF" w:rsidRDefault="006E7AE7" w:rsidP="009E2768">
            <w:pPr>
              <w:pStyle w:val="Bodytext"/>
            </w:pPr>
            <w:r w:rsidRPr="006402A5">
              <w:t>Rationalise arrangements for claims management</w:t>
            </w:r>
          </w:p>
          <w:p w14:paraId="541D4694" w14:textId="77777777" w:rsidR="006E7AE7" w:rsidRPr="00A442AF" w:rsidRDefault="006E7AE7" w:rsidP="009E2768">
            <w:pPr>
              <w:pStyle w:val="Bodytext"/>
            </w:pPr>
            <w:r w:rsidRPr="006402A5">
              <w:t>Write and issue revised procedure notes</w:t>
            </w:r>
          </w:p>
          <w:p w14:paraId="02297802" w14:textId="77777777" w:rsidR="006E7AE7" w:rsidRPr="00A442AF" w:rsidRDefault="006E7AE7" w:rsidP="009E2768">
            <w:pPr>
              <w:pStyle w:val="Bodytext"/>
            </w:pPr>
            <w:r w:rsidRPr="006402A5">
              <w:t>Arrange staff training</w:t>
            </w:r>
          </w:p>
        </w:tc>
        <w:tc>
          <w:tcPr>
            <w:tcW w:w="1134" w:type="dxa"/>
          </w:tcPr>
          <w:p w14:paraId="0BED9FD9" w14:textId="77777777" w:rsidR="006E7AE7" w:rsidRPr="00A442AF" w:rsidRDefault="006E7AE7" w:rsidP="009E2768">
            <w:pPr>
              <w:pStyle w:val="Bodytext"/>
            </w:pPr>
          </w:p>
        </w:tc>
        <w:tc>
          <w:tcPr>
            <w:tcW w:w="1560" w:type="dxa"/>
          </w:tcPr>
          <w:p w14:paraId="361A0760" w14:textId="77777777" w:rsidR="006E7AE7" w:rsidRPr="00A442AF" w:rsidRDefault="006E7AE7" w:rsidP="009E2768">
            <w:pPr>
              <w:pStyle w:val="Bodytext"/>
            </w:pPr>
          </w:p>
        </w:tc>
      </w:tr>
      <w:tr w:rsidR="006E7AE7" w:rsidRPr="006402A5" w14:paraId="0FCB425E" w14:textId="77777777" w:rsidTr="009E2768">
        <w:tc>
          <w:tcPr>
            <w:tcW w:w="6345" w:type="dxa"/>
          </w:tcPr>
          <w:p w14:paraId="676FE595" w14:textId="77777777" w:rsidR="006E7AE7" w:rsidRPr="00A442AF" w:rsidRDefault="006E7AE7" w:rsidP="009E2768">
            <w:pPr>
              <w:pStyle w:val="Bodytext"/>
            </w:pPr>
          </w:p>
        </w:tc>
        <w:tc>
          <w:tcPr>
            <w:tcW w:w="1134" w:type="dxa"/>
          </w:tcPr>
          <w:p w14:paraId="4AC76809" w14:textId="77777777" w:rsidR="006E7AE7" w:rsidRPr="00A442AF" w:rsidRDefault="006E7AE7" w:rsidP="009E2768">
            <w:pPr>
              <w:pStyle w:val="Bodytext"/>
            </w:pPr>
          </w:p>
        </w:tc>
        <w:tc>
          <w:tcPr>
            <w:tcW w:w="1560" w:type="dxa"/>
          </w:tcPr>
          <w:p w14:paraId="5EEEF21E" w14:textId="77777777" w:rsidR="006E7AE7" w:rsidRPr="00A442AF" w:rsidRDefault="006E7AE7" w:rsidP="009E2768">
            <w:pPr>
              <w:pStyle w:val="Bodytext"/>
            </w:pPr>
          </w:p>
        </w:tc>
      </w:tr>
      <w:tr w:rsidR="006E7AE7" w:rsidRPr="006402A5" w14:paraId="1A1BA128" w14:textId="77777777" w:rsidTr="009E2768">
        <w:tc>
          <w:tcPr>
            <w:tcW w:w="6345" w:type="dxa"/>
          </w:tcPr>
          <w:p w14:paraId="03BDBEFC" w14:textId="77777777" w:rsidR="006E7AE7" w:rsidRPr="00A442AF" w:rsidRDefault="006E7AE7" w:rsidP="009E2768">
            <w:pPr>
              <w:pStyle w:val="Bodytext"/>
            </w:pPr>
          </w:p>
        </w:tc>
        <w:tc>
          <w:tcPr>
            <w:tcW w:w="1134" w:type="dxa"/>
          </w:tcPr>
          <w:p w14:paraId="21546AD1" w14:textId="77777777" w:rsidR="006E7AE7" w:rsidRPr="00A442AF" w:rsidRDefault="006E7AE7" w:rsidP="009E2768">
            <w:pPr>
              <w:pStyle w:val="Bodytext"/>
            </w:pPr>
          </w:p>
        </w:tc>
        <w:tc>
          <w:tcPr>
            <w:tcW w:w="1560" w:type="dxa"/>
          </w:tcPr>
          <w:p w14:paraId="3E92A047" w14:textId="77777777" w:rsidR="006E7AE7" w:rsidRPr="00A442AF" w:rsidRDefault="006E7AE7" w:rsidP="009E2768">
            <w:pPr>
              <w:pStyle w:val="Bodytext"/>
            </w:pPr>
          </w:p>
        </w:tc>
      </w:tr>
    </w:tbl>
    <w:p w14:paraId="31023B72"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F236A4" w14:paraId="61922495" w14:textId="77777777" w:rsidTr="009E2768">
        <w:trPr>
          <w:tblHeader/>
        </w:trPr>
        <w:tc>
          <w:tcPr>
            <w:tcW w:w="6345" w:type="dxa"/>
          </w:tcPr>
          <w:p w14:paraId="3DAF5BEE" w14:textId="77777777" w:rsidR="006E7AE7" w:rsidRPr="00F236A4" w:rsidRDefault="006E7AE7" w:rsidP="009E2768">
            <w:pPr>
              <w:pStyle w:val="Bodytext"/>
              <w:rPr>
                <w:b/>
              </w:rPr>
            </w:pPr>
            <w:r w:rsidRPr="00F236A4">
              <w:rPr>
                <w:b/>
              </w:rPr>
              <w:t>Non-current assets</w:t>
            </w:r>
          </w:p>
        </w:tc>
        <w:tc>
          <w:tcPr>
            <w:tcW w:w="1134" w:type="dxa"/>
          </w:tcPr>
          <w:p w14:paraId="0B66994C" w14:textId="77777777" w:rsidR="006E7AE7" w:rsidRPr="00F236A4" w:rsidRDefault="006E7AE7" w:rsidP="009E2768">
            <w:pPr>
              <w:pStyle w:val="Bodytext"/>
              <w:rPr>
                <w:b/>
              </w:rPr>
            </w:pPr>
            <w:r w:rsidRPr="00F236A4">
              <w:rPr>
                <w:b/>
              </w:rPr>
              <w:t>Deadline</w:t>
            </w:r>
          </w:p>
        </w:tc>
        <w:tc>
          <w:tcPr>
            <w:tcW w:w="1560" w:type="dxa"/>
          </w:tcPr>
          <w:p w14:paraId="7A13B84C" w14:textId="77777777" w:rsidR="006E7AE7" w:rsidRPr="00F236A4" w:rsidRDefault="006E7AE7" w:rsidP="009E2768">
            <w:pPr>
              <w:pStyle w:val="Bodytext"/>
              <w:rPr>
                <w:b/>
              </w:rPr>
            </w:pPr>
            <w:r w:rsidRPr="00F236A4">
              <w:rPr>
                <w:b/>
              </w:rPr>
              <w:t>Responsible individual</w:t>
            </w:r>
          </w:p>
        </w:tc>
      </w:tr>
      <w:tr w:rsidR="006E7AE7" w:rsidRPr="006402A5" w14:paraId="7B36D0FF" w14:textId="77777777" w:rsidTr="009E2768">
        <w:tc>
          <w:tcPr>
            <w:tcW w:w="6345" w:type="dxa"/>
          </w:tcPr>
          <w:p w14:paraId="3E925467" w14:textId="77777777" w:rsidR="006E7AE7" w:rsidRPr="00A442AF" w:rsidRDefault="006E7AE7" w:rsidP="009E2768">
            <w:pPr>
              <w:pStyle w:val="Bodytext"/>
            </w:pPr>
            <w:r w:rsidRPr="006402A5">
              <w:t xml:space="preserve">Ensure that the appropriate dissolution, establishment and transfer orders </w:t>
            </w:r>
            <w:r>
              <w:t xml:space="preserve">or contractual agreements </w:t>
            </w:r>
            <w:r w:rsidRPr="006402A5">
              <w:t>have been issued transferring the assets and liabilities (note that this applies to current assets and liabilities, not just non-current) to the new NHS body. In some cases</w:t>
            </w:r>
            <w:r>
              <w:t>,</w:t>
            </w:r>
            <w:r w:rsidRPr="006402A5">
              <w:t xml:space="preserve"> there will be a change to the establishment order rather than a dissolution order. Ensure that these have been appropriately filed and are available to all relevant staff</w:t>
            </w:r>
          </w:p>
          <w:p w14:paraId="0EBCB8F4" w14:textId="77777777" w:rsidR="006E7AE7" w:rsidRDefault="006E7AE7" w:rsidP="009E2768">
            <w:pPr>
              <w:pStyle w:val="Bodytext"/>
            </w:pPr>
            <w:r>
              <w:t xml:space="preserve">(Provider bodies) </w:t>
            </w:r>
            <w:r w:rsidRPr="006402A5">
              <w:t xml:space="preserve">Agree approach to financial restructuring with finance leads at </w:t>
            </w:r>
            <w:r>
              <w:t>NHS Improvement in relation to both:</w:t>
            </w:r>
          </w:p>
          <w:p w14:paraId="791031B1" w14:textId="77777777" w:rsidR="006E7AE7" w:rsidRDefault="006E7AE7" w:rsidP="009E2768">
            <w:pPr>
              <w:pStyle w:val="Bullet"/>
            </w:pPr>
            <w:r>
              <w:t>managing the transfer of PDC balances</w:t>
            </w:r>
          </w:p>
          <w:p w14:paraId="7D4F5752" w14:textId="77777777" w:rsidR="006E7AE7" w:rsidRPr="00A442AF" w:rsidRDefault="006E7AE7" w:rsidP="009E2768">
            <w:pPr>
              <w:pStyle w:val="Bullet"/>
            </w:pPr>
            <w:r>
              <w:t>any additional funding for the reorganisation</w:t>
            </w:r>
          </w:p>
          <w:p w14:paraId="67D5E716" w14:textId="77777777" w:rsidR="006E7AE7" w:rsidRPr="00A442AF" w:rsidRDefault="006E7AE7" w:rsidP="009E2768">
            <w:pPr>
              <w:pStyle w:val="Bodytext"/>
            </w:pPr>
            <w:r w:rsidRPr="006402A5">
              <w:t xml:space="preserve">Identify all property, plant and equipment in existence before the vesting date and confirm ownership </w:t>
            </w:r>
          </w:p>
          <w:p w14:paraId="140F3267" w14:textId="77777777" w:rsidR="006E7AE7" w:rsidRPr="00A442AF" w:rsidRDefault="006E7AE7" w:rsidP="009E2768">
            <w:pPr>
              <w:pStyle w:val="Bodytext"/>
            </w:pPr>
            <w:r w:rsidRPr="006402A5">
              <w:lastRenderedPageBreak/>
              <w:t>Ensure that all documentation relating to property is transferred and properly archived</w:t>
            </w:r>
          </w:p>
          <w:p w14:paraId="260D531D" w14:textId="77777777" w:rsidR="006E7AE7" w:rsidRPr="00A442AF" w:rsidRDefault="006E7AE7" w:rsidP="009E2768">
            <w:pPr>
              <w:pStyle w:val="Bodytext"/>
            </w:pPr>
            <w:r w:rsidRPr="006402A5">
              <w:t>Inform the Land Registry of changes of ownership</w:t>
            </w:r>
          </w:p>
          <w:p w14:paraId="683A5421" w14:textId="77777777" w:rsidR="006E7AE7" w:rsidRPr="00A442AF" w:rsidRDefault="006E7AE7" w:rsidP="009E2768">
            <w:pPr>
              <w:pStyle w:val="Bodytext"/>
            </w:pPr>
            <w:r w:rsidRPr="00EB11C9">
              <w:t>(</w:t>
            </w:r>
            <w:r>
              <w:t>F</w:t>
            </w:r>
            <w:r w:rsidRPr="00EB11C9">
              <w:t xml:space="preserve">oundation trusts) Ensure that the register of assets used for providing Commissioner Requested Services is updated as required by </w:t>
            </w:r>
            <w:r>
              <w:t>NHS Improvement</w:t>
            </w:r>
            <w:r w:rsidRPr="00EB11C9">
              <w:t>’s licence</w:t>
            </w:r>
          </w:p>
          <w:p w14:paraId="20BA529A" w14:textId="77777777" w:rsidR="006E7AE7" w:rsidRPr="00A442AF" w:rsidRDefault="006E7AE7" w:rsidP="009E2768">
            <w:pPr>
              <w:pStyle w:val="Bodytext"/>
            </w:pPr>
            <w:r w:rsidRPr="006402A5">
              <w:t>Determine whether there are any legal charges</w:t>
            </w:r>
            <w:r w:rsidRPr="006402A5">
              <w:rPr>
                <w:rStyle w:val="FootnoteReference"/>
                <w:rFonts w:cs="Arial"/>
                <w:szCs w:val="22"/>
              </w:rPr>
              <w:footnoteReference w:id="8"/>
            </w:r>
            <w:r w:rsidRPr="006402A5">
              <w:t xml:space="preserve"> on any property. Ensure that the body that holds the legal charge is informed of the reorganisation and given new contact details</w:t>
            </w:r>
          </w:p>
          <w:p w14:paraId="26FFA4E7" w14:textId="77777777" w:rsidR="006E7AE7" w:rsidRPr="00A442AF" w:rsidRDefault="006E7AE7" w:rsidP="009E2768">
            <w:pPr>
              <w:pStyle w:val="Bodytext"/>
            </w:pPr>
            <w:r w:rsidRPr="006402A5">
              <w:t>Where possible, physically verify all property, plant and equipment. Where this is not possible, consider whether write</w:t>
            </w:r>
            <w:r>
              <w:t>-</w:t>
            </w:r>
            <w:r w:rsidRPr="006402A5">
              <w:t>offs are required</w:t>
            </w:r>
          </w:p>
          <w:p w14:paraId="38660C48" w14:textId="77777777" w:rsidR="006E7AE7" w:rsidRPr="00A442AF" w:rsidRDefault="006E7AE7" w:rsidP="009E2768">
            <w:pPr>
              <w:pStyle w:val="Bodytext"/>
            </w:pPr>
            <w:r w:rsidRPr="006402A5">
              <w:t>Agree property, plant and equipment to be retained, disposed of and transferred</w:t>
            </w:r>
          </w:p>
          <w:p w14:paraId="3DF2023E" w14:textId="77777777" w:rsidR="006E7AE7" w:rsidRPr="00A442AF" w:rsidRDefault="006E7AE7" w:rsidP="009E2768">
            <w:pPr>
              <w:pStyle w:val="Bodytext"/>
            </w:pPr>
            <w:r w:rsidRPr="006402A5">
              <w:t>If different asset registers are maintained, agree a date when they will be merged onto one system</w:t>
            </w:r>
          </w:p>
          <w:p w14:paraId="084CE76F" w14:textId="77777777" w:rsidR="006E7AE7" w:rsidRPr="00A442AF" w:rsidRDefault="006E7AE7" w:rsidP="009E2768">
            <w:pPr>
              <w:pStyle w:val="Bodytext"/>
            </w:pPr>
            <w:r w:rsidRPr="006402A5">
              <w:t>Review valuation methodologies and ensure that they are consistent.  Consider whether a new valuation</w:t>
            </w:r>
            <w:r w:rsidRPr="006402A5">
              <w:rPr>
                <w:rStyle w:val="FootnoteReference"/>
                <w:rFonts w:cs="Arial"/>
                <w:szCs w:val="22"/>
              </w:rPr>
              <w:footnoteReference w:id="9"/>
            </w:r>
            <w:r w:rsidRPr="006402A5">
              <w:t xml:space="preserve"> is required to ensure consistency of valuation</w:t>
            </w:r>
          </w:p>
          <w:p w14:paraId="095737D0" w14:textId="77777777" w:rsidR="006E7AE7" w:rsidRPr="00A442AF" w:rsidRDefault="006E7AE7" w:rsidP="009E2768">
            <w:pPr>
              <w:pStyle w:val="Bodytext"/>
            </w:pPr>
            <w:r w:rsidRPr="006402A5">
              <w:t>Review capitalisation policies, particularly around IT equipment and staff costs, and determine a single approach</w:t>
            </w:r>
          </w:p>
          <w:p w14:paraId="7204D9A9" w14:textId="77777777" w:rsidR="006E7AE7" w:rsidRPr="00A442AF" w:rsidRDefault="006E7AE7" w:rsidP="009E2768">
            <w:pPr>
              <w:pStyle w:val="Bodytext"/>
            </w:pPr>
            <w:r w:rsidRPr="006402A5">
              <w:t>Where there is a change in valuation methodology or capitalisation policy, agree necessary amendments and prior period adjustments with the external auditor</w:t>
            </w:r>
          </w:p>
          <w:p w14:paraId="3F1F23F4" w14:textId="77777777" w:rsidR="006E7AE7" w:rsidRPr="00A442AF" w:rsidRDefault="006E7AE7" w:rsidP="009E2768">
            <w:pPr>
              <w:pStyle w:val="Bodytext"/>
            </w:pPr>
            <w:r w:rsidRPr="006402A5">
              <w:t>Ensure that the revaluation reserve is mapped/</w:t>
            </w:r>
            <w:r>
              <w:t xml:space="preserve"> </w:t>
            </w:r>
            <w:r w:rsidRPr="006402A5">
              <w:t>linked to non-current assets. Where assets are disposed of, make sure that the revaluation reserve is also written out of the accounts</w:t>
            </w:r>
          </w:p>
          <w:p w14:paraId="28B30F59" w14:textId="77777777" w:rsidR="006E7AE7" w:rsidRPr="00A442AF" w:rsidRDefault="006E7AE7" w:rsidP="009E2768">
            <w:pPr>
              <w:pStyle w:val="Bodytext"/>
            </w:pPr>
            <w:r w:rsidRPr="006402A5">
              <w:t>Determine which equipment is under warranty or has a service contract and ensure that the necessary documentation is identified and appropriately filed or archived</w:t>
            </w:r>
          </w:p>
          <w:p w14:paraId="78609CA6" w14:textId="77777777" w:rsidR="006E7AE7" w:rsidRPr="00A442AF" w:rsidRDefault="006E7AE7" w:rsidP="009E2768">
            <w:pPr>
              <w:pStyle w:val="Bodytext"/>
            </w:pPr>
            <w:r w:rsidRPr="006402A5">
              <w:t>Review useful asset lives in the light of the merged body’s operational plan</w:t>
            </w:r>
          </w:p>
          <w:p w14:paraId="2D668BE9" w14:textId="77777777" w:rsidR="006E7AE7" w:rsidRPr="00A442AF" w:rsidRDefault="006E7AE7" w:rsidP="009E2768">
            <w:pPr>
              <w:pStyle w:val="Bodytext"/>
            </w:pPr>
            <w:r w:rsidRPr="006402A5">
              <w:t>Review values and accuracy of equipment register and write</w:t>
            </w:r>
            <w:r>
              <w:t xml:space="preserve"> </w:t>
            </w:r>
            <w:r w:rsidRPr="006402A5">
              <w:t>off any errors as appropriate</w:t>
            </w:r>
          </w:p>
          <w:p w14:paraId="52122A02" w14:textId="77777777" w:rsidR="006E7AE7" w:rsidRPr="00A442AF" w:rsidRDefault="006E7AE7" w:rsidP="009E2768">
            <w:pPr>
              <w:pStyle w:val="Bodytext"/>
            </w:pPr>
            <w:r w:rsidRPr="006402A5">
              <w:t>Review adequacy of existing asset register(s) and develop/revise/amend as necessary</w:t>
            </w:r>
          </w:p>
          <w:p w14:paraId="1DE269B1" w14:textId="77777777" w:rsidR="006E7AE7" w:rsidRPr="00A442AF" w:rsidRDefault="006E7AE7" w:rsidP="009E2768">
            <w:pPr>
              <w:pStyle w:val="Bodytext"/>
            </w:pPr>
            <w:r w:rsidRPr="006402A5">
              <w:lastRenderedPageBreak/>
              <w:t xml:space="preserve">Ensure system(s) can fulfil capital accounting requirements </w:t>
            </w:r>
          </w:p>
          <w:p w14:paraId="11FD7269" w14:textId="77777777" w:rsidR="006E7AE7" w:rsidRPr="00A442AF" w:rsidRDefault="006E7AE7" w:rsidP="009E2768">
            <w:pPr>
              <w:pStyle w:val="Bodytext"/>
            </w:pPr>
            <w:r w:rsidRPr="006402A5">
              <w:t>Ensure that there is an effective policy and procedure notes for managing assets</w:t>
            </w:r>
          </w:p>
          <w:p w14:paraId="431AE815" w14:textId="77777777" w:rsidR="006E7AE7" w:rsidRPr="00A442AF" w:rsidRDefault="006E7AE7" w:rsidP="009E2768">
            <w:pPr>
              <w:pStyle w:val="Bodytext"/>
            </w:pPr>
            <w:r w:rsidRPr="006402A5">
              <w:t>Ensure that if the asset register is not integrated, it interfaces with the ledger system</w:t>
            </w:r>
          </w:p>
          <w:p w14:paraId="7A464178" w14:textId="77777777" w:rsidR="006E7AE7" w:rsidRPr="00A442AF" w:rsidRDefault="006E7AE7" w:rsidP="009E2768">
            <w:pPr>
              <w:pStyle w:val="Bodytext"/>
            </w:pPr>
            <w:r w:rsidRPr="006402A5">
              <w:t xml:space="preserve">Check inventory of all assets including those ‘non accountable’ assets below the capitalisation threshold </w:t>
            </w:r>
          </w:p>
          <w:p w14:paraId="744AA29C" w14:textId="77777777" w:rsidR="006E7AE7" w:rsidRPr="00A442AF" w:rsidRDefault="006E7AE7" w:rsidP="009E2768">
            <w:pPr>
              <w:pStyle w:val="Bodytext"/>
            </w:pPr>
            <w:r w:rsidRPr="006402A5">
              <w:t>Identify any property income and arrange for collection of rentals</w:t>
            </w:r>
          </w:p>
          <w:p w14:paraId="6E4D2AFD" w14:textId="77777777" w:rsidR="006E7AE7" w:rsidRPr="00A442AF" w:rsidRDefault="006E7AE7" w:rsidP="009E2768">
            <w:pPr>
              <w:pStyle w:val="Bodytext"/>
            </w:pPr>
            <w:r w:rsidRPr="006402A5">
              <w:t>Review all existing leases and terminate/</w:t>
            </w:r>
            <w:r>
              <w:t xml:space="preserve"> </w:t>
            </w:r>
            <w:r w:rsidRPr="006402A5">
              <w:t xml:space="preserve">renegotiate as necessary </w:t>
            </w:r>
          </w:p>
          <w:p w14:paraId="2177108B" w14:textId="77777777" w:rsidR="006E7AE7" w:rsidRPr="00A442AF" w:rsidRDefault="006E7AE7" w:rsidP="009E2768">
            <w:pPr>
              <w:pStyle w:val="Bodytext"/>
            </w:pPr>
            <w:r w:rsidRPr="006402A5">
              <w:t>Ensure that all lease documentation is properly filed and archived</w:t>
            </w:r>
          </w:p>
          <w:p w14:paraId="6FC255DF" w14:textId="77777777" w:rsidR="006E7AE7" w:rsidRPr="00A442AF" w:rsidRDefault="006E7AE7" w:rsidP="009E2768">
            <w:pPr>
              <w:pStyle w:val="Bodytext"/>
            </w:pPr>
            <w:r w:rsidRPr="006402A5">
              <w:t>Identify any leases which are held at a peppercorn rent</w:t>
            </w:r>
          </w:p>
          <w:p w14:paraId="0D6540C1" w14:textId="77777777" w:rsidR="006E7AE7" w:rsidRPr="00A442AF" w:rsidRDefault="006E7AE7" w:rsidP="009E2768">
            <w:pPr>
              <w:pStyle w:val="Bodytext"/>
            </w:pPr>
            <w:r w:rsidRPr="006402A5">
              <w:t>Identify all contracts with NHS Property Services Ltd and Community Health Partnerships. Inform them of the reorganisation</w:t>
            </w:r>
          </w:p>
          <w:p w14:paraId="0071DF98" w14:textId="77777777" w:rsidR="006E7AE7" w:rsidRPr="00A442AF" w:rsidRDefault="006E7AE7" w:rsidP="009E2768">
            <w:pPr>
              <w:pStyle w:val="Bodytext"/>
            </w:pPr>
            <w:r w:rsidRPr="006402A5">
              <w:t xml:space="preserve">Inform lessors of equipment of the transfer to new NHS body </w:t>
            </w:r>
          </w:p>
          <w:p w14:paraId="2B9B7587" w14:textId="77777777" w:rsidR="006E7AE7" w:rsidRPr="00A442AF" w:rsidRDefault="006E7AE7" w:rsidP="009E2768">
            <w:pPr>
              <w:pStyle w:val="Bodytext"/>
            </w:pPr>
            <w:r w:rsidRPr="006402A5">
              <w:t>Ensure that partner NHS bodies involved in LIFT and/or PFI arrangements are informed of reorganisation plans and progress</w:t>
            </w:r>
          </w:p>
          <w:p w14:paraId="05F89570" w14:textId="77777777" w:rsidR="006E7AE7" w:rsidRPr="00A442AF" w:rsidRDefault="006E7AE7" w:rsidP="009E2768">
            <w:pPr>
              <w:pStyle w:val="Bodytext"/>
            </w:pPr>
            <w:r w:rsidRPr="006402A5">
              <w:t>Ensure that any capital schemes and PFI/ LIFT projects are identified and agreements/paperwork etc. retained</w:t>
            </w:r>
          </w:p>
          <w:p w14:paraId="2C899D0D" w14:textId="77777777" w:rsidR="006E7AE7" w:rsidRPr="00A442AF"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p w14:paraId="365AD620" w14:textId="77777777" w:rsidR="006E7AE7" w:rsidRPr="00A442AF" w:rsidRDefault="006E7AE7" w:rsidP="009E2768">
            <w:pPr>
              <w:pStyle w:val="Bodytext"/>
            </w:pPr>
            <w:r w:rsidRPr="006402A5">
              <w:t>Arrange staff training</w:t>
            </w:r>
          </w:p>
        </w:tc>
        <w:tc>
          <w:tcPr>
            <w:tcW w:w="1134" w:type="dxa"/>
          </w:tcPr>
          <w:p w14:paraId="55D55603" w14:textId="77777777" w:rsidR="006E7AE7" w:rsidRPr="00A442AF" w:rsidRDefault="006E7AE7" w:rsidP="009E2768">
            <w:pPr>
              <w:pStyle w:val="Bodytext"/>
            </w:pPr>
          </w:p>
        </w:tc>
        <w:tc>
          <w:tcPr>
            <w:tcW w:w="1560" w:type="dxa"/>
          </w:tcPr>
          <w:p w14:paraId="7451A513" w14:textId="77777777" w:rsidR="006E7AE7" w:rsidRPr="00A442AF" w:rsidRDefault="006E7AE7" w:rsidP="009E2768">
            <w:pPr>
              <w:pStyle w:val="Bodytext"/>
            </w:pPr>
          </w:p>
        </w:tc>
      </w:tr>
      <w:tr w:rsidR="006E7AE7" w:rsidRPr="006402A5" w14:paraId="6FA05751" w14:textId="77777777" w:rsidTr="009E2768">
        <w:tc>
          <w:tcPr>
            <w:tcW w:w="6345" w:type="dxa"/>
          </w:tcPr>
          <w:p w14:paraId="00FCB3A9" w14:textId="77777777" w:rsidR="006E7AE7" w:rsidRPr="00A442AF" w:rsidRDefault="006E7AE7" w:rsidP="009E2768">
            <w:pPr>
              <w:pStyle w:val="Bodytext"/>
            </w:pPr>
          </w:p>
        </w:tc>
        <w:tc>
          <w:tcPr>
            <w:tcW w:w="1134" w:type="dxa"/>
          </w:tcPr>
          <w:p w14:paraId="798518F5" w14:textId="77777777" w:rsidR="006E7AE7" w:rsidRPr="00A442AF" w:rsidRDefault="006E7AE7" w:rsidP="009E2768">
            <w:pPr>
              <w:pStyle w:val="Bodytext"/>
            </w:pPr>
          </w:p>
        </w:tc>
        <w:tc>
          <w:tcPr>
            <w:tcW w:w="1560" w:type="dxa"/>
          </w:tcPr>
          <w:p w14:paraId="021B628C" w14:textId="77777777" w:rsidR="006E7AE7" w:rsidRPr="00A442AF" w:rsidRDefault="006E7AE7" w:rsidP="009E2768">
            <w:pPr>
              <w:pStyle w:val="Bodytext"/>
            </w:pPr>
          </w:p>
        </w:tc>
      </w:tr>
      <w:tr w:rsidR="006E7AE7" w:rsidRPr="006402A5" w14:paraId="5F6C7EE7" w14:textId="77777777" w:rsidTr="009E2768">
        <w:tc>
          <w:tcPr>
            <w:tcW w:w="6345" w:type="dxa"/>
          </w:tcPr>
          <w:p w14:paraId="7542C30C" w14:textId="77777777" w:rsidR="006E7AE7" w:rsidRPr="00A442AF" w:rsidRDefault="006E7AE7" w:rsidP="009E2768">
            <w:pPr>
              <w:pStyle w:val="Bodytext"/>
            </w:pPr>
          </w:p>
        </w:tc>
        <w:tc>
          <w:tcPr>
            <w:tcW w:w="1134" w:type="dxa"/>
          </w:tcPr>
          <w:p w14:paraId="1D41A79C" w14:textId="77777777" w:rsidR="006E7AE7" w:rsidRPr="00A442AF" w:rsidRDefault="006E7AE7" w:rsidP="009E2768">
            <w:pPr>
              <w:pStyle w:val="Bodytext"/>
            </w:pPr>
          </w:p>
        </w:tc>
        <w:tc>
          <w:tcPr>
            <w:tcW w:w="1560" w:type="dxa"/>
          </w:tcPr>
          <w:p w14:paraId="7AC7D613" w14:textId="77777777" w:rsidR="006E7AE7" w:rsidRPr="00A442AF" w:rsidRDefault="006E7AE7" w:rsidP="009E2768">
            <w:pPr>
              <w:pStyle w:val="Bodytext"/>
            </w:pPr>
          </w:p>
        </w:tc>
      </w:tr>
    </w:tbl>
    <w:p w14:paraId="604D4240"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F236A4" w14:paraId="2A2F4239" w14:textId="77777777" w:rsidTr="009E2768">
        <w:trPr>
          <w:tblHeader/>
        </w:trPr>
        <w:tc>
          <w:tcPr>
            <w:tcW w:w="6345" w:type="dxa"/>
            <w:tcBorders>
              <w:top w:val="single" w:sz="4" w:space="0" w:color="auto"/>
              <w:left w:val="single" w:sz="4" w:space="0" w:color="auto"/>
              <w:bottom w:val="single" w:sz="4" w:space="0" w:color="auto"/>
              <w:right w:val="single" w:sz="4" w:space="0" w:color="auto"/>
            </w:tcBorders>
          </w:tcPr>
          <w:p w14:paraId="0EF38564" w14:textId="77777777" w:rsidR="006E7AE7" w:rsidRPr="00F236A4" w:rsidRDefault="006E7AE7" w:rsidP="009E2768">
            <w:pPr>
              <w:pStyle w:val="Bodytext"/>
              <w:rPr>
                <w:b/>
              </w:rPr>
            </w:pPr>
            <w:r w:rsidRPr="00F236A4">
              <w:rPr>
                <w:b/>
              </w:rPr>
              <w:t>Current assets and liabilities</w:t>
            </w:r>
          </w:p>
        </w:tc>
        <w:tc>
          <w:tcPr>
            <w:tcW w:w="1134" w:type="dxa"/>
            <w:tcBorders>
              <w:top w:val="single" w:sz="4" w:space="0" w:color="auto"/>
              <w:left w:val="single" w:sz="4" w:space="0" w:color="auto"/>
              <w:bottom w:val="single" w:sz="4" w:space="0" w:color="auto"/>
              <w:right w:val="single" w:sz="4" w:space="0" w:color="auto"/>
            </w:tcBorders>
          </w:tcPr>
          <w:p w14:paraId="2F5115A3" w14:textId="77777777" w:rsidR="006E7AE7" w:rsidRPr="00F236A4" w:rsidRDefault="006E7AE7" w:rsidP="009E2768">
            <w:pPr>
              <w:pStyle w:val="Bodytext"/>
              <w:rPr>
                <w:b/>
              </w:rPr>
            </w:pPr>
            <w:r w:rsidRPr="00F236A4">
              <w:rPr>
                <w:b/>
              </w:rPr>
              <w:t>Deadline</w:t>
            </w:r>
          </w:p>
        </w:tc>
        <w:tc>
          <w:tcPr>
            <w:tcW w:w="1560" w:type="dxa"/>
            <w:tcBorders>
              <w:top w:val="single" w:sz="4" w:space="0" w:color="auto"/>
              <w:left w:val="single" w:sz="4" w:space="0" w:color="auto"/>
              <w:bottom w:val="single" w:sz="4" w:space="0" w:color="auto"/>
              <w:right w:val="single" w:sz="4" w:space="0" w:color="auto"/>
            </w:tcBorders>
          </w:tcPr>
          <w:p w14:paraId="54B7CC8E" w14:textId="77777777" w:rsidR="006E7AE7" w:rsidRPr="00F236A4" w:rsidRDefault="006E7AE7" w:rsidP="009E2768">
            <w:pPr>
              <w:pStyle w:val="Bodytext"/>
              <w:rPr>
                <w:b/>
              </w:rPr>
            </w:pPr>
            <w:r w:rsidRPr="00F236A4">
              <w:rPr>
                <w:b/>
              </w:rPr>
              <w:t>Responsible individual</w:t>
            </w:r>
          </w:p>
        </w:tc>
      </w:tr>
      <w:tr w:rsidR="006E7AE7" w:rsidRPr="006402A5" w14:paraId="68C76712" w14:textId="77777777" w:rsidTr="009E2768">
        <w:tc>
          <w:tcPr>
            <w:tcW w:w="6345" w:type="dxa"/>
            <w:tcBorders>
              <w:top w:val="single" w:sz="4" w:space="0" w:color="auto"/>
              <w:left w:val="single" w:sz="4" w:space="0" w:color="auto"/>
              <w:bottom w:val="single" w:sz="4" w:space="0" w:color="auto"/>
              <w:right w:val="single" w:sz="4" w:space="0" w:color="auto"/>
            </w:tcBorders>
          </w:tcPr>
          <w:p w14:paraId="720C47FD" w14:textId="77777777" w:rsidR="006E7AE7" w:rsidRPr="00A442AF" w:rsidRDefault="006E7AE7" w:rsidP="009E2768">
            <w:pPr>
              <w:pStyle w:val="Bodytext"/>
            </w:pPr>
            <w:r w:rsidRPr="006402A5">
              <w:t>Map the statement of financial position for all bodies to identify any intra</w:t>
            </w:r>
            <w:r>
              <w:t>-</w:t>
            </w:r>
            <w:r w:rsidRPr="006402A5">
              <w:t>body balances and eliminate them</w:t>
            </w:r>
          </w:p>
          <w:p w14:paraId="5C32B975" w14:textId="77777777" w:rsidR="006E7AE7" w:rsidRPr="00A442AF" w:rsidRDefault="006E7AE7" w:rsidP="009E2768">
            <w:pPr>
              <w:pStyle w:val="Bodytext"/>
            </w:pPr>
            <w:r w:rsidRPr="006402A5">
              <w:lastRenderedPageBreak/>
              <w:t>Review all payable/</w:t>
            </w:r>
            <w:r>
              <w:t xml:space="preserve"> </w:t>
            </w:r>
            <w:r w:rsidRPr="006402A5">
              <w:t>receivable balances. Make sure that outstanding/</w:t>
            </w:r>
            <w:r>
              <w:t xml:space="preserve"> </w:t>
            </w:r>
            <w:r w:rsidRPr="006402A5">
              <w:t>disputed balances are recorded along with supporting information</w:t>
            </w:r>
          </w:p>
          <w:p w14:paraId="2101A3C9" w14:textId="77777777" w:rsidR="006E7AE7" w:rsidRPr="00A442AF" w:rsidRDefault="006E7AE7" w:rsidP="009E2768">
            <w:pPr>
              <w:pStyle w:val="Bodytext"/>
            </w:pPr>
            <w:r w:rsidRPr="006402A5">
              <w:t>Write off debts, write back payables to pre</w:t>
            </w:r>
            <w:r>
              <w:t>-</w:t>
            </w:r>
            <w:r w:rsidRPr="006402A5">
              <w:t>reorganisation period where appropriate</w:t>
            </w:r>
          </w:p>
          <w:p w14:paraId="56F5072C" w14:textId="77777777" w:rsidR="006E7AE7" w:rsidRPr="00A442AF" w:rsidRDefault="006E7AE7" w:rsidP="009E2768">
            <w:pPr>
              <w:pStyle w:val="Bodytext"/>
            </w:pPr>
            <w:r w:rsidRPr="006402A5">
              <w:t>Verify and agree accounting treatment of pre</w:t>
            </w:r>
            <w:r>
              <w:t>-vesting</w:t>
            </w:r>
            <w:r w:rsidRPr="006402A5">
              <w:t xml:space="preserve"> date balances including carry forward </w:t>
            </w:r>
          </w:p>
          <w:p w14:paraId="112102D2" w14:textId="77777777" w:rsidR="006E7AE7" w:rsidRPr="00A442AF" w:rsidRDefault="006E7AE7" w:rsidP="009E2768">
            <w:pPr>
              <w:pStyle w:val="Bodytext"/>
            </w:pPr>
            <w:r w:rsidRPr="006402A5">
              <w:t>Identify any assets/</w:t>
            </w:r>
            <w:r>
              <w:t xml:space="preserve"> </w:t>
            </w:r>
            <w:r w:rsidRPr="006402A5">
              <w:t>liabilities that have a significant impact on post</w:t>
            </w:r>
            <w:r>
              <w:t>-</w:t>
            </w:r>
            <w:r w:rsidRPr="006402A5">
              <w:t>vesting date cash – for example, early retirements, redundancies. Agree accounting treatment</w:t>
            </w:r>
          </w:p>
          <w:p w14:paraId="3A75F1FB" w14:textId="77777777" w:rsidR="006E7AE7" w:rsidRPr="00A442AF" w:rsidRDefault="006E7AE7" w:rsidP="009E2768">
            <w:pPr>
              <w:pStyle w:val="Bodytext"/>
            </w:pPr>
            <w:r w:rsidRPr="006402A5">
              <w:t>Ensure all control account reconciliations have been completed. Document any reconciling balances in full so that they can be followed up</w:t>
            </w:r>
          </w:p>
          <w:p w14:paraId="59D0ECCB" w14:textId="77777777" w:rsidR="006E7AE7" w:rsidRPr="00A442AF" w:rsidRDefault="006E7AE7" w:rsidP="009E2768">
            <w:pPr>
              <w:pStyle w:val="Bodytext"/>
            </w:pPr>
            <w:r w:rsidRPr="006402A5">
              <w:t>Reconcile opening balances to pre</w:t>
            </w:r>
            <w:r>
              <w:t>-</w:t>
            </w:r>
            <w:r w:rsidRPr="006402A5">
              <w:t xml:space="preserve">vesting date accounts of predecessor NHS bodies in both the published accounts and any submission schedules </w:t>
            </w:r>
          </w:p>
          <w:p w14:paraId="3F1913F1" w14:textId="77777777" w:rsidR="006E7AE7" w:rsidRPr="00A442AF" w:rsidRDefault="006E7AE7" w:rsidP="009E2768">
            <w:pPr>
              <w:pStyle w:val="Bodytext"/>
            </w:pPr>
            <w:r w:rsidRPr="006402A5">
              <w:t>Identify all inventory held by all bodies (including ward stocks which may have been expensed)</w:t>
            </w:r>
          </w:p>
          <w:p w14:paraId="401EE97B" w14:textId="77777777" w:rsidR="006E7AE7" w:rsidRPr="00A442AF" w:rsidRDefault="006E7AE7" w:rsidP="009E2768">
            <w:pPr>
              <w:pStyle w:val="Bodytext"/>
            </w:pPr>
            <w:r w:rsidRPr="006402A5">
              <w:t>Review stocktake procedures in the affected bodies. Ensure that the final stocktakes are undertaken on a consistent basis</w:t>
            </w:r>
          </w:p>
          <w:p w14:paraId="7CEFE0DB" w14:textId="77777777" w:rsidR="006E7AE7" w:rsidRPr="00A442AF" w:rsidRDefault="006E7AE7" w:rsidP="009E2768">
            <w:pPr>
              <w:pStyle w:val="Bodytext"/>
            </w:pPr>
            <w:r w:rsidRPr="006402A5">
              <w:t>Verify inventory balances/</w:t>
            </w:r>
            <w:r>
              <w:t xml:space="preserve"> </w:t>
            </w:r>
            <w:r w:rsidRPr="006402A5">
              <w:t>values on transfer</w:t>
            </w:r>
          </w:p>
          <w:p w14:paraId="19923536" w14:textId="77777777" w:rsidR="006E7AE7" w:rsidRPr="00A442AF"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p w14:paraId="191011A4" w14:textId="77777777" w:rsidR="006E7AE7" w:rsidRPr="00A442AF" w:rsidRDefault="006E7AE7" w:rsidP="009E2768">
            <w:pPr>
              <w:pStyle w:val="Bodytext"/>
            </w:pPr>
            <w:r w:rsidRPr="006402A5">
              <w:t>Arrange staff training</w:t>
            </w:r>
          </w:p>
        </w:tc>
        <w:tc>
          <w:tcPr>
            <w:tcW w:w="1134" w:type="dxa"/>
            <w:tcBorders>
              <w:top w:val="single" w:sz="4" w:space="0" w:color="auto"/>
              <w:left w:val="single" w:sz="4" w:space="0" w:color="auto"/>
              <w:bottom w:val="single" w:sz="4" w:space="0" w:color="auto"/>
              <w:right w:val="single" w:sz="4" w:space="0" w:color="auto"/>
            </w:tcBorders>
          </w:tcPr>
          <w:p w14:paraId="18817CD3" w14:textId="77777777" w:rsidR="006E7AE7" w:rsidRPr="00A442AF" w:rsidRDefault="006E7AE7" w:rsidP="009E2768">
            <w:pPr>
              <w:pStyle w:val="Bodytext"/>
            </w:pPr>
          </w:p>
        </w:tc>
        <w:tc>
          <w:tcPr>
            <w:tcW w:w="1560" w:type="dxa"/>
            <w:tcBorders>
              <w:top w:val="single" w:sz="4" w:space="0" w:color="auto"/>
              <w:left w:val="single" w:sz="4" w:space="0" w:color="auto"/>
              <w:bottom w:val="single" w:sz="4" w:space="0" w:color="auto"/>
              <w:right w:val="single" w:sz="4" w:space="0" w:color="auto"/>
            </w:tcBorders>
          </w:tcPr>
          <w:p w14:paraId="3A9E5FA1" w14:textId="77777777" w:rsidR="006E7AE7" w:rsidRPr="00A442AF" w:rsidRDefault="006E7AE7" w:rsidP="009E2768">
            <w:pPr>
              <w:pStyle w:val="Bodytext"/>
            </w:pPr>
          </w:p>
        </w:tc>
      </w:tr>
      <w:tr w:rsidR="006E7AE7" w:rsidRPr="006402A5" w14:paraId="72848FAE" w14:textId="77777777" w:rsidTr="009E2768">
        <w:tc>
          <w:tcPr>
            <w:tcW w:w="6345" w:type="dxa"/>
            <w:tcBorders>
              <w:top w:val="single" w:sz="4" w:space="0" w:color="auto"/>
              <w:left w:val="single" w:sz="4" w:space="0" w:color="auto"/>
              <w:bottom w:val="single" w:sz="4" w:space="0" w:color="auto"/>
              <w:right w:val="single" w:sz="4" w:space="0" w:color="auto"/>
            </w:tcBorders>
          </w:tcPr>
          <w:p w14:paraId="44CA1799" w14:textId="77777777" w:rsidR="006E7AE7" w:rsidRPr="00A442AF" w:rsidRDefault="006E7AE7" w:rsidP="009E2768">
            <w:pPr>
              <w:pStyle w:val="Bodytext"/>
            </w:pPr>
          </w:p>
        </w:tc>
        <w:tc>
          <w:tcPr>
            <w:tcW w:w="1134" w:type="dxa"/>
            <w:tcBorders>
              <w:top w:val="single" w:sz="4" w:space="0" w:color="auto"/>
              <w:left w:val="single" w:sz="4" w:space="0" w:color="auto"/>
              <w:bottom w:val="single" w:sz="4" w:space="0" w:color="auto"/>
              <w:right w:val="single" w:sz="4" w:space="0" w:color="auto"/>
            </w:tcBorders>
          </w:tcPr>
          <w:p w14:paraId="17F81E4E" w14:textId="77777777" w:rsidR="006E7AE7" w:rsidRPr="00A442AF" w:rsidRDefault="006E7AE7" w:rsidP="009E2768">
            <w:pPr>
              <w:pStyle w:val="Bodytext"/>
            </w:pPr>
          </w:p>
        </w:tc>
        <w:tc>
          <w:tcPr>
            <w:tcW w:w="1560" w:type="dxa"/>
            <w:tcBorders>
              <w:top w:val="single" w:sz="4" w:space="0" w:color="auto"/>
              <w:left w:val="single" w:sz="4" w:space="0" w:color="auto"/>
              <w:bottom w:val="single" w:sz="4" w:space="0" w:color="auto"/>
              <w:right w:val="single" w:sz="4" w:space="0" w:color="auto"/>
            </w:tcBorders>
          </w:tcPr>
          <w:p w14:paraId="24AF4205" w14:textId="77777777" w:rsidR="006E7AE7" w:rsidRPr="00A442AF" w:rsidRDefault="006E7AE7" w:rsidP="009E2768">
            <w:pPr>
              <w:pStyle w:val="Bodytext"/>
            </w:pPr>
          </w:p>
        </w:tc>
      </w:tr>
      <w:tr w:rsidR="006E7AE7" w:rsidRPr="006402A5" w14:paraId="0DF34631" w14:textId="77777777" w:rsidTr="009E2768">
        <w:tc>
          <w:tcPr>
            <w:tcW w:w="6345" w:type="dxa"/>
            <w:tcBorders>
              <w:top w:val="single" w:sz="4" w:space="0" w:color="auto"/>
              <w:left w:val="single" w:sz="4" w:space="0" w:color="auto"/>
              <w:bottom w:val="single" w:sz="4" w:space="0" w:color="auto"/>
              <w:right w:val="single" w:sz="4" w:space="0" w:color="auto"/>
            </w:tcBorders>
          </w:tcPr>
          <w:p w14:paraId="62890C8E" w14:textId="77777777" w:rsidR="006E7AE7" w:rsidRPr="00A442AF" w:rsidRDefault="006E7AE7" w:rsidP="009E2768">
            <w:pPr>
              <w:pStyle w:val="Bodytext"/>
            </w:pPr>
          </w:p>
        </w:tc>
        <w:tc>
          <w:tcPr>
            <w:tcW w:w="1134" w:type="dxa"/>
            <w:tcBorders>
              <w:top w:val="single" w:sz="4" w:space="0" w:color="auto"/>
              <w:left w:val="single" w:sz="4" w:space="0" w:color="auto"/>
              <w:bottom w:val="single" w:sz="4" w:space="0" w:color="auto"/>
              <w:right w:val="single" w:sz="4" w:space="0" w:color="auto"/>
            </w:tcBorders>
          </w:tcPr>
          <w:p w14:paraId="3EB397A6" w14:textId="77777777" w:rsidR="006E7AE7" w:rsidRPr="00A442AF" w:rsidRDefault="006E7AE7" w:rsidP="009E2768">
            <w:pPr>
              <w:pStyle w:val="Bodytext"/>
            </w:pPr>
          </w:p>
        </w:tc>
        <w:tc>
          <w:tcPr>
            <w:tcW w:w="1560" w:type="dxa"/>
            <w:tcBorders>
              <w:top w:val="single" w:sz="4" w:space="0" w:color="auto"/>
              <w:left w:val="single" w:sz="4" w:space="0" w:color="auto"/>
              <w:bottom w:val="single" w:sz="4" w:space="0" w:color="auto"/>
              <w:right w:val="single" w:sz="4" w:space="0" w:color="auto"/>
            </w:tcBorders>
          </w:tcPr>
          <w:p w14:paraId="0ACDA302" w14:textId="77777777" w:rsidR="006E7AE7" w:rsidRPr="00A442AF" w:rsidRDefault="006E7AE7" w:rsidP="009E2768">
            <w:pPr>
              <w:pStyle w:val="Bodytext"/>
            </w:pPr>
          </w:p>
        </w:tc>
      </w:tr>
    </w:tbl>
    <w:p w14:paraId="48D87DB2"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F236A4" w14:paraId="2D4C856F" w14:textId="77777777" w:rsidTr="009E2768">
        <w:trPr>
          <w:tblHeader/>
        </w:trPr>
        <w:tc>
          <w:tcPr>
            <w:tcW w:w="6345" w:type="dxa"/>
          </w:tcPr>
          <w:p w14:paraId="345B02D6" w14:textId="77777777" w:rsidR="006E7AE7" w:rsidRPr="00F236A4" w:rsidRDefault="006E7AE7" w:rsidP="009E2768">
            <w:pPr>
              <w:pStyle w:val="Bodytext"/>
              <w:rPr>
                <w:b/>
              </w:rPr>
            </w:pPr>
            <w:r w:rsidRPr="00F236A4">
              <w:rPr>
                <w:b/>
              </w:rPr>
              <w:t xml:space="preserve">Annual </w:t>
            </w:r>
            <w:r>
              <w:rPr>
                <w:b/>
              </w:rPr>
              <w:t>report and a</w:t>
            </w:r>
            <w:r w:rsidRPr="00F236A4">
              <w:rPr>
                <w:b/>
              </w:rPr>
              <w:t>ccounts</w:t>
            </w:r>
            <w:r w:rsidRPr="00F236A4">
              <w:rPr>
                <w:rStyle w:val="FootnoteReference"/>
                <w:rFonts w:cs="Arial"/>
                <w:b/>
                <w:szCs w:val="22"/>
              </w:rPr>
              <w:footnoteReference w:id="10"/>
            </w:r>
            <w:r w:rsidRPr="00F236A4">
              <w:rPr>
                <w:b/>
              </w:rPr>
              <w:t xml:space="preserve"> </w:t>
            </w:r>
          </w:p>
        </w:tc>
        <w:tc>
          <w:tcPr>
            <w:tcW w:w="1134" w:type="dxa"/>
          </w:tcPr>
          <w:p w14:paraId="2288982C" w14:textId="77777777" w:rsidR="006E7AE7" w:rsidRPr="00F236A4" w:rsidRDefault="006E7AE7" w:rsidP="009E2768">
            <w:pPr>
              <w:pStyle w:val="Bodytext"/>
              <w:rPr>
                <w:b/>
              </w:rPr>
            </w:pPr>
            <w:r w:rsidRPr="00F236A4">
              <w:rPr>
                <w:b/>
              </w:rPr>
              <w:t>Deadline</w:t>
            </w:r>
          </w:p>
        </w:tc>
        <w:tc>
          <w:tcPr>
            <w:tcW w:w="1560" w:type="dxa"/>
          </w:tcPr>
          <w:p w14:paraId="6D428DF3" w14:textId="77777777" w:rsidR="006E7AE7" w:rsidRPr="00F236A4" w:rsidRDefault="006E7AE7" w:rsidP="009E2768">
            <w:pPr>
              <w:pStyle w:val="Bodytext"/>
              <w:rPr>
                <w:b/>
              </w:rPr>
            </w:pPr>
            <w:r w:rsidRPr="00F236A4">
              <w:rPr>
                <w:b/>
              </w:rPr>
              <w:t>Responsible individual</w:t>
            </w:r>
          </w:p>
        </w:tc>
      </w:tr>
      <w:tr w:rsidR="006E7AE7" w:rsidRPr="006402A5" w14:paraId="46761373" w14:textId="77777777" w:rsidTr="009E2768">
        <w:tc>
          <w:tcPr>
            <w:tcW w:w="6345" w:type="dxa"/>
          </w:tcPr>
          <w:p w14:paraId="6BA7CB5D" w14:textId="77777777" w:rsidR="006E7AE7" w:rsidRPr="00A442AF" w:rsidRDefault="006E7AE7" w:rsidP="009E2768">
            <w:pPr>
              <w:pStyle w:val="Bodytext"/>
            </w:pPr>
            <w:r w:rsidRPr="006402A5">
              <w:t>Maintain systems to enable the parallel preparation of pre</w:t>
            </w:r>
            <w:r>
              <w:t>-</w:t>
            </w:r>
            <w:r w:rsidRPr="006402A5">
              <w:t>reorganisation annual report and accounts for all predecessor NHS bodies</w:t>
            </w:r>
          </w:p>
          <w:p w14:paraId="1F319909" w14:textId="77777777" w:rsidR="006E7AE7" w:rsidRDefault="006E7AE7" w:rsidP="009E2768">
            <w:pPr>
              <w:pStyle w:val="Bodytext"/>
            </w:pPr>
            <w:r w:rsidRPr="006402A5">
              <w:lastRenderedPageBreak/>
              <w:t>Review guidance from all appropriate regulatory bodies to ensure that all of the necessary documents are produc</w:t>
            </w:r>
            <w:r>
              <w:t>ed</w:t>
            </w:r>
            <w:r w:rsidRPr="006402A5">
              <w:t xml:space="preserve"> in the correct format</w:t>
            </w:r>
            <w:r>
              <w:t>.  This includes:</w:t>
            </w:r>
          </w:p>
          <w:p w14:paraId="4CC8B7A0" w14:textId="77777777" w:rsidR="006E7AE7" w:rsidRDefault="006E7AE7" w:rsidP="009E2768">
            <w:pPr>
              <w:pStyle w:val="Bullet"/>
            </w:pPr>
            <w:r>
              <w:t>the governance statement</w:t>
            </w:r>
          </w:p>
          <w:p w14:paraId="4B39484C" w14:textId="77777777" w:rsidR="006E7AE7" w:rsidRDefault="006E7AE7" w:rsidP="009E2768">
            <w:pPr>
              <w:pStyle w:val="Bullet"/>
            </w:pPr>
            <w:r>
              <w:t>the remuneration report</w:t>
            </w:r>
          </w:p>
          <w:p w14:paraId="6F9756E9" w14:textId="77777777" w:rsidR="006E7AE7" w:rsidRDefault="006E7AE7" w:rsidP="009E2768">
            <w:pPr>
              <w:pStyle w:val="Bullet"/>
            </w:pPr>
            <w:r>
              <w:t>staff report</w:t>
            </w:r>
          </w:p>
          <w:p w14:paraId="1BEE178A" w14:textId="77777777" w:rsidR="006E7AE7" w:rsidRPr="00A442AF" w:rsidRDefault="006E7AE7" w:rsidP="009E2768">
            <w:pPr>
              <w:pStyle w:val="Bullet"/>
            </w:pPr>
            <w:r>
              <w:t>quality report</w:t>
            </w:r>
            <w:r>
              <w:rPr>
                <w:rStyle w:val="FootnoteReference"/>
              </w:rPr>
              <w:footnoteReference w:id="11"/>
            </w:r>
          </w:p>
          <w:p w14:paraId="1809DC62" w14:textId="77777777" w:rsidR="006E7AE7" w:rsidRPr="00A442AF" w:rsidRDefault="006E7AE7" w:rsidP="009E2768">
            <w:pPr>
              <w:pStyle w:val="Bodytext"/>
              <w:rPr>
                <w:bCs/>
              </w:rPr>
            </w:pPr>
            <w:r w:rsidRPr="006402A5">
              <w:t xml:space="preserve">An ‘annual’ report and accounts must be produced for each NHS body up until the date of dissolution. </w:t>
            </w:r>
            <w:r w:rsidRPr="006402A5">
              <w:rPr>
                <w:bCs/>
              </w:rPr>
              <w:t>Where a reorganisation occurs part way through a financial year, ensure that part</w:t>
            </w:r>
            <w:r>
              <w:rPr>
                <w:bCs/>
              </w:rPr>
              <w:t>-</w:t>
            </w:r>
            <w:r w:rsidRPr="006402A5">
              <w:rPr>
                <w:bCs/>
              </w:rPr>
              <w:t xml:space="preserve">year accounts are prepared </w:t>
            </w:r>
          </w:p>
          <w:p w14:paraId="4D584782" w14:textId="77777777" w:rsidR="006E7AE7" w:rsidRPr="00A442AF" w:rsidRDefault="006E7AE7" w:rsidP="009E2768">
            <w:pPr>
              <w:pStyle w:val="Bodytext"/>
              <w:rPr>
                <w:bCs/>
              </w:rPr>
            </w:pPr>
            <w:r w:rsidRPr="006402A5">
              <w:rPr>
                <w:bCs/>
              </w:rPr>
              <w:t>Ensure that governance statements are prepared which cover all of the financial year. These will include head of internal audit opinions for the whole of the financial year (several statements and opinions may be required to cover the whole of the financial year)</w:t>
            </w:r>
          </w:p>
          <w:p w14:paraId="4EBC3100" w14:textId="77777777" w:rsidR="006E7AE7" w:rsidRPr="00A442AF" w:rsidRDefault="006E7AE7" w:rsidP="009E2768">
            <w:pPr>
              <w:pStyle w:val="Bodytext"/>
              <w:rPr>
                <w:bCs/>
              </w:rPr>
            </w:pPr>
            <w:r w:rsidRPr="006402A5">
              <w:rPr>
                <w:bCs/>
              </w:rPr>
              <w:t>Where part</w:t>
            </w:r>
            <w:r>
              <w:rPr>
                <w:bCs/>
              </w:rPr>
              <w:t>-</w:t>
            </w:r>
            <w:r w:rsidRPr="006402A5">
              <w:rPr>
                <w:bCs/>
              </w:rPr>
              <w:t>year accounts are prepared ensure that all intra</w:t>
            </w:r>
            <w:r>
              <w:rPr>
                <w:bCs/>
              </w:rPr>
              <w:t>-</w:t>
            </w:r>
            <w:r w:rsidRPr="006402A5">
              <w:rPr>
                <w:bCs/>
              </w:rPr>
              <w:t xml:space="preserve">NHS balances are agreed with counter parties (this may be difficult if the period end does not coincide with a national agreement date but it is worth doing at the time to make the year end process smoother) </w:t>
            </w:r>
          </w:p>
          <w:p w14:paraId="24B0A09F" w14:textId="77777777" w:rsidR="006E7AE7" w:rsidRPr="00A442AF" w:rsidRDefault="006E7AE7" w:rsidP="009E2768">
            <w:pPr>
              <w:pStyle w:val="Bodytext"/>
              <w:rPr>
                <w:bCs/>
              </w:rPr>
            </w:pPr>
            <w:r w:rsidRPr="006402A5">
              <w:rPr>
                <w:bCs/>
              </w:rPr>
              <w:t>Review all reserves in old bodies’ accounts to determine whether they will be carried forward to the new body. Where they are carried forward ensure that there is sufficient documentation of the basis for the establishment of the reserve</w:t>
            </w:r>
          </w:p>
          <w:p w14:paraId="270EC283" w14:textId="77777777" w:rsidR="006E7AE7" w:rsidRPr="00A442AF" w:rsidRDefault="006E7AE7" w:rsidP="009E2768">
            <w:pPr>
              <w:pStyle w:val="Bodytext"/>
            </w:pPr>
            <w:r w:rsidRPr="006402A5">
              <w:t>Produce and agree a timetable for completing all sets of annual report and accounts. This timetable should cover the whole of the process including the agreement of balances exercise, the annual report, governance statement, accountable/</w:t>
            </w:r>
            <w:r>
              <w:t xml:space="preserve"> </w:t>
            </w:r>
            <w:r w:rsidRPr="006402A5">
              <w:t>accounting officers’ statements and audit as well as the preparation of the accounts</w:t>
            </w:r>
          </w:p>
          <w:p w14:paraId="7C48F1C1" w14:textId="77777777" w:rsidR="006E7AE7" w:rsidRPr="00A442AF" w:rsidRDefault="006E7AE7" w:rsidP="009E2768">
            <w:pPr>
              <w:pStyle w:val="Bodytext"/>
            </w:pPr>
            <w:r w:rsidRPr="006402A5">
              <w:t xml:space="preserve">Identify key staff and their responsibilities </w:t>
            </w:r>
          </w:p>
          <w:p w14:paraId="156F74F9" w14:textId="77777777" w:rsidR="006E7AE7" w:rsidRPr="00A442AF" w:rsidRDefault="006E7AE7" w:rsidP="009E2768">
            <w:pPr>
              <w:pStyle w:val="Bodytext"/>
            </w:pPr>
            <w:r w:rsidRPr="006402A5">
              <w:t>Plan for absence of key staff and consider the need to use temporary staff</w:t>
            </w:r>
          </w:p>
          <w:p w14:paraId="6FE731AC" w14:textId="77777777" w:rsidR="006E7AE7" w:rsidRPr="00A442AF" w:rsidRDefault="006E7AE7" w:rsidP="009E2768">
            <w:pPr>
              <w:pStyle w:val="Bodytext"/>
            </w:pPr>
            <w:r w:rsidRPr="006402A5">
              <w:t>Obtain commitment from all merging/demising NHS bodies to completion of accounts</w:t>
            </w:r>
          </w:p>
          <w:p w14:paraId="13697CB0" w14:textId="77777777" w:rsidR="006E7AE7" w:rsidRPr="00A442AF" w:rsidRDefault="006E7AE7" w:rsidP="009E2768">
            <w:pPr>
              <w:pStyle w:val="Bodytext"/>
            </w:pPr>
            <w:r w:rsidRPr="006402A5">
              <w:t>Determine what assurances the continuing bodies governing bodies will want from the demising bodies’ governing bodies and put in place arrangements to receive those assurances</w:t>
            </w:r>
          </w:p>
          <w:p w14:paraId="50E12050" w14:textId="77777777" w:rsidR="006E7AE7" w:rsidRPr="00A442AF" w:rsidRDefault="006E7AE7" w:rsidP="009E2768">
            <w:pPr>
              <w:pStyle w:val="Bodytext"/>
            </w:pPr>
            <w:r w:rsidRPr="006402A5">
              <w:lastRenderedPageBreak/>
              <w:t>Brief the relevant governing bodies and audit committees on their responsibilities in relation to the demising bodies’ annual accounts (the continuing bodies’ committees will have to sign off the demised bodies’ annual report and accounts)</w:t>
            </w:r>
          </w:p>
          <w:p w14:paraId="67A175A0" w14:textId="77777777" w:rsidR="006E7AE7" w:rsidRPr="00A442AF" w:rsidRDefault="006E7AE7" w:rsidP="009E2768">
            <w:pPr>
              <w:pStyle w:val="Bodytext"/>
            </w:pPr>
            <w:r w:rsidRPr="006402A5">
              <w:t>Ensure that the continuing body signs off the accounts of all demised NHS bodies</w:t>
            </w:r>
          </w:p>
          <w:p w14:paraId="382A6FCA" w14:textId="77777777" w:rsidR="006E7AE7" w:rsidRPr="00A442AF" w:rsidRDefault="006E7AE7" w:rsidP="009E2768">
            <w:pPr>
              <w:pStyle w:val="Bodytext"/>
            </w:pPr>
            <w:r w:rsidRPr="006402A5">
              <w:t>Ensure that there are clear arrangements for producin</w:t>
            </w:r>
            <w:r>
              <w:t>g</w:t>
            </w:r>
            <w:r w:rsidRPr="006402A5">
              <w:t xml:space="preserve"> the annual report </w:t>
            </w:r>
            <w:r>
              <w:t xml:space="preserve">and accounts </w:t>
            </w:r>
            <w:r w:rsidRPr="006402A5">
              <w:t>and holding the AGM for all bodies (including those which have demised during the year)</w:t>
            </w:r>
            <w:r>
              <w:t>, where necessary</w:t>
            </w:r>
          </w:p>
          <w:p w14:paraId="4F0F6B1A" w14:textId="77777777" w:rsidR="006E7AE7" w:rsidRPr="00A442AF" w:rsidRDefault="006E7AE7" w:rsidP="009E2768">
            <w:pPr>
              <w:pStyle w:val="Bodytext"/>
            </w:pPr>
            <w:r w:rsidRPr="006402A5">
              <w:t>Agree an audit schedule and timetable for working papers production with the external auditors (the auditors of the demised bodies will audit the final annual report and accounts for that body)</w:t>
            </w:r>
          </w:p>
          <w:p w14:paraId="1D8CB2AB" w14:textId="77777777" w:rsidR="006E7AE7" w:rsidRPr="00A442AF" w:rsidRDefault="006E7AE7" w:rsidP="009E2768">
            <w:pPr>
              <w:pStyle w:val="Bodytext"/>
            </w:pPr>
            <w:r w:rsidRPr="006402A5">
              <w:t>Where there are several auditors involved, co-ordinate the audit schedules and timetables with the different auditors</w:t>
            </w:r>
          </w:p>
          <w:p w14:paraId="39AF0504" w14:textId="77777777" w:rsidR="006E7AE7" w:rsidRPr="00A442AF" w:rsidRDefault="006E7AE7" w:rsidP="009E2768">
            <w:pPr>
              <w:pStyle w:val="Bodytext"/>
            </w:pPr>
            <w:r w:rsidRPr="006402A5">
              <w:t xml:space="preserve">Identify all bodies </w:t>
            </w:r>
            <w:r>
              <w:t>that</w:t>
            </w:r>
            <w:r w:rsidRPr="006402A5">
              <w:t xml:space="preserve"> provide information which is required in the annual report and accounts (this will include shared service providers as well as organisations such as the NHS Business Services Authority)</w:t>
            </w:r>
          </w:p>
          <w:p w14:paraId="0A603B74" w14:textId="77777777" w:rsidR="006E7AE7" w:rsidRPr="00A442AF" w:rsidRDefault="006E7AE7" w:rsidP="009E2768">
            <w:pPr>
              <w:pStyle w:val="Bodytext"/>
            </w:pPr>
            <w:r w:rsidRPr="006402A5">
              <w:t xml:space="preserve">Arrange for the receipt of the necessary assurances, usually </w:t>
            </w:r>
            <w:r>
              <w:t xml:space="preserve">in accordance with </w:t>
            </w:r>
            <w:r w:rsidRPr="006402A5">
              <w:t>the International Standard on Assurance Engagements number 3402 (ISAE 3402), in relation to key systems</w:t>
            </w:r>
          </w:p>
          <w:p w14:paraId="28D5922E" w14:textId="77777777" w:rsidR="006E7AE7" w:rsidRPr="00A442AF" w:rsidRDefault="006E7AE7" w:rsidP="009E2768">
            <w:pPr>
              <w:pStyle w:val="Bodytext"/>
            </w:pPr>
            <w:r w:rsidRPr="006402A5">
              <w:t>Review the assurances to identify any weaknesses which may impact on the audit report</w:t>
            </w:r>
          </w:p>
          <w:p w14:paraId="2455BBAA" w14:textId="77777777" w:rsidR="006E7AE7" w:rsidRPr="00A442AF" w:rsidRDefault="006E7AE7" w:rsidP="009E2768">
            <w:pPr>
              <w:pStyle w:val="Bodytext"/>
            </w:pPr>
            <w:r w:rsidRPr="006402A5">
              <w:t>Discuss with all auditors what third</w:t>
            </w:r>
            <w:r>
              <w:t>-</w:t>
            </w:r>
            <w:r w:rsidRPr="006402A5">
              <w:t>party assurances they will require and arrange for those to be provided by the appropriate auditor</w:t>
            </w:r>
          </w:p>
          <w:p w14:paraId="080D3124" w14:textId="77777777" w:rsidR="006E7AE7" w:rsidRPr="00A442AF" w:rsidRDefault="006E7AE7" w:rsidP="009E2768">
            <w:pPr>
              <w:pStyle w:val="Bodytext"/>
            </w:pPr>
            <w:r w:rsidRPr="006402A5">
              <w:t>Review and address any inconsistencies in accounting policies or estimation techniques between NHS bodies</w:t>
            </w:r>
          </w:p>
          <w:p w14:paraId="7D22F762" w14:textId="77777777" w:rsidR="006E7AE7" w:rsidRPr="00A442AF" w:rsidRDefault="006E7AE7" w:rsidP="009E2768">
            <w:pPr>
              <w:pStyle w:val="Bodytext"/>
            </w:pPr>
            <w:r w:rsidRPr="006402A5">
              <w:t xml:space="preserve">Review accounts preparation processes at each of the old bodies and identify inconsistencies. Particularly consider the use of journals at the </w:t>
            </w:r>
            <w:r>
              <w:t xml:space="preserve">period or </w:t>
            </w:r>
            <w:r w:rsidRPr="006402A5">
              <w:t>year</w:t>
            </w:r>
            <w:r>
              <w:t xml:space="preserve"> </w:t>
            </w:r>
            <w:r w:rsidRPr="006402A5">
              <w:t>end</w:t>
            </w:r>
            <w:r>
              <w:t>,</w:t>
            </w:r>
            <w:r w:rsidRPr="006402A5">
              <w:t xml:space="preserve"> </w:t>
            </w:r>
            <w:r>
              <w:t xml:space="preserve">for example, </w:t>
            </w:r>
            <w:r w:rsidRPr="006402A5">
              <w:t xml:space="preserve">whether permanent or reversing are used. Ensure that the appropriate action is taken to roll balances forwards once and only one. Do not assume that all bodies involved in the reorganisation take the same approach to </w:t>
            </w:r>
            <w:r>
              <w:t xml:space="preserve">period and </w:t>
            </w:r>
            <w:r w:rsidRPr="006402A5">
              <w:t>year end journals</w:t>
            </w:r>
          </w:p>
          <w:p w14:paraId="41796B7A" w14:textId="77777777" w:rsidR="006E7AE7" w:rsidRPr="00A442AF" w:rsidRDefault="006E7AE7" w:rsidP="009E2768">
            <w:pPr>
              <w:pStyle w:val="Bodytext"/>
            </w:pPr>
            <w:r w:rsidRPr="006402A5">
              <w:t>Ensure that all closing balances are appropriately rolled forward. Undertake a reconciliation between closing and opening balances to ensure that no balances are ‘lost’ in the reorganisation</w:t>
            </w:r>
          </w:p>
        </w:tc>
        <w:tc>
          <w:tcPr>
            <w:tcW w:w="1134" w:type="dxa"/>
          </w:tcPr>
          <w:p w14:paraId="6A1D1157" w14:textId="77777777" w:rsidR="006E7AE7" w:rsidRPr="00A442AF" w:rsidRDefault="006E7AE7" w:rsidP="009E2768">
            <w:pPr>
              <w:pStyle w:val="Bodytext"/>
            </w:pPr>
          </w:p>
        </w:tc>
        <w:tc>
          <w:tcPr>
            <w:tcW w:w="1560" w:type="dxa"/>
          </w:tcPr>
          <w:p w14:paraId="782F37A1" w14:textId="77777777" w:rsidR="006E7AE7" w:rsidRPr="00A442AF" w:rsidRDefault="006E7AE7" w:rsidP="009E2768">
            <w:pPr>
              <w:pStyle w:val="Bodytext"/>
            </w:pPr>
          </w:p>
        </w:tc>
      </w:tr>
      <w:tr w:rsidR="006E7AE7" w:rsidRPr="006402A5" w14:paraId="3CB4E6D1" w14:textId="77777777" w:rsidTr="009E2768">
        <w:tc>
          <w:tcPr>
            <w:tcW w:w="6345" w:type="dxa"/>
          </w:tcPr>
          <w:p w14:paraId="3AD4F546" w14:textId="77777777" w:rsidR="006E7AE7" w:rsidRPr="00A442AF" w:rsidRDefault="006E7AE7" w:rsidP="009E2768">
            <w:pPr>
              <w:pStyle w:val="Bodytext"/>
            </w:pPr>
          </w:p>
        </w:tc>
        <w:tc>
          <w:tcPr>
            <w:tcW w:w="1134" w:type="dxa"/>
          </w:tcPr>
          <w:p w14:paraId="16D257BF" w14:textId="77777777" w:rsidR="006E7AE7" w:rsidRPr="00A442AF" w:rsidRDefault="006E7AE7" w:rsidP="009E2768">
            <w:pPr>
              <w:pStyle w:val="Bodytext"/>
            </w:pPr>
          </w:p>
        </w:tc>
        <w:tc>
          <w:tcPr>
            <w:tcW w:w="1560" w:type="dxa"/>
          </w:tcPr>
          <w:p w14:paraId="1E7D01A5" w14:textId="77777777" w:rsidR="006E7AE7" w:rsidRPr="00A442AF" w:rsidRDefault="006E7AE7" w:rsidP="009E2768">
            <w:pPr>
              <w:pStyle w:val="Bodytext"/>
            </w:pPr>
          </w:p>
        </w:tc>
      </w:tr>
      <w:tr w:rsidR="006E7AE7" w:rsidRPr="006402A5" w14:paraId="485D8CE8" w14:textId="77777777" w:rsidTr="009E2768">
        <w:tc>
          <w:tcPr>
            <w:tcW w:w="6345" w:type="dxa"/>
          </w:tcPr>
          <w:p w14:paraId="0307AB88" w14:textId="77777777" w:rsidR="006E7AE7" w:rsidRPr="00A442AF" w:rsidRDefault="006E7AE7" w:rsidP="009E2768">
            <w:pPr>
              <w:pStyle w:val="Bodytext"/>
            </w:pPr>
          </w:p>
        </w:tc>
        <w:tc>
          <w:tcPr>
            <w:tcW w:w="1134" w:type="dxa"/>
          </w:tcPr>
          <w:p w14:paraId="584C3E72" w14:textId="77777777" w:rsidR="006E7AE7" w:rsidRPr="00A442AF" w:rsidRDefault="006E7AE7" w:rsidP="009E2768">
            <w:pPr>
              <w:pStyle w:val="Bodytext"/>
            </w:pPr>
          </w:p>
        </w:tc>
        <w:tc>
          <w:tcPr>
            <w:tcW w:w="1560" w:type="dxa"/>
          </w:tcPr>
          <w:p w14:paraId="0004848C" w14:textId="77777777" w:rsidR="006E7AE7" w:rsidRPr="00A442AF" w:rsidRDefault="006E7AE7" w:rsidP="009E2768">
            <w:pPr>
              <w:pStyle w:val="Bodytext"/>
            </w:pPr>
          </w:p>
        </w:tc>
      </w:tr>
    </w:tbl>
    <w:p w14:paraId="47F373E7"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1560"/>
      </w:tblGrid>
      <w:tr w:rsidR="006E7AE7" w:rsidRPr="00F236A4" w14:paraId="4B9D9CE4" w14:textId="77777777" w:rsidTr="009E2768">
        <w:trPr>
          <w:tblHeader/>
        </w:trPr>
        <w:tc>
          <w:tcPr>
            <w:tcW w:w="6345" w:type="dxa"/>
          </w:tcPr>
          <w:p w14:paraId="61B24187" w14:textId="77777777" w:rsidR="006E7AE7" w:rsidRPr="00F236A4" w:rsidRDefault="006E7AE7" w:rsidP="009E2768">
            <w:pPr>
              <w:pStyle w:val="Bodytext"/>
              <w:rPr>
                <w:b/>
              </w:rPr>
            </w:pPr>
            <w:r w:rsidRPr="00F236A4">
              <w:rPr>
                <w:b/>
              </w:rPr>
              <w:t xml:space="preserve">Financial </w:t>
            </w:r>
            <w:r>
              <w:rPr>
                <w:b/>
              </w:rPr>
              <w:t>l</w:t>
            </w:r>
            <w:r w:rsidRPr="00F236A4">
              <w:rPr>
                <w:b/>
              </w:rPr>
              <w:t>edger</w:t>
            </w:r>
          </w:p>
        </w:tc>
        <w:tc>
          <w:tcPr>
            <w:tcW w:w="1134" w:type="dxa"/>
          </w:tcPr>
          <w:p w14:paraId="0E88C55E" w14:textId="77777777" w:rsidR="006E7AE7" w:rsidRPr="00F236A4" w:rsidRDefault="006E7AE7" w:rsidP="009E2768">
            <w:pPr>
              <w:pStyle w:val="Bodytext"/>
              <w:rPr>
                <w:b/>
              </w:rPr>
            </w:pPr>
            <w:r w:rsidRPr="00F236A4">
              <w:rPr>
                <w:b/>
              </w:rPr>
              <w:t>Deadline</w:t>
            </w:r>
          </w:p>
        </w:tc>
        <w:tc>
          <w:tcPr>
            <w:tcW w:w="1560" w:type="dxa"/>
          </w:tcPr>
          <w:p w14:paraId="30085B26" w14:textId="77777777" w:rsidR="006E7AE7" w:rsidRPr="00F236A4" w:rsidRDefault="006E7AE7" w:rsidP="009E2768">
            <w:pPr>
              <w:pStyle w:val="Bodytext"/>
              <w:rPr>
                <w:b/>
              </w:rPr>
            </w:pPr>
            <w:r w:rsidRPr="00F236A4">
              <w:rPr>
                <w:b/>
              </w:rPr>
              <w:t>Responsible individual</w:t>
            </w:r>
          </w:p>
        </w:tc>
      </w:tr>
      <w:tr w:rsidR="006E7AE7" w:rsidRPr="006402A5" w14:paraId="7091263C" w14:textId="77777777" w:rsidTr="009E2768">
        <w:tc>
          <w:tcPr>
            <w:tcW w:w="6345" w:type="dxa"/>
          </w:tcPr>
          <w:p w14:paraId="7898B9BB" w14:textId="77777777" w:rsidR="006E7AE7" w:rsidRPr="00A442AF" w:rsidRDefault="006E7AE7" w:rsidP="009E2768">
            <w:pPr>
              <w:pStyle w:val="Bodytext"/>
            </w:pPr>
            <w:r w:rsidRPr="006402A5">
              <w:t>Establish the requirements of the new NHS body for a single ledger system</w:t>
            </w:r>
          </w:p>
          <w:p w14:paraId="161A3226" w14:textId="77777777" w:rsidR="006E7AE7" w:rsidRPr="006402A5" w:rsidRDefault="006E7AE7" w:rsidP="009E2768">
            <w:pPr>
              <w:pStyle w:val="Bodytext"/>
            </w:pPr>
            <w:r w:rsidRPr="006402A5">
              <w:t xml:space="preserve">Ensure all staff have appropriate access to both the old body’s ledgers and the new  </w:t>
            </w:r>
          </w:p>
          <w:p w14:paraId="06028EFC" w14:textId="77777777" w:rsidR="006E7AE7" w:rsidRPr="006402A5" w:rsidRDefault="006E7AE7" w:rsidP="009E2768">
            <w:pPr>
              <w:pStyle w:val="Bodytext"/>
            </w:pPr>
            <w:r w:rsidRPr="006402A5">
              <w:t xml:space="preserve">Ensure access is properly transferred and working practices </w:t>
            </w:r>
            <w:r>
              <w:t>are</w:t>
            </w:r>
            <w:r w:rsidRPr="006402A5">
              <w:t xml:space="preserve"> communicated</w:t>
            </w:r>
          </w:p>
          <w:p w14:paraId="2B340F59" w14:textId="77777777" w:rsidR="006E7AE7" w:rsidRPr="00A442AF" w:rsidRDefault="006E7AE7" w:rsidP="009E2768">
            <w:pPr>
              <w:pStyle w:val="Bodytext"/>
            </w:pPr>
            <w:r>
              <w:t>(</w:t>
            </w:r>
            <w:r w:rsidRPr="006402A5">
              <w:t>CCGs</w:t>
            </w:r>
            <w:r>
              <w:t>)</w:t>
            </w:r>
            <w:r w:rsidRPr="006402A5">
              <w:t xml:space="preserve"> </w:t>
            </w:r>
            <w:r>
              <w:t>E</w:t>
            </w:r>
            <w:r w:rsidRPr="006402A5">
              <w:t>nsure that the necessary arrangements for access to ISFE have been made (access will be required to old body as well as new body ledgers)</w:t>
            </w:r>
          </w:p>
          <w:p w14:paraId="073D8CD9" w14:textId="77777777" w:rsidR="006E7AE7" w:rsidRPr="00A442AF" w:rsidRDefault="006E7AE7" w:rsidP="009E2768">
            <w:pPr>
              <w:pStyle w:val="Bodytext"/>
            </w:pPr>
            <w:r w:rsidRPr="006402A5">
              <w:t>Determine whether any decision about the future ledger forms part of a broader strategy for integrated financial systems</w:t>
            </w:r>
          </w:p>
          <w:p w14:paraId="5F510732" w14:textId="77777777" w:rsidR="006E7AE7" w:rsidRPr="00A442AF" w:rsidRDefault="006E7AE7" w:rsidP="009E2768">
            <w:pPr>
              <w:pStyle w:val="Bodytext"/>
            </w:pPr>
            <w:r w:rsidRPr="006402A5">
              <w:t>Undertake a detailed review of suspense codes and clear them as necessary</w:t>
            </w:r>
          </w:p>
          <w:p w14:paraId="428DE301" w14:textId="77777777" w:rsidR="006E7AE7" w:rsidRPr="00A442AF" w:rsidRDefault="006E7AE7" w:rsidP="009E2768">
            <w:pPr>
              <w:pStyle w:val="Bodytext"/>
            </w:pPr>
            <w:r w:rsidRPr="006402A5">
              <w:t>Undertake a detailed review of control codes and delete them as necessary</w:t>
            </w:r>
          </w:p>
          <w:p w14:paraId="584A6F09" w14:textId="77777777" w:rsidR="006E7AE7" w:rsidRPr="00A442AF" w:rsidRDefault="006E7AE7" w:rsidP="009E2768">
            <w:pPr>
              <w:pStyle w:val="Bodytext"/>
            </w:pPr>
            <w:r w:rsidRPr="006402A5">
              <w:t>Determine whether time constraints will force a period of dual running after the vesting date</w:t>
            </w:r>
          </w:p>
          <w:p w14:paraId="3A9285A9" w14:textId="77777777" w:rsidR="006E7AE7" w:rsidRPr="00A442AF" w:rsidRDefault="006E7AE7" w:rsidP="009E2768">
            <w:pPr>
              <w:pStyle w:val="Bodytext"/>
            </w:pPr>
            <w:r w:rsidRPr="006402A5">
              <w:t>Review existing ledger systems and charts of accounts to establish commonality, functionality and scope for integration</w:t>
            </w:r>
          </w:p>
          <w:p w14:paraId="221E729F" w14:textId="77777777" w:rsidR="006E7AE7" w:rsidRPr="00A442AF" w:rsidRDefault="006E7AE7" w:rsidP="009E2768">
            <w:pPr>
              <w:pStyle w:val="Bodytext"/>
            </w:pPr>
            <w:r w:rsidRPr="006402A5">
              <w:t>Evaluate the current chart of accounts against statutory annual accounting guidance and management reporting requirements</w:t>
            </w:r>
            <w:r>
              <w:t>,</w:t>
            </w:r>
            <w:r w:rsidRPr="006402A5">
              <w:t xml:space="preserve"> including reporting to the governing body and regulators</w:t>
            </w:r>
          </w:p>
          <w:p w14:paraId="05200985" w14:textId="77777777" w:rsidR="006E7AE7" w:rsidRPr="00A442AF" w:rsidRDefault="006E7AE7" w:rsidP="009E2768">
            <w:pPr>
              <w:pStyle w:val="Bodytext"/>
            </w:pPr>
            <w:r w:rsidRPr="006402A5">
              <w:t>Where possible, provide integrated financial reports to the governing body before the vesting date or move all bodies towards the use of the same reporting template ahead of vesting date</w:t>
            </w:r>
          </w:p>
          <w:p w14:paraId="3919D8EE" w14:textId="77777777" w:rsidR="006E7AE7" w:rsidRPr="00A442AF" w:rsidRDefault="006E7AE7" w:rsidP="009E2768">
            <w:pPr>
              <w:pStyle w:val="Bodytext"/>
            </w:pPr>
            <w:r w:rsidRPr="006402A5">
              <w:t xml:space="preserve">Identify archive requirements and ensure that data/information is extracted and stored in an easy to access format. This also applies to all feeder systems to the ledger </w:t>
            </w:r>
          </w:p>
          <w:p w14:paraId="2FA40358" w14:textId="77777777" w:rsidR="006E7AE7" w:rsidRPr="00A442AF" w:rsidRDefault="006E7AE7" w:rsidP="009E2768">
            <w:pPr>
              <w:pStyle w:val="Bodytext"/>
            </w:pPr>
            <w:r w:rsidRPr="006402A5">
              <w:t>Evaluate options to meet needs (for example, procure new, migrate to single existing system)</w:t>
            </w:r>
          </w:p>
          <w:p w14:paraId="42211B7D" w14:textId="77777777" w:rsidR="006E7AE7" w:rsidRPr="00A442AF" w:rsidRDefault="006E7AE7" w:rsidP="009E2768">
            <w:pPr>
              <w:pStyle w:val="Bodytext"/>
            </w:pPr>
            <w:r w:rsidRPr="006402A5">
              <w:t>Select suitable system</w:t>
            </w:r>
          </w:p>
          <w:p w14:paraId="0B28600F" w14:textId="77777777" w:rsidR="006E7AE7" w:rsidRPr="00A442AF" w:rsidRDefault="006E7AE7" w:rsidP="009E2768">
            <w:pPr>
              <w:pStyle w:val="Bodytext"/>
            </w:pPr>
            <w:r w:rsidRPr="006402A5">
              <w:t>Ensure superseded system(s) are maintained to enable the production of annual accounts for the accounting period prior to reorganisation</w:t>
            </w:r>
          </w:p>
          <w:p w14:paraId="26F9C42A" w14:textId="77777777" w:rsidR="006E7AE7" w:rsidRPr="00A442AF" w:rsidRDefault="006E7AE7" w:rsidP="009E2768">
            <w:pPr>
              <w:pStyle w:val="Bodytext"/>
            </w:pPr>
            <w:r w:rsidRPr="006402A5">
              <w:lastRenderedPageBreak/>
              <w:t>Evaluate ability to interface with other potential systems (for example, payroll, payables, receivables, personnel, BACS, contracting, supplies, capital systems)</w:t>
            </w:r>
          </w:p>
          <w:p w14:paraId="56E7593F" w14:textId="77777777" w:rsidR="006E7AE7" w:rsidRPr="00A442AF" w:rsidRDefault="006E7AE7" w:rsidP="009E2768">
            <w:pPr>
              <w:pStyle w:val="Bodytext"/>
            </w:pPr>
            <w:r w:rsidRPr="006402A5">
              <w:t>Design a revised chart of accounts, test and install</w:t>
            </w:r>
          </w:p>
          <w:p w14:paraId="0457A580" w14:textId="77777777" w:rsidR="006E7AE7" w:rsidRPr="00A442AF" w:rsidRDefault="006E7AE7" w:rsidP="009E2768">
            <w:pPr>
              <w:pStyle w:val="Bodytext"/>
            </w:pPr>
            <w:r w:rsidRPr="006402A5">
              <w:t>Consider whether a completely revised chart of accounts is required for the new body or whether the old bodies’ charts can be merged. Understand the advantages and disadvantages of each approach</w:t>
            </w:r>
          </w:p>
          <w:p w14:paraId="3174CA49" w14:textId="77777777" w:rsidR="006E7AE7" w:rsidRPr="00A442AF" w:rsidRDefault="006E7AE7" w:rsidP="009E2768">
            <w:pPr>
              <w:pStyle w:val="Bodytext"/>
            </w:pPr>
            <w:r w:rsidRPr="006402A5">
              <w:t>Establish control procedures (for example, passwords, journal input etc)</w:t>
            </w:r>
          </w:p>
          <w:p w14:paraId="6881217E" w14:textId="77777777" w:rsidR="006E7AE7" w:rsidRPr="00A442AF" w:rsidRDefault="006E7AE7" w:rsidP="009E2768">
            <w:pPr>
              <w:pStyle w:val="Bodytext"/>
            </w:pPr>
            <w:r w:rsidRPr="006402A5">
              <w:t>Define and set up standard reports for budgetary, statutory and management reporting</w:t>
            </w:r>
          </w:p>
          <w:p w14:paraId="3CEEC9D9" w14:textId="77777777" w:rsidR="006E7AE7" w:rsidRDefault="006E7AE7" w:rsidP="009E2768">
            <w:pPr>
              <w:pStyle w:val="Bodytext"/>
            </w:pPr>
            <w:r w:rsidRPr="006402A5">
              <w:t xml:space="preserve">Ensure applicable coding structure is notified to all users </w:t>
            </w:r>
          </w:p>
          <w:p w14:paraId="2FC252F7" w14:textId="77777777" w:rsidR="006E7AE7" w:rsidRPr="00A442AF" w:rsidRDefault="006E7AE7" w:rsidP="009E2768">
            <w:pPr>
              <w:pStyle w:val="Bodytext"/>
            </w:pPr>
            <w:r w:rsidRPr="006402A5">
              <w:t>Ensure all required interfaces are in operation</w:t>
            </w:r>
          </w:p>
          <w:p w14:paraId="4CF58BFF" w14:textId="77777777" w:rsidR="006E7AE7" w:rsidRPr="00A442AF" w:rsidRDefault="006E7AE7" w:rsidP="009E2768">
            <w:pPr>
              <w:pStyle w:val="Bodytext"/>
            </w:pPr>
            <w:r w:rsidRPr="006402A5">
              <w:t>Ensure arrangements are in place for the transfer of closing balances from the old to the new system</w:t>
            </w:r>
          </w:p>
          <w:p w14:paraId="03088D4F" w14:textId="77777777" w:rsidR="006E7AE7" w:rsidRPr="00A442AF" w:rsidRDefault="006E7AE7" w:rsidP="009E2768">
            <w:pPr>
              <w:pStyle w:val="Bodytext"/>
            </w:pPr>
            <w:r w:rsidRPr="006402A5">
              <w:t>Produce a timetable for ledger close-down</w:t>
            </w:r>
          </w:p>
          <w:p w14:paraId="7A21B0BD" w14:textId="77777777" w:rsidR="006E7AE7" w:rsidRPr="00A442AF" w:rsidRDefault="006E7AE7" w:rsidP="009E2768">
            <w:pPr>
              <w:pStyle w:val="Bodytext"/>
            </w:pPr>
            <w:r w:rsidRPr="006402A5">
              <w:t>Ensure full testing and parallel running if possible</w:t>
            </w:r>
          </w:p>
          <w:p w14:paraId="798646D5" w14:textId="77777777" w:rsidR="006E7AE7" w:rsidRPr="00A442AF" w:rsidRDefault="006E7AE7" w:rsidP="009E2768">
            <w:pPr>
              <w:pStyle w:val="Bodytext"/>
            </w:pPr>
            <w:r w:rsidRPr="006402A5">
              <w:t>Have a contingency plan prepared and ready for implementation</w:t>
            </w:r>
          </w:p>
          <w:p w14:paraId="2F585A2F" w14:textId="77777777" w:rsidR="006E7AE7" w:rsidRPr="00A442AF" w:rsidRDefault="006E7AE7" w:rsidP="009E2768">
            <w:pPr>
              <w:pStyle w:val="Bodytext"/>
            </w:pPr>
            <w:r w:rsidRPr="006402A5">
              <w:t>Ensure proper and effective communication/controls are in place between multi-site/location finance teams</w:t>
            </w:r>
          </w:p>
          <w:p w14:paraId="6B8879D7" w14:textId="77777777" w:rsidR="006E7AE7" w:rsidRPr="00A442AF"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p w14:paraId="6DB712DB" w14:textId="77777777" w:rsidR="006E7AE7" w:rsidRPr="00A442AF" w:rsidRDefault="006E7AE7" w:rsidP="009E2768">
            <w:pPr>
              <w:pStyle w:val="Bodytext"/>
            </w:pPr>
            <w:r w:rsidRPr="006402A5">
              <w:t>Arrange staff training</w:t>
            </w:r>
          </w:p>
        </w:tc>
        <w:tc>
          <w:tcPr>
            <w:tcW w:w="1134" w:type="dxa"/>
          </w:tcPr>
          <w:p w14:paraId="235B4F2D" w14:textId="77777777" w:rsidR="006E7AE7" w:rsidRPr="00A442AF" w:rsidRDefault="006E7AE7" w:rsidP="009E2768">
            <w:pPr>
              <w:pStyle w:val="Bodytext"/>
            </w:pPr>
          </w:p>
        </w:tc>
        <w:tc>
          <w:tcPr>
            <w:tcW w:w="1560" w:type="dxa"/>
          </w:tcPr>
          <w:p w14:paraId="00F92F51" w14:textId="77777777" w:rsidR="006E7AE7" w:rsidRPr="00A442AF" w:rsidRDefault="006E7AE7" w:rsidP="009E2768">
            <w:pPr>
              <w:pStyle w:val="Bodytext"/>
            </w:pPr>
          </w:p>
          <w:p w14:paraId="7298F237" w14:textId="77777777" w:rsidR="006E7AE7" w:rsidRPr="00A442AF" w:rsidRDefault="006E7AE7" w:rsidP="009E2768">
            <w:pPr>
              <w:pStyle w:val="Bodytext"/>
            </w:pPr>
          </w:p>
        </w:tc>
      </w:tr>
      <w:tr w:rsidR="006E7AE7" w:rsidRPr="006402A5" w14:paraId="34861FCC" w14:textId="77777777" w:rsidTr="009E2768">
        <w:tc>
          <w:tcPr>
            <w:tcW w:w="6345" w:type="dxa"/>
          </w:tcPr>
          <w:p w14:paraId="0B74B3BA" w14:textId="77777777" w:rsidR="006E7AE7" w:rsidRPr="00A442AF" w:rsidRDefault="006E7AE7" w:rsidP="009E2768">
            <w:pPr>
              <w:pStyle w:val="Bodytext"/>
            </w:pPr>
          </w:p>
        </w:tc>
        <w:tc>
          <w:tcPr>
            <w:tcW w:w="1134" w:type="dxa"/>
          </w:tcPr>
          <w:p w14:paraId="171F97A7" w14:textId="77777777" w:rsidR="006E7AE7" w:rsidRPr="00A442AF" w:rsidRDefault="006E7AE7" w:rsidP="009E2768">
            <w:pPr>
              <w:pStyle w:val="Bodytext"/>
            </w:pPr>
          </w:p>
        </w:tc>
        <w:tc>
          <w:tcPr>
            <w:tcW w:w="1560" w:type="dxa"/>
          </w:tcPr>
          <w:p w14:paraId="3209942C" w14:textId="77777777" w:rsidR="006E7AE7" w:rsidRPr="00A442AF" w:rsidRDefault="006E7AE7" w:rsidP="009E2768">
            <w:pPr>
              <w:pStyle w:val="Bodytext"/>
            </w:pPr>
          </w:p>
        </w:tc>
      </w:tr>
      <w:tr w:rsidR="006E7AE7" w:rsidRPr="006402A5" w14:paraId="50B6CE79" w14:textId="77777777" w:rsidTr="009E2768">
        <w:tc>
          <w:tcPr>
            <w:tcW w:w="6345" w:type="dxa"/>
          </w:tcPr>
          <w:p w14:paraId="187E9759" w14:textId="77777777" w:rsidR="006E7AE7" w:rsidRPr="00A442AF" w:rsidRDefault="006E7AE7" w:rsidP="009E2768">
            <w:pPr>
              <w:pStyle w:val="Bodytext"/>
            </w:pPr>
          </w:p>
        </w:tc>
        <w:tc>
          <w:tcPr>
            <w:tcW w:w="1134" w:type="dxa"/>
          </w:tcPr>
          <w:p w14:paraId="4B80FAB0" w14:textId="77777777" w:rsidR="006E7AE7" w:rsidRPr="00A442AF" w:rsidRDefault="006E7AE7" w:rsidP="009E2768">
            <w:pPr>
              <w:pStyle w:val="Bodytext"/>
            </w:pPr>
          </w:p>
        </w:tc>
        <w:tc>
          <w:tcPr>
            <w:tcW w:w="1560" w:type="dxa"/>
          </w:tcPr>
          <w:p w14:paraId="2E1E051C" w14:textId="77777777" w:rsidR="006E7AE7" w:rsidRPr="00A442AF" w:rsidRDefault="006E7AE7" w:rsidP="009E2768">
            <w:pPr>
              <w:pStyle w:val="Bodytext"/>
            </w:pPr>
          </w:p>
        </w:tc>
      </w:tr>
    </w:tbl>
    <w:p w14:paraId="101BE6DB" w14:textId="77777777" w:rsidR="006E7AE7" w:rsidRPr="006402A5" w:rsidRDefault="006E7AE7" w:rsidP="006E7AE7">
      <w:pPr>
        <w:rPr>
          <w:rFonts w:cs="Arial"/>
          <w:szCs w:val="22"/>
        </w:rPr>
      </w:pPr>
    </w:p>
    <w:p w14:paraId="19740C71" w14:textId="77777777" w:rsidR="006E7AE7" w:rsidRPr="006402A5" w:rsidRDefault="006E7AE7" w:rsidP="006E7AE7">
      <w:pPr>
        <w:pStyle w:val="Heading2"/>
      </w:pPr>
      <w:r w:rsidRPr="006402A5">
        <w:t>SECTION D:</w:t>
      </w:r>
      <w:r w:rsidRPr="006402A5">
        <w:tab/>
        <w:t>CHARITABLE FUNDS</w:t>
      </w:r>
      <w:r w:rsidRPr="006402A5">
        <w:rPr>
          <w:rStyle w:val="FootnoteReference"/>
          <w:rFonts w:cs="Arial"/>
          <w:szCs w:val="22"/>
        </w:rPr>
        <w:footnoteReference w:id="12"/>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473E49" w14:paraId="12166F94" w14:textId="77777777" w:rsidTr="009E2768">
        <w:trPr>
          <w:trHeight w:val="610"/>
          <w:tblHeader/>
        </w:trPr>
        <w:tc>
          <w:tcPr>
            <w:tcW w:w="6204" w:type="dxa"/>
          </w:tcPr>
          <w:p w14:paraId="140E1D53" w14:textId="77777777" w:rsidR="006E7AE7" w:rsidRPr="00473E49" w:rsidRDefault="006E7AE7" w:rsidP="009E2768">
            <w:pPr>
              <w:pStyle w:val="Bodytext"/>
              <w:rPr>
                <w:b/>
              </w:rPr>
            </w:pPr>
            <w:r w:rsidRPr="00473E49">
              <w:rPr>
                <w:b/>
              </w:rPr>
              <w:lastRenderedPageBreak/>
              <w:t xml:space="preserve">Charitable </w:t>
            </w:r>
            <w:r>
              <w:rPr>
                <w:b/>
              </w:rPr>
              <w:t>f</w:t>
            </w:r>
            <w:r w:rsidRPr="00473E49">
              <w:rPr>
                <w:b/>
              </w:rPr>
              <w:t>unds</w:t>
            </w:r>
            <w:r w:rsidRPr="00473E49">
              <w:rPr>
                <w:rStyle w:val="FootnoteReference"/>
                <w:rFonts w:cs="Arial"/>
                <w:b/>
                <w:szCs w:val="22"/>
              </w:rPr>
              <w:footnoteReference w:id="13"/>
            </w:r>
          </w:p>
        </w:tc>
        <w:tc>
          <w:tcPr>
            <w:tcW w:w="1275" w:type="dxa"/>
          </w:tcPr>
          <w:p w14:paraId="7C87BD8F" w14:textId="77777777" w:rsidR="006E7AE7" w:rsidRPr="00473E49" w:rsidRDefault="006E7AE7" w:rsidP="009E2768">
            <w:pPr>
              <w:pStyle w:val="Bodytext"/>
              <w:rPr>
                <w:b/>
              </w:rPr>
            </w:pPr>
            <w:r w:rsidRPr="00473E49">
              <w:rPr>
                <w:b/>
              </w:rPr>
              <w:t>Deadline</w:t>
            </w:r>
          </w:p>
        </w:tc>
        <w:tc>
          <w:tcPr>
            <w:tcW w:w="1560" w:type="dxa"/>
          </w:tcPr>
          <w:p w14:paraId="7E8010EE" w14:textId="77777777" w:rsidR="006E7AE7" w:rsidRPr="00473E49" w:rsidRDefault="006E7AE7" w:rsidP="009E2768">
            <w:pPr>
              <w:pStyle w:val="Bodytext"/>
              <w:rPr>
                <w:b/>
              </w:rPr>
            </w:pPr>
            <w:r w:rsidRPr="00473E49">
              <w:rPr>
                <w:b/>
              </w:rPr>
              <w:t>Responsible individual</w:t>
            </w:r>
          </w:p>
        </w:tc>
      </w:tr>
      <w:tr w:rsidR="006E7AE7" w:rsidRPr="006402A5" w14:paraId="005F562B" w14:textId="77777777" w:rsidTr="009E2768">
        <w:tc>
          <w:tcPr>
            <w:tcW w:w="6204" w:type="dxa"/>
          </w:tcPr>
          <w:p w14:paraId="01C330A6" w14:textId="77777777" w:rsidR="006E7AE7" w:rsidRPr="00A442AF" w:rsidRDefault="006E7AE7" w:rsidP="009E2768">
            <w:pPr>
              <w:pStyle w:val="Bodytext"/>
            </w:pPr>
            <w:r w:rsidRPr="006402A5">
              <w:t>Ensure the appropriate transfer order/</w:t>
            </w:r>
            <w:r>
              <w:t xml:space="preserve"> </w:t>
            </w:r>
            <w:r w:rsidRPr="006402A5">
              <w:t>Statutory Instruments enabling transfers has been secured</w:t>
            </w:r>
            <w:r>
              <w:rPr>
                <w:rStyle w:val="FootnoteReference"/>
              </w:rPr>
              <w:footnoteReference w:id="14"/>
            </w:r>
          </w:p>
          <w:p w14:paraId="382E0667" w14:textId="77777777" w:rsidR="006E7AE7" w:rsidRDefault="006E7AE7" w:rsidP="009E2768">
            <w:pPr>
              <w:pStyle w:val="Bodytext"/>
            </w:pPr>
            <w:r w:rsidRPr="006402A5">
              <w:t>Determine how the charitable funds of the old body are being transferred to the new and determine the appropriate accounting treatment depending on the substance of the transaction</w:t>
            </w:r>
          </w:p>
          <w:p w14:paraId="58B87CCE" w14:textId="77777777" w:rsidR="006E7AE7" w:rsidRPr="00A442AF" w:rsidRDefault="006E7AE7" w:rsidP="009E2768">
            <w:pPr>
              <w:pStyle w:val="Bodytext"/>
            </w:pPr>
            <w:r w:rsidRPr="006402A5">
              <w:t>Obtain full details of all funds (i.e. their purpose)</w:t>
            </w:r>
          </w:p>
          <w:p w14:paraId="3898BE15" w14:textId="77777777" w:rsidR="006E7AE7" w:rsidRPr="00A442AF" w:rsidRDefault="006E7AE7" w:rsidP="009E2768">
            <w:pPr>
              <w:pStyle w:val="Bodytext"/>
            </w:pPr>
            <w:r w:rsidRPr="006402A5">
              <w:t>Consider trustee arrangements for the charitable funds (remain a corporate trustee arrangement or move to an independent charitable fund)</w:t>
            </w:r>
          </w:p>
          <w:p w14:paraId="56C0FDE6" w14:textId="77777777" w:rsidR="006E7AE7" w:rsidRPr="00A442AF" w:rsidRDefault="006E7AE7" w:rsidP="009E2768">
            <w:pPr>
              <w:pStyle w:val="Bodytext"/>
            </w:pPr>
            <w:r w:rsidRPr="006402A5">
              <w:t>Check registration requirements with the Charity Commission and comply with them</w:t>
            </w:r>
          </w:p>
          <w:p w14:paraId="44D94B54" w14:textId="77777777" w:rsidR="006E7AE7" w:rsidRDefault="006E7AE7" w:rsidP="009E2768">
            <w:pPr>
              <w:pStyle w:val="Bodytext"/>
            </w:pPr>
            <w:r>
              <w:t>Ensure that all documentation has the correct Charity Commission registration number on it</w:t>
            </w:r>
          </w:p>
          <w:p w14:paraId="5F2BA922" w14:textId="77777777" w:rsidR="006E7AE7" w:rsidRDefault="006E7AE7" w:rsidP="009E2768">
            <w:pPr>
              <w:pStyle w:val="Bodytext"/>
            </w:pPr>
            <w:r>
              <w:t>Where there is a corporate trustee, consider whether the merger has an impact on the materiality of the charity in relation to the NHS body.  Determine whether the charitable funds need to be consolidated or not</w:t>
            </w:r>
          </w:p>
          <w:p w14:paraId="29047277" w14:textId="77777777" w:rsidR="006E7AE7" w:rsidRPr="00A442AF" w:rsidRDefault="006E7AE7" w:rsidP="009E2768">
            <w:pPr>
              <w:pStyle w:val="Bodytext"/>
            </w:pPr>
            <w:r>
              <w:t>Where there has been a change in consolidation arrangements</w:t>
            </w:r>
            <w:r>
              <w:rPr>
                <w:rStyle w:val="FootnoteReference"/>
              </w:rPr>
              <w:footnoteReference w:id="15"/>
            </w:r>
            <w:r>
              <w:t>, discuss the impact with NHS Improvement</w:t>
            </w:r>
          </w:p>
          <w:p w14:paraId="2AA81566" w14:textId="77777777" w:rsidR="006E7AE7" w:rsidRPr="00A442AF" w:rsidRDefault="006E7AE7" w:rsidP="009E2768">
            <w:pPr>
              <w:pStyle w:val="Bodytext"/>
            </w:pPr>
            <w:r w:rsidRPr="006402A5">
              <w:t>Ensure the structure of investments accords with charities investments legislation</w:t>
            </w:r>
          </w:p>
          <w:p w14:paraId="0D49BF8D" w14:textId="77777777" w:rsidR="006E7AE7" w:rsidRPr="00A442AF" w:rsidRDefault="006E7AE7" w:rsidP="009E2768">
            <w:pPr>
              <w:pStyle w:val="Bodytext"/>
            </w:pPr>
            <w:r w:rsidRPr="006402A5">
              <w:t>Rationalise bank account arrangements</w:t>
            </w:r>
          </w:p>
          <w:p w14:paraId="6146415D" w14:textId="77777777" w:rsidR="006E7AE7" w:rsidRPr="00A442AF" w:rsidRDefault="006E7AE7" w:rsidP="009E2768">
            <w:pPr>
              <w:pStyle w:val="Bodytext"/>
            </w:pPr>
            <w:r w:rsidRPr="006402A5">
              <w:t>Close as many bank accounts as soon as possible</w:t>
            </w:r>
          </w:p>
          <w:p w14:paraId="5F466F04" w14:textId="77777777" w:rsidR="006E7AE7" w:rsidRPr="00A442AF" w:rsidRDefault="006E7AE7" w:rsidP="009E2768">
            <w:pPr>
              <w:pStyle w:val="Bodytext"/>
            </w:pPr>
            <w:r w:rsidRPr="006402A5">
              <w:t>Ensure arrangements are in place to complete pre</w:t>
            </w:r>
            <w:r>
              <w:t>-</w:t>
            </w:r>
            <w:r w:rsidRPr="006402A5">
              <w:t>vesting date accounts</w:t>
            </w:r>
          </w:p>
          <w:p w14:paraId="2C1DCB50" w14:textId="77777777" w:rsidR="006E7AE7" w:rsidRPr="00A442AF" w:rsidRDefault="006E7AE7" w:rsidP="009E2768">
            <w:pPr>
              <w:pStyle w:val="Bodytext"/>
            </w:pPr>
            <w:r w:rsidRPr="006402A5">
              <w:t>Arrange transfer of stock certificates to new charity name, including any held by a nominee service</w:t>
            </w:r>
            <w:r w:rsidRPr="006402A5">
              <w:rPr>
                <w:rStyle w:val="FootnoteReference"/>
                <w:rFonts w:cs="Arial"/>
                <w:szCs w:val="22"/>
              </w:rPr>
              <w:footnoteReference w:id="16"/>
            </w:r>
          </w:p>
          <w:p w14:paraId="0E0D9442" w14:textId="77777777" w:rsidR="006E7AE7" w:rsidRPr="00A442AF" w:rsidRDefault="006E7AE7" w:rsidP="009E2768">
            <w:pPr>
              <w:pStyle w:val="Bodytext"/>
            </w:pPr>
            <w:r w:rsidRPr="006402A5">
              <w:t>Agree arrangements for obtaining investment advice including an appropriate committee to monitor and report to the NHS charity’s trustees</w:t>
            </w:r>
          </w:p>
          <w:p w14:paraId="39FD5370" w14:textId="77777777" w:rsidR="006E7AE7" w:rsidRPr="00A442AF" w:rsidRDefault="006E7AE7" w:rsidP="009E2768">
            <w:pPr>
              <w:pStyle w:val="Bodytext"/>
            </w:pPr>
            <w:r w:rsidRPr="006402A5">
              <w:lastRenderedPageBreak/>
              <w:t>Ensure arrangements are in place for managing investments – for example, establish a pooled investment vehicle, tender for investment advis</w:t>
            </w:r>
            <w:r>
              <w:t>e</w:t>
            </w:r>
            <w:r w:rsidRPr="006402A5">
              <w:t xml:space="preserve">rs or appoint a firm for a period, say </w:t>
            </w:r>
            <w:r>
              <w:t>two</w:t>
            </w:r>
            <w:r w:rsidRPr="006402A5">
              <w:t xml:space="preserve"> years, then subject to tender</w:t>
            </w:r>
          </w:p>
          <w:p w14:paraId="4676B0A6" w14:textId="77777777" w:rsidR="006E7AE7" w:rsidRPr="00A442AF" w:rsidRDefault="006E7AE7" w:rsidP="009E2768">
            <w:pPr>
              <w:pStyle w:val="Bodytext"/>
            </w:pPr>
            <w:r w:rsidRPr="006402A5">
              <w:t>Where needed, identify fund advis</w:t>
            </w:r>
            <w:r>
              <w:t>e</w:t>
            </w:r>
            <w:r w:rsidRPr="006402A5">
              <w:t>rs to manage funds</w:t>
            </w:r>
          </w:p>
          <w:p w14:paraId="5263BCA6" w14:textId="77777777" w:rsidR="006E7AE7" w:rsidRPr="00A442AF" w:rsidRDefault="006E7AE7" w:rsidP="009E2768">
            <w:pPr>
              <w:pStyle w:val="Bodytext"/>
            </w:pPr>
            <w:r w:rsidRPr="006402A5">
              <w:t>Determine an investment policy – for example, restrictions on investments to tobacco firms</w:t>
            </w:r>
          </w:p>
          <w:p w14:paraId="57491F2B" w14:textId="77777777" w:rsidR="006E7AE7" w:rsidRPr="00A442AF" w:rsidRDefault="006E7AE7" w:rsidP="009E2768">
            <w:pPr>
              <w:pStyle w:val="Bodytext"/>
            </w:pPr>
            <w:r w:rsidRPr="006402A5">
              <w:t>Advise those involved of their responsibilities as trustees</w:t>
            </w:r>
          </w:p>
          <w:p w14:paraId="2B3D9FEC" w14:textId="77777777" w:rsidR="006E7AE7" w:rsidRPr="00A442AF" w:rsidRDefault="006E7AE7" w:rsidP="009E2768">
            <w:pPr>
              <w:pStyle w:val="Bodytext"/>
            </w:pPr>
            <w:r w:rsidRPr="006402A5">
              <w:t xml:space="preserve">Determine expenditure limits, authorising officers and uses of funds </w:t>
            </w:r>
          </w:p>
          <w:p w14:paraId="762CD867" w14:textId="77777777" w:rsidR="006E7AE7" w:rsidRPr="00A442AF" w:rsidRDefault="006E7AE7" w:rsidP="009E2768">
            <w:pPr>
              <w:pStyle w:val="Bodytext"/>
            </w:pPr>
            <w:r w:rsidRPr="006402A5">
              <w:t>Determine reporting requirements</w:t>
            </w:r>
          </w:p>
          <w:p w14:paraId="3176E60C" w14:textId="77777777" w:rsidR="006E7AE7" w:rsidRPr="00A442AF" w:rsidRDefault="006E7AE7" w:rsidP="009E2768">
            <w:pPr>
              <w:pStyle w:val="Bodytext"/>
            </w:pPr>
            <w:r w:rsidRPr="006402A5">
              <w:t>Review financial procedure notes from all bodies involved in the reorganisation. Consider whether they are fit for purpose for the new body (it may be the new body is sufficiently different to the old bodies that it needs new procedures and no procedures can be rolled over).</w:t>
            </w:r>
            <w:r>
              <w:t xml:space="preserve"> </w:t>
            </w:r>
            <w:r w:rsidRPr="006402A5">
              <w:t>Write and issue revised financial procedure notes</w:t>
            </w:r>
          </w:p>
          <w:p w14:paraId="3964334D" w14:textId="77777777" w:rsidR="006E7AE7" w:rsidRPr="00A442AF" w:rsidRDefault="006E7AE7" w:rsidP="009E2768">
            <w:pPr>
              <w:pStyle w:val="Bodytext"/>
            </w:pPr>
            <w:r w:rsidRPr="006402A5">
              <w:t>Arrange staff training</w:t>
            </w:r>
          </w:p>
        </w:tc>
        <w:tc>
          <w:tcPr>
            <w:tcW w:w="1275" w:type="dxa"/>
          </w:tcPr>
          <w:p w14:paraId="5410DBC0" w14:textId="77777777" w:rsidR="006E7AE7" w:rsidRPr="00A442AF" w:rsidRDefault="006E7AE7" w:rsidP="009E2768">
            <w:pPr>
              <w:pStyle w:val="Bodytext"/>
            </w:pPr>
            <w:r w:rsidRPr="006402A5">
              <w:lastRenderedPageBreak/>
              <w:t xml:space="preserve"> </w:t>
            </w:r>
          </w:p>
        </w:tc>
        <w:tc>
          <w:tcPr>
            <w:tcW w:w="1560" w:type="dxa"/>
          </w:tcPr>
          <w:p w14:paraId="25CB393B" w14:textId="77777777" w:rsidR="006E7AE7" w:rsidRPr="00A442AF" w:rsidRDefault="006E7AE7" w:rsidP="009E2768">
            <w:pPr>
              <w:pStyle w:val="Bodytext"/>
            </w:pPr>
          </w:p>
        </w:tc>
      </w:tr>
      <w:tr w:rsidR="006E7AE7" w:rsidRPr="006402A5" w14:paraId="3D2FFEAF" w14:textId="77777777" w:rsidTr="009E2768">
        <w:tc>
          <w:tcPr>
            <w:tcW w:w="6204" w:type="dxa"/>
          </w:tcPr>
          <w:p w14:paraId="647958E8" w14:textId="77777777" w:rsidR="006E7AE7" w:rsidRPr="00A442AF" w:rsidRDefault="006E7AE7" w:rsidP="009E2768">
            <w:pPr>
              <w:pStyle w:val="Bodytext"/>
            </w:pPr>
          </w:p>
        </w:tc>
        <w:tc>
          <w:tcPr>
            <w:tcW w:w="1275" w:type="dxa"/>
          </w:tcPr>
          <w:p w14:paraId="1E549959" w14:textId="77777777" w:rsidR="006E7AE7" w:rsidRPr="00A442AF" w:rsidRDefault="006E7AE7" w:rsidP="009E2768">
            <w:pPr>
              <w:pStyle w:val="Bodytext"/>
            </w:pPr>
          </w:p>
        </w:tc>
        <w:tc>
          <w:tcPr>
            <w:tcW w:w="1560" w:type="dxa"/>
          </w:tcPr>
          <w:p w14:paraId="2E8B9DC3" w14:textId="77777777" w:rsidR="006E7AE7" w:rsidRPr="00A442AF" w:rsidRDefault="006E7AE7" w:rsidP="009E2768">
            <w:pPr>
              <w:pStyle w:val="Bodytext"/>
            </w:pPr>
          </w:p>
        </w:tc>
      </w:tr>
      <w:tr w:rsidR="006E7AE7" w:rsidRPr="006402A5" w14:paraId="075E15B2" w14:textId="77777777" w:rsidTr="009E2768">
        <w:tc>
          <w:tcPr>
            <w:tcW w:w="6204" w:type="dxa"/>
          </w:tcPr>
          <w:p w14:paraId="754A45EE" w14:textId="77777777" w:rsidR="006E7AE7" w:rsidRPr="00A442AF" w:rsidRDefault="006E7AE7" w:rsidP="009E2768">
            <w:pPr>
              <w:pStyle w:val="Bodytext"/>
            </w:pPr>
          </w:p>
        </w:tc>
        <w:tc>
          <w:tcPr>
            <w:tcW w:w="1275" w:type="dxa"/>
          </w:tcPr>
          <w:p w14:paraId="3D69AACE" w14:textId="77777777" w:rsidR="006E7AE7" w:rsidRPr="00A442AF" w:rsidRDefault="006E7AE7" w:rsidP="009E2768">
            <w:pPr>
              <w:pStyle w:val="Bodytext"/>
            </w:pPr>
          </w:p>
        </w:tc>
        <w:tc>
          <w:tcPr>
            <w:tcW w:w="1560" w:type="dxa"/>
          </w:tcPr>
          <w:p w14:paraId="19CA77AE" w14:textId="77777777" w:rsidR="006E7AE7" w:rsidRPr="00A442AF" w:rsidRDefault="006E7AE7" w:rsidP="009E2768">
            <w:pPr>
              <w:pStyle w:val="Bodytext"/>
            </w:pPr>
          </w:p>
        </w:tc>
      </w:tr>
    </w:tbl>
    <w:p w14:paraId="3F730C14" w14:textId="77777777" w:rsidR="006E7AE7" w:rsidRPr="006402A5" w:rsidRDefault="006E7AE7" w:rsidP="006E7AE7">
      <w:pPr>
        <w:pStyle w:val="Heading2"/>
      </w:pPr>
      <w:r w:rsidRPr="006402A5">
        <w:t>SECTION E: FINANCIAL MANAGEMENT</w:t>
      </w:r>
    </w:p>
    <w:p w14:paraId="3BA340DE" w14:textId="77777777" w:rsidR="006E7AE7" w:rsidRPr="006402A5" w:rsidRDefault="006E7AE7" w:rsidP="006E7AE7">
      <w:pPr>
        <w:rPr>
          <w:rFonts w:cs="Arial"/>
          <w:b/>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473E49" w14:paraId="4474A749" w14:textId="77777777" w:rsidTr="009E2768">
        <w:trPr>
          <w:tblHeader/>
        </w:trPr>
        <w:tc>
          <w:tcPr>
            <w:tcW w:w="6204" w:type="dxa"/>
          </w:tcPr>
          <w:p w14:paraId="00FC6A2E" w14:textId="77777777" w:rsidR="006E7AE7" w:rsidRPr="00473E49" w:rsidRDefault="006E7AE7" w:rsidP="009E2768">
            <w:pPr>
              <w:pStyle w:val="Bodytext"/>
              <w:rPr>
                <w:b/>
              </w:rPr>
            </w:pPr>
            <w:r w:rsidRPr="00473E49">
              <w:rPr>
                <w:b/>
              </w:rPr>
              <w:t xml:space="preserve">Financial </w:t>
            </w:r>
            <w:r>
              <w:rPr>
                <w:b/>
              </w:rPr>
              <w:t>p</w:t>
            </w:r>
            <w:r w:rsidRPr="00473E49">
              <w:rPr>
                <w:b/>
              </w:rPr>
              <w:t>lanning</w:t>
            </w:r>
          </w:p>
        </w:tc>
        <w:tc>
          <w:tcPr>
            <w:tcW w:w="1275" w:type="dxa"/>
          </w:tcPr>
          <w:p w14:paraId="6E821EE8" w14:textId="77777777" w:rsidR="006E7AE7" w:rsidRPr="00473E49" w:rsidRDefault="006E7AE7" w:rsidP="009E2768">
            <w:pPr>
              <w:pStyle w:val="Bodytext"/>
              <w:rPr>
                <w:b/>
              </w:rPr>
            </w:pPr>
            <w:r w:rsidRPr="00473E49">
              <w:rPr>
                <w:b/>
              </w:rPr>
              <w:t>Deadline</w:t>
            </w:r>
          </w:p>
        </w:tc>
        <w:tc>
          <w:tcPr>
            <w:tcW w:w="1560" w:type="dxa"/>
          </w:tcPr>
          <w:p w14:paraId="10E88CF7" w14:textId="77777777" w:rsidR="006E7AE7" w:rsidRPr="00473E49" w:rsidRDefault="006E7AE7" w:rsidP="009E2768">
            <w:pPr>
              <w:pStyle w:val="Bodytext"/>
              <w:rPr>
                <w:b/>
              </w:rPr>
            </w:pPr>
            <w:r w:rsidRPr="00473E49">
              <w:rPr>
                <w:b/>
              </w:rPr>
              <w:t>Responsible individual</w:t>
            </w:r>
          </w:p>
        </w:tc>
      </w:tr>
      <w:tr w:rsidR="006E7AE7" w:rsidRPr="006402A5" w14:paraId="27DA3AA5" w14:textId="77777777" w:rsidTr="009E2768">
        <w:tc>
          <w:tcPr>
            <w:tcW w:w="6204" w:type="dxa"/>
          </w:tcPr>
          <w:p w14:paraId="4A428744" w14:textId="77777777" w:rsidR="006E7AE7" w:rsidRDefault="006E7AE7" w:rsidP="009E2768">
            <w:pPr>
              <w:pStyle w:val="Bodytext"/>
            </w:pPr>
            <w:r w:rsidRPr="006402A5">
              <w:t>Establish financial outturn for all NHS bodies prior to the vesting date</w:t>
            </w:r>
          </w:p>
          <w:p w14:paraId="754C1D2F" w14:textId="77777777" w:rsidR="006E7AE7" w:rsidRDefault="006E7AE7" w:rsidP="009E2768">
            <w:pPr>
              <w:pStyle w:val="Bodytext"/>
            </w:pPr>
            <w:r>
              <w:t xml:space="preserve">Consult with NHS Improvement/ NHS England to: </w:t>
            </w:r>
          </w:p>
          <w:p w14:paraId="040879FB" w14:textId="77777777" w:rsidR="006E7AE7" w:rsidRDefault="006E7AE7" w:rsidP="009E2768">
            <w:pPr>
              <w:pStyle w:val="Bullet"/>
            </w:pPr>
            <w:r>
              <w:t>agree new control totals for new bodies</w:t>
            </w:r>
          </w:p>
          <w:p w14:paraId="543C46DB" w14:textId="77777777" w:rsidR="006E7AE7" w:rsidRDefault="006E7AE7" w:rsidP="009E2768">
            <w:pPr>
              <w:pStyle w:val="Bullet"/>
            </w:pPr>
            <w:r>
              <w:t>determine performance against previously agreed control totals</w:t>
            </w:r>
          </w:p>
          <w:p w14:paraId="27773400" w14:textId="77777777" w:rsidR="006E7AE7" w:rsidRDefault="006E7AE7" w:rsidP="009E2768">
            <w:pPr>
              <w:pStyle w:val="Bullet"/>
            </w:pPr>
            <w:r>
              <w:t>agree whether a new annual plan is required</w:t>
            </w:r>
          </w:p>
          <w:p w14:paraId="2312A1D1" w14:textId="77777777" w:rsidR="006E7AE7" w:rsidRPr="00A442AF" w:rsidRDefault="006E7AE7" w:rsidP="009E2768">
            <w:pPr>
              <w:pStyle w:val="Bodytext"/>
            </w:pPr>
            <w:r>
              <w:t>(Providers bodies) determine how much of the sustainability and transformation fund (STF) is available to the new body and the financial and performance conditions attached to it</w:t>
            </w:r>
          </w:p>
          <w:p w14:paraId="1CD6A326" w14:textId="77777777" w:rsidR="006E7AE7" w:rsidRPr="00A442AF" w:rsidRDefault="006E7AE7" w:rsidP="009E2768">
            <w:pPr>
              <w:pStyle w:val="Bodytext"/>
            </w:pPr>
            <w:r w:rsidRPr="006402A5">
              <w:t>Review the cost improvement programmes (CIPs) of all of the affected NHS bodies and determine a new programme for the new body</w:t>
            </w:r>
          </w:p>
          <w:p w14:paraId="713DA292" w14:textId="77777777" w:rsidR="006E7AE7" w:rsidRPr="00A442AF" w:rsidRDefault="006E7AE7" w:rsidP="009E2768">
            <w:pPr>
              <w:pStyle w:val="Bodytext"/>
            </w:pPr>
            <w:r w:rsidRPr="006402A5">
              <w:t>Identify existing financial commitments of all NHS bodies</w:t>
            </w:r>
          </w:p>
          <w:p w14:paraId="6492BCF6" w14:textId="77777777" w:rsidR="006E7AE7" w:rsidRPr="00A442AF" w:rsidRDefault="006E7AE7" w:rsidP="009E2768">
            <w:pPr>
              <w:pStyle w:val="Bodytext"/>
            </w:pPr>
            <w:r w:rsidRPr="006402A5">
              <w:lastRenderedPageBreak/>
              <w:t>Identify and remove any inter-NHS body trading, receivables and payables</w:t>
            </w:r>
          </w:p>
          <w:p w14:paraId="6C68285E" w14:textId="77777777" w:rsidR="006E7AE7" w:rsidRPr="00A442AF" w:rsidRDefault="006E7AE7" w:rsidP="009E2768">
            <w:pPr>
              <w:pStyle w:val="Bodytext"/>
            </w:pPr>
            <w:r w:rsidRPr="006402A5">
              <w:t>Formulate a financial plan in line with current best practice and submit to the governing body</w:t>
            </w:r>
          </w:p>
          <w:p w14:paraId="72E199C7" w14:textId="77777777" w:rsidR="006E7AE7" w:rsidRPr="00A442AF" w:rsidRDefault="006E7AE7" w:rsidP="009E2768">
            <w:pPr>
              <w:pStyle w:val="Bodytext"/>
            </w:pPr>
            <w:r w:rsidRPr="006402A5">
              <w:t>Develop new financial reporting arrangements for the merged body. Where possible, move towards a common reporting approach prior to the vesting date</w:t>
            </w:r>
          </w:p>
        </w:tc>
        <w:tc>
          <w:tcPr>
            <w:tcW w:w="1275" w:type="dxa"/>
          </w:tcPr>
          <w:p w14:paraId="53D55C68" w14:textId="77777777" w:rsidR="006E7AE7" w:rsidRPr="00A442AF" w:rsidRDefault="006E7AE7" w:rsidP="009E2768">
            <w:pPr>
              <w:pStyle w:val="Bodytext"/>
            </w:pPr>
          </w:p>
        </w:tc>
        <w:tc>
          <w:tcPr>
            <w:tcW w:w="1560" w:type="dxa"/>
          </w:tcPr>
          <w:p w14:paraId="3B46D806" w14:textId="77777777" w:rsidR="006E7AE7" w:rsidRPr="00A442AF" w:rsidRDefault="006E7AE7" w:rsidP="009E2768">
            <w:pPr>
              <w:pStyle w:val="Bodytext"/>
            </w:pPr>
          </w:p>
        </w:tc>
      </w:tr>
      <w:tr w:rsidR="006E7AE7" w:rsidRPr="006402A5" w14:paraId="59237FB2" w14:textId="77777777" w:rsidTr="009E2768">
        <w:tc>
          <w:tcPr>
            <w:tcW w:w="6204" w:type="dxa"/>
          </w:tcPr>
          <w:p w14:paraId="7A0884F5" w14:textId="77777777" w:rsidR="006E7AE7" w:rsidRPr="00A442AF" w:rsidRDefault="006E7AE7" w:rsidP="009E2768">
            <w:pPr>
              <w:pStyle w:val="Bodytext"/>
            </w:pPr>
          </w:p>
        </w:tc>
        <w:tc>
          <w:tcPr>
            <w:tcW w:w="1275" w:type="dxa"/>
          </w:tcPr>
          <w:p w14:paraId="33E1B3F9" w14:textId="77777777" w:rsidR="006E7AE7" w:rsidRPr="00A442AF" w:rsidRDefault="006E7AE7" w:rsidP="009E2768">
            <w:pPr>
              <w:pStyle w:val="Bodytext"/>
            </w:pPr>
          </w:p>
        </w:tc>
        <w:tc>
          <w:tcPr>
            <w:tcW w:w="1560" w:type="dxa"/>
          </w:tcPr>
          <w:p w14:paraId="74C232CB" w14:textId="77777777" w:rsidR="006E7AE7" w:rsidRPr="00A442AF" w:rsidRDefault="006E7AE7" w:rsidP="009E2768">
            <w:pPr>
              <w:pStyle w:val="Bodytext"/>
            </w:pPr>
          </w:p>
        </w:tc>
      </w:tr>
      <w:tr w:rsidR="006E7AE7" w:rsidRPr="006402A5" w14:paraId="0D9542E7" w14:textId="77777777" w:rsidTr="009E2768">
        <w:tc>
          <w:tcPr>
            <w:tcW w:w="6204" w:type="dxa"/>
          </w:tcPr>
          <w:p w14:paraId="41E6A382" w14:textId="77777777" w:rsidR="006E7AE7" w:rsidRPr="00A442AF" w:rsidRDefault="006E7AE7" w:rsidP="009E2768">
            <w:pPr>
              <w:pStyle w:val="Bodytext"/>
            </w:pPr>
          </w:p>
        </w:tc>
        <w:tc>
          <w:tcPr>
            <w:tcW w:w="1275" w:type="dxa"/>
          </w:tcPr>
          <w:p w14:paraId="481B95E2" w14:textId="77777777" w:rsidR="006E7AE7" w:rsidRPr="00A442AF" w:rsidRDefault="006E7AE7" w:rsidP="009E2768">
            <w:pPr>
              <w:pStyle w:val="Bodytext"/>
            </w:pPr>
          </w:p>
        </w:tc>
        <w:tc>
          <w:tcPr>
            <w:tcW w:w="1560" w:type="dxa"/>
          </w:tcPr>
          <w:p w14:paraId="6551C8E7" w14:textId="77777777" w:rsidR="006E7AE7" w:rsidRPr="00A442AF" w:rsidRDefault="006E7AE7" w:rsidP="009E2768">
            <w:pPr>
              <w:pStyle w:val="Bodytext"/>
            </w:pPr>
          </w:p>
        </w:tc>
      </w:tr>
    </w:tbl>
    <w:p w14:paraId="32344A7F"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473E49" w14:paraId="6EF166B9" w14:textId="77777777" w:rsidTr="009E2768">
        <w:trPr>
          <w:tblHeader/>
        </w:trPr>
        <w:tc>
          <w:tcPr>
            <w:tcW w:w="6204" w:type="dxa"/>
          </w:tcPr>
          <w:p w14:paraId="1B1AB4EB" w14:textId="77777777" w:rsidR="006E7AE7" w:rsidRPr="00473E49" w:rsidRDefault="006E7AE7" w:rsidP="009E2768">
            <w:pPr>
              <w:pStyle w:val="Bodytext"/>
              <w:rPr>
                <w:b/>
              </w:rPr>
            </w:pPr>
            <w:r w:rsidRPr="00473E49">
              <w:rPr>
                <w:b/>
              </w:rPr>
              <w:t>Budgeting</w:t>
            </w:r>
          </w:p>
        </w:tc>
        <w:tc>
          <w:tcPr>
            <w:tcW w:w="1275" w:type="dxa"/>
          </w:tcPr>
          <w:p w14:paraId="6A9B597C" w14:textId="77777777" w:rsidR="006E7AE7" w:rsidRPr="00473E49" w:rsidRDefault="006E7AE7" w:rsidP="009E2768">
            <w:pPr>
              <w:pStyle w:val="Bodytext"/>
              <w:rPr>
                <w:b/>
              </w:rPr>
            </w:pPr>
            <w:r w:rsidRPr="00473E49">
              <w:rPr>
                <w:b/>
              </w:rPr>
              <w:t>Deadline</w:t>
            </w:r>
          </w:p>
        </w:tc>
        <w:tc>
          <w:tcPr>
            <w:tcW w:w="1560" w:type="dxa"/>
          </w:tcPr>
          <w:p w14:paraId="64C4DA23" w14:textId="77777777" w:rsidR="006E7AE7" w:rsidRPr="00473E49" w:rsidRDefault="006E7AE7" w:rsidP="009E2768">
            <w:pPr>
              <w:pStyle w:val="Bodytext"/>
              <w:rPr>
                <w:b/>
              </w:rPr>
            </w:pPr>
            <w:r w:rsidRPr="00473E49">
              <w:rPr>
                <w:b/>
              </w:rPr>
              <w:t>Responsible individual</w:t>
            </w:r>
          </w:p>
        </w:tc>
      </w:tr>
      <w:tr w:rsidR="006E7AE7" w:rsidRPr="006402A5" w14:paraId="6A6CC4D5" w14:textId="77777777" w:rsidTr="009E2768">
        <w:tc>
          <w:tcPr>
            <w:tcW w:w="6204" w:type="dxa"/>
          </w:tcPr>
          <w:p w14:paraId="3DFECAA2" w14:textId="77777777" w:rsidR="006E7AE7" w:rsidRPr="00A442AF" w:rsidRDefault="006E7AE7" w:rsidP="009E2768">
            <w:pPr>
              <w:pStyle w:val="Bodytext"/>
            </w:pPr>
            <w:r w:rsidRPr="006402A5">
              <w:t>Agree process and timetable for establishing base budgets (both revenue and capital)</w:t>
            </w:r>
          </w:p>
          <w:p w14:paraId="72B07367" w14:textId="77777777" w:rsidR="006E7AE7" w:rsidRPr="00A442AF" w:rsidRDefault="006E7AE7" w:rsidP="009E2768">
            <w:pPr>
              <w:pStyle w:val="Bodytext"/>
            </w:pPr>
            <w:r w:rsidRPr="006402A5">
              <w:t>Ensure that budgets are set taking into account the new body’s aims, objectives and business plans</w:t>
            </w:r>
          </w:p>
          <w:p w14:paraId="76482C5A" w14:textId="77777777" w:rsidR="006E7AE7" w:rsidRPr="00A442AF" w:rsidRDefault="006E7AE7" w:rsidP="009E2768">
            <w:pPr>
              <w:pStyle w:val="Bodytext"/>
            </w:pPr>
            <w:r w:rsidRPr="006402A5">
              <w:t>Review budgeting assumptions and consider if they are still valid following the reorganisation</w:t>
            </w:r>
          </w:p>
          <w:p w14:paraId="49DA754D" w14:textId="77777777" w:rsidR="006E7AE7" w:rsidRPr="00A442AF" w:rsidRDefault="006E7AE7" w:rsidP="009E2768">
            <w:pPr>
              <w:pStyle w:val="Bodytext"/>
            </w:pPr>
            <w:r w:rsidRPr="006402A5">
              <w:t>Identify and appoint budget managers/holders</w:t>
            </w:r>
          </w:p>
          <w:p w14:paraId="5CD2E782" w14:textId="77777777" w:rsidR="006E7AE7" w:rsidRPr="00A442AF" w:rsidRDefault="006E7AE7" w:rsidP="009E2768">
            <w:pPr>
              <w:pStyle w:val="Bodytext"/>
            </w:pPr>
            <w:r w:rsidRPr="006402A5">
              <w:t xml:space="preserve">Prepare base budgets </w:t>
            </w:r>
          </w:p>
          <w:p w14:paraId="22084C95" w14:textId="77777777" w:rsidR="006E7AE7" w:rsidRPr="00A442AF" w:rsidRDefault="006E7AE7" w:rsidP="009E2768">
            <w:pPr>
              <w:pStyle w:val="Bodytext"/>
            </w:pPr>
            <w:r w:rsidRPr="006402A5">
              <w:t>Discuss and agree provisional base budgets with budget holders</w:t>
            </w:r>
          </w:p>
          <w:p w14:paraId="336EA840" w14:textId="77777777" w:rsidR="006E7AE7" w:rsidRPr="00A442AF" w:rsidRDefault="006E7AE7" w:rsidP="009E2768">
            <w:pPr>
              <w:pStyle w:val="Bodytext"/>
            </w:pPr>
            <w:r w:rsidRPr="006402A5">
              <w:t>Amend budgets to reflect any changes in activity and resources resulting from discussions with commissioners/ providers</w:t>
            </w:r>
          </w:p>
          <w:p w14:paraId="37397AF7" w14:textId="77777777" w:rsidR="006E7AE7" w:rsidRPr="00A442AF" w:rsidRDefault="006E7AE7" w:rsidP="009E2768">
            <w:pPr>
              <w:pStyle w:val="Bodytext"/>
            </w:pPr>
            <w:r w:rsidRPr="006402A5">
              <w:t>Discuss and agree any changes to proposed base budgets with budget holders</w:t>
            </w:r>
          </w:p>
          <w:p w14:paraId="332F15CC" w14:textId="77777777" w:rsidR="006E7AE7" w:rsidRPr="00A442AF" w:rsidRDefault="006E7AE7" w:rsidP="009E2768">
            <w:pPr>
              <w:pStyle w:val="Bodytext"/>
            </w:pPr>
            <w:r w:rsidRPr="006402A5">
              <w:t>Obtain approval of base budgets from the governing body</w:t>
            </w:r>
          </w:p>
          <w:p w14:paraId="3063F233" w14:textId="77777777" w:rsidR="006E7AE7" w:rsidRPr="00A442AF" w:rsidRDefault="006E7AE7" w:rsidP="009E2768">
            <w:pPr>
              <w:pStyle w:val="Bodytext"/>
            </w:pPr>
            <w:r w:rsidRPr="006402A5">
              <w:t>Notify budget holders of approved base budgets and activity levels</w:t>
            </w:r>
          </w:p>
          <w:p w14:paraId="054F661F" w14:textId="77777777" w:rsidR="006E7AE7" w:rsidRPr="00A442AF" w:rsidRDefault="006E7AE7" w:rsidP="009E2768">
            <w:pPr>
              <w:pStyle w:val="Bodytext"/>
            </w:pPr>
            <w:r w:rsidRPr="006402A5">
              <w:t>Review and update the budget manual and budgetary control policy and procedures</w:t>
            </w:r>
          </w:p>
          <w:p w14:paraId="520D73B3" w14:textId="77777777" w:rsidR="006E7AE7" w:rsidRPr="00A442AF" w:rsidRDefault="006E7AE7" w:rsidP="009E2768">
            <w:pPr>
              <w:pStyle w:val="Bodytext"/>
            </w:pPr>
            <w:r w:rsidRPr="006402A5">
              <w:t xml:space="preserve">Agree format and content of budget holder reports </w:t>
            </w:r>
          </w:p>
          <w:p w14:paraId="691C7BF5" w14:textId="77777777" w:rsidR="006E7AE7" w:rsidRPr="00A442AF" w:rsidRDefault="006E7AE7" w:rsidP="009E2768">
            <w:pPr>
              <w:pStyle w:val="Bodytext"/>
            </w:pPr>
            <w:r w:rsidRPr="006402A5">
              <w:t>Ensure that budget holders are aware of their budget responsibilities and arrange training as necessary</w:t>
            </w:r>
          </w:p>
        </w:tc>
        <w:tc>
          <w:tcPr>
            <w:tcW w:w="1275" w:type="dxa"/>
          </w:tcPr>
          <w:p w14:paraId="04CC4F5B" w14:textId="77777777" w:rsidR="006E7AE7" w:rsidRPr="00A442AF" w:rsidRDefault="006E7AE7" w:rsidP="009E2768">
            <w:pPr>
              <w:pStyle w:val="Bodytext"/>
            </w:pPr>
            <w:r w:rsidRPr="006402A5">
              <w:t xml:space="preserve">     </w:t>
            </w:r>
          </w:p>
        </w:tc>
        <w:tc>
          <w:tcPr>
            <w:tcW w:w="1560" w:type="dxa"/>
          </w:tcPr>
          <w:p w14:paraId="2D0D185F" w14:textId="77777777" w:rsidR="006E7AE7" w:rsidRPr="00A442AF" w:rsidRDefault="006E7AE7" w:rsidP="009E2768">
            <w:pPr>
              <w:pStyle w:val="Bodytext"/>
            </w:pPr>
          </w:p>
        </w:tc>
      </w:tr>
      <w:tr w:rsidR="006E7AE7" w:rsidRPr="006402A5" w14:paraId="68A4244F" w14:textId="77777777" w:rsidTr="009E2768">
        <w:tc>
          <w:tcPr>
            <w:tcW w:w="6204" w:type="dxa"/>
          </w:tcPr>
          <w:p w14:paraId="69C814CA" w14:textId="77777777" w:rsidR="006E7AE7" w:rsidRPr="00A442AF" w:rsidRDefault="006E7AE7" w:rsidP="009E2768">
            <w:pPr>
              <w:pStyle w:val="Bodytext"/>
            </w:pPr>
          </w:p>
        </w:tc>
        <w:tc>
          <w:tcPr>
            <w:tcW w:w="1275" w:type="dxa"/>
          </w:tcPr>
          <w:p w14:paraId="3BD27B6D" w14:textId="77777777" w:rsidR="006E7AE7" w:rsidRPr="00A442AF" w:rsidRDefault="006E7AE7" w:rsidP="009E2768">
            <w:pPr>
              <w:pStyle w:val="Bodytext"/>
            </w:pPr>
          </w:p>
        </w:tc>
        <w:tc>
          <w:tcPr>
            <w:tcW w:w="1560" w:type="dxa"/>
          </w:tcPr>
          <w:p w14:paraId="14D5C99C" w14:textId="77777777" w:rsidR="006E7AE7" w:rsidRPr="00A442AF" w:rsidRDefault="006E7AE7" w:rsidP="009E2768">
            <w:pPr>
              <w:pStyle w:val="Bodytext"/>
            </w:pPr>
          </w:p>
        </w:tc>
      </w:tr>
      <w:tr w:rsidR="006E7AE7" w:rsidRPr="006402A5" w14:paraId="37CE3A72" w14:textId="77777777" w:rsidTr="009E2768">
        <w:tc>
          <w:tcPr>
            <w:tcW w:w="6204" w:type="dxa"/>
          </w:tcPr>
          <w:p w14:paraId="7C11E534" w14:textId="77777777" w:rsidR="006E7AE7" w:rsidRPr="00A442AF" w:rsidRDefault="006E7AE7" w:rsidP="009E2768">
            <w:pPr>
              <w:pStyle w:val="Bodytext"/>
            </w:pPr>
          </w:p>
        </w:tc>
        <w:tc>
          <w:tcPr>
            <w:tcW w:w="1275" w:type="dxa"/>
          </w:tcPr>
          <w:p w14:paraId="5592FB6B" w14:textId="77777777" w:rsidR="006E7AE7" w:rsidRPr="00A442AF" w:rsidRDefault="006E7AE7" w:rsidP="009E2768">
            <w:pPr>
              <w:pStyle w:val="Bodytext"/>
            </w:pPr>
          </w:p>
        </w:tc>
        <w:tc>
          <w:tcPr>
            <w:tcW w:w="1560" w:type="dxa"/>
          </w:tcPr>
          <w:p w14:paraId="02C417B5" w14:textId="77777777" w:rsidR="006E7AE7" w:rsidRPr="00A442AF" w:rsidRDefault="006E7AE7" w:rsidP="009E2768">
            <w:pPr>
              <w:pStyle w:val="Bodytext"/>
            </w:pPr>
          </w:p>
        </w:tc>
      </w:tr>
    </w:tbl>
    <w:p w14:paraId="7DA4EA06"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473E49" w14:paraId="01972B6A" w14:textId="77777777" w:rsidTr="009E2768">
        <w:trPr>
          <w:tblHeader/>
        </w:trPr>
        <w:tc>
          <w:tcPr>
            <w:tcW w:w="6204" w:type="dxa"/>
          </w:tcPr>
          <w:p w14:paraId="3AB2EB61" w14:textId="77777777" w:rsidR="006E7AE7" w:rsidRPr="00473E49" w:rsidRDefault="006E7AE7" w:rsidP="009E2768">
            <w:pPr>
              <w:pStyle w:val="Bodytext"/>
              <w:rPr>
                <w:b/>
              </w:rPr>
            </w:pPr>
            <w:r w:rsidRPr="00473E49">
              <w:rPr>
                <w:b/>
              </w:rPr>
              <w:lastRenderedPageBreak/>
              <w:t xml:space="preserve">Commissioning/ </w:t>
            </w:r>
            <w:r>
              <w:rPr>
                <w:b/>
              </w:rPr>
              <w:t>c</w:t>
            </w:r>
            <w:r w:rsidRPr="00473E49">
              <w:rPr>
                <w:b/>
              </w:rPr>
              <w:t>ontracting</w:t>
            </w:r>
          </w:p>
          <w:p w14:paraId="7CFCC42C" w14:textId="77777777" w:rsidR="006E7AE7" w:rsidRPr="00473E49" w:rsidRDefault="006E7AE7" w:rsidP="009E2768">
            <w:pPr>
              <w:pStyle w:val="Bodytext"/>
              <w:rPr>
                <w:b/>
              </w:rPr>
            </w:pPr>
          </w:p>
        </w:tc>
        <w:tc>
          <w:tcPr>
            <w:tcW w:w="1275" w:type="dxa"/>
          </w:tcPr>
          <w:p w14:paraId="07FEC752" w14:textId="77777777" w:rsidR="006E7AE7" w:rsidRPr="00473E49" w:rsidRDefault="006E7AE7" w:rsidP="009E2768">
            <w:pPr>
              <w:pStyle w:val="Bodytext"/>
              <w:rPr>
                <w:b/>
              </w:rPr>
            </w:pPr>
            <w:r w:rsidRPr="00473E49">
              <w:rPr>
                <w:b/>
              </w:rPr>
              <w:t>Deadline</w:t>
            </w:r>
          </w:p>
        </w:tc>
        <w:tc>
          <w:tcPr>
            <w:tcW w:w="1560" w:type="dxa"/>
          </w:tcPr>
          <w:p w14:paraId="543147AA" w14:textId="77777777" w:rsidR="006E7AE7" w:rsidRPr="00473E49" w:rsidRDefault="006E7AE7" w:rsidP="009E2768">
            <w:pPr>
              <w:pStyle w:val="Bodytext"/>
              <w:rPr>
                <w:b/>
              </w:rPr>
            </w:pPr>
            <w:r w:rsidRPr="00473E49">
              <w:rPr>
                <w:b/>
              </w:rPr>
              <w:t>Responsible individual</w:t>
            </w:r>
          </w:p>
        </w:tc>
      </w:tr>
      <w:tr w:rsidR="006E7AE7" w:rsidRPr="006402A5" w14:paraId="4798DFF7" w14:textId="77777777" w:rsidTr="009E2768">
        <w:tc>
          <w:tcPr>
            <w:tcW w:w="6204" w:type="dxa"/>
          </w:tcPr>
          <w:p w14:paraId="1F692F24" w14:textId="77777777" w:rsidR="006E7AE7" w:rsidRPr="00EF20FB" w:rsidRDefault="006E7AE7" w:rsidP="009E2768">
            <w:pPr>
              <w:pStyle w:val="Bodytext"/>
            </w:pPr>
            <w:r w:rsidRPr="00EF20FB">
              <w:t>Examine the existing approach to contracting (for example, coverage of national tariff, contract types)</w:t>
            </w:r>
          </w:p>
          <w:p w14:paraId="2142434F" w14:textId="77777777" w:rsidR="006E7AE7" w:rsidRPr="00EF20FB" w:rsidRDefault="006E7AE7" w:rsidP="009E2768">
            <w:pPr>
              <w:pStyle w:val="Bodytext"/>
            </w:pPr>
            <w:r w:rsidRPr="00EF20FB">
              <w:t>Identify all contractual commitments (with commissioners/providers, leases, PFI schemes) at the vesting date and determine whether the new body is required to honour those commitments</w:t>
            </w:r>
          </w:p>
          <w:p w14:paraId="061CFAC4" w14:textId="77777777" w:rsidR="006E7AE7" w:rsidRPr="00EF20FB" w:rsidRDefault="006E7AE7" w:rsidP="009E2768">
            <w:pPr>
              <w:pStyle w:val="Bodytext"/>
            </w:pPr>
            <w:r w:rsidRPr="00EF20FB">
              <w:t>Establish an approach to contract negotiation and monitoring for the new NHS body</w:t>
            </w:r>
          </w:p>
          <w:p w14:paraId="20CCF0DB" w14:textId="77777777" w:rsidR="006E7AE7" w:rsidRDefault="006E7AE7" w:rsidP="009E2768">
            <w:pPr>
              <w:pStyle w:val="Bodytext"/>
            </w:pPr>
            <w:r w:rsidRPr="00EF20FB">
              <w:t>Establish a lead for the agreement and management of contracts for the new merged NHS body and agree with purchasers the arrangements for negotiation</w:t>
            </w:r>
          </w:p>
          <w:p w14:paraId="7140D3DD" w14:textId="77777777" w:rsidR="006E7AE7" w:rsidRPr="005B784D" w:rsidRDefault="006E7AE7" w:rsidP="009E2768">
            <w:pPr>
              <w:pStyle w:val="Bodytext"/>
            </w:pPr>
            <w:r>
              <w:rPr>
                <w:iCs/>
              </w:rPr>
              <w:t xml:space="preserve">(Providers only) </w:t>
            </w:r>
            <w:r w:rsidRPr="005B784D">
              <w:rPr>
                <w:iCs/>
              </w:rPr>
              <w:t xml:space="preserve">Apply to the </w:t>
            </w:r>
            <w:r>
              <w:rPr>
                <w:iCs/>
              </w:rPr>
              <w:t>NHS Improvement</w:t>
            </w:r>
            <w:r w:rsidRPr="005B784D">
              <w:rPr>
                <w:iCs/>
              </w:rPr>
              <w:t xml:space="preserve"> pricing team for calculation of a new MFF value for the </w:t>
            </w:r>
            <w:r>
              <w:rPr>
                <w:iCs/>
              </w:rPr>
              <w:t>new trust</w:t>
            </w:r>
            <w:r w:rsidRPr="005B784D">
              <w:rPr>
                <w:iCs/>
              </w:rPr>
              <w:t xml:space="preserve">, in accordance with </w:t>
            </w:r>
            <w:r>
              <w:rPr>
                <w:iCs/>
              </w:rPr>
              <w:t>the latest guidance</w:t>
            </w:r>
            <w:r w:rsidRPr="005B784D">
              <w:rPr>
                <w:rStyle w:val="FootnoteReference"/>
                <w:rFonts w:cs="Arial"/>
                <w:iCs/>
                <w:szCs w:val="22"/>
              </w:rPr>
              <w:footnoteReference w:id="17"/>
            </w:r>
          </w:p>
          <w:p w14:paraId="5F0CC6B9" w14:textId="77777777" w:rsidR="006E7AE7" w:rsidRPr="00EF20FB" w:rsidRDefault="006E7AE7" w:rsidP="009E2768">
            <w:pPr>
              <w:pStyle w:val="Bodytext"/>
            </w:pPr>
            <w:r w:rsidRPr="00EF20FB">
              <w:t>Ensure that there are rigorous contract monitoring and management arrangements for the merging NHS bodies in the pre-reorganisation period</w:t>
            </w:r>
          </w:p>
          <w:p w14:paraId="08308BFD" w14:textId="77777777" w:rsidR="006E7AE7" w:rsidRPr="00EF20FB" w:rsidRDefault="006E7AE7" w:rsidP="009E2768">
            <w:pPr>
              <w:pStyle w:val="Bodytext"/>
            </w:pPr>
            <w:r w:rsidRPr="00EF20FB">
              <w:t xml:space="preserve">Ensure that all contractual disputes are documented and have appropriate ownership prior to the reorganisation </w:t>
            </w:r>
          </w:p>
          <w:p w14:paraId="49772826" w14:textId="77777777" w:rsidR="006E7AE7" w:rsidRPr="00EF20FB" w:rsidRDefault="006E7AE7" w:rsidP="009E2768">
            <w:pPr>
              <w:pStyle w:val="Bodytext"/>
            </w:pPr>
            <w:r w:rsidRPr="00EF20FB">
              <w:t>Determine the arrangements in the new body for resolving all disputes, including those carried forward from the old bodies</w:t>
            </w:r>
          </w:p>
          <w:p w14:paraId="7B4C1F54" w14:textId="77777777" w:rsidR="006E7AE7" w:rsidRPr="00EF20FB" w:rsidRDefault="006E7AE7" w:rsidP="009E2768">
            <w:pPr>
              <w:pStyle w:val="Bodytext"/>
            </w:pPr>
            <w:r w:rsidRPr="00EF20FB">
              <w:t>Identify all risk share/</w:t>
            </w:r>
            <w:r>
              <w:t xml:space="preserve"> </w:t>
            </w:r>
            <w:r w:rsidRPr="00EF20FB">
              <w:t>gain share arrangements which are in place prior to the reorganisation to ensure that they are either terminated or continued after the reorganisation</w:t>
            </w:r>
          </w:p>
          <w:p w14:paraId="325ADE71" w14:textId="77777777" w:rsidR="006E7AE7" w:rsidRPr="00EF20FB" w:rsidRDefault="006E7AE7" w:rsidP="009E2768">
            <w:pPr>
              <w:pStyle w:val="Bodytext"/>
            </w:pPr>
            <w:r w:rsidRPr="00EF20FB">
              <w:t xml:space="preserve">Identify all of the pooled budget arrangements (s75 agreements) that the old bodies are party to and ensure that they are either terminated or the agreements are revised to allow them to be continued by the new body  </w:t>
            </w:r>
          </w:p>
          <w:p w14:paraId="63145184" w14:textId="77777777" w:rsidR="006E7AE7" w:rsidRPr="00EF20FB" w:rsidRDefault="006E7AE7" w:rsidP="009E2768">
            <w:pPr>
              <w:pStyle w:val="Bodytext"/>
            </w:pPr>
            <w:r w:rsidRPr="00EF20FB">
              <w:t>Model purchase activity profiles against existing information</w:t>
            </w:r>
          </w:p>
          <w:p w14:paraId="1D882533" w14:textId="77777777" w:rsidR="006E7AE7" w:rsidRPr="00EF20FB" w:rsidRDefault="006E7AE7" w:rsidP="009E2768">
            <w:pPr>
              <w:pStyle w:val="Bodytext"/>
            </w:pPr>
            <w:r w:rsidRPr="00EF20FB">
              <w:t>Model the financial impact of the anticipated contracts on each commissioner (CCGs and NHS England) and review the financial constraints, risks and performance incentives/disincentives which may arise</w:t>
            </w:r>
          </w:p>
          <w:p w14:paraId="0B07CCC1" w14:textId="77777777" w:rsidR="006E7AE7" w:rsidRPr="00EF20FB" w:rsidRDefault="006E7AE7" w:rsidP="009E2768">
            <w:pPr>
              <w:pStyle w:val="Bodytext"/>
            </w:pPr>
            <w:r w:rsidRPr="00EF20FB">
              <w:t>Hold discussions with providers/commissioners</w:t>
            </w:r>
          </w:p>
          <w:p w14:paraId="4546B692" w14:textId="77777777" w:rsidR="006E7AE7" w:rsidRPr="00EF20FB" w:rsidRDefault="006E7AE7" w:rsidP="009E2768">
            <w:pPr>
              <w:pStyle w:val="Bodytext"/>
            </w:pPr>
            <w:r w:rsidRPr="00EF20FB">
              <w:t>Assess income levels expected under national tariff</w:t>
            </w:r>
            <w:r>
              <w:t xml:space="preserve"> (including the revised MFF) as well as </w:t>
            </w:r>
            <w:r w:rsidRPr="00EF20FB">
              <w:t>other contracts and the impact on budget setting</w:t>
            </w:r>
          </w:p>
        </w:tc>
        <w:tc>
          <w:tcPr>
            <w:tcW w:w="1275" w:type="dxa"/>
          </w:tcPr>
          <w:p w14:paraId="44D6CA31" w14:textId="77777777" w:rsidR="006E7AE7" w:rsidRPr="00A442AF" w:rsidRDefault="006E7AE7" w:rsidP="009E2768">
            <w:pPr>
              <w:pStyle w:val="Bodytext"/>
            </w:pPr>
          </w:p>
        </w:tc>
        <w:tc>
          <w:tcPr>
            <w:tcW w:w="1560" w:type="dxa"/>
          </w:tcPr>
          <w:p w14:paraId="7F179AC1" w14:textId="77777777" w:rsidR="006E7AE7" w:rsidRPr="00A442AF" w:rsidRDefault="006E7AE7" w:rsidP="009E2768">
            <w:pPr>
              <w:pStyle w:val="Bodytext"/>
            </w:pPr>
          </w:p>
        </w:tc>
      </w:tr>
      <w:tr w:rsidR="006E7AE7" w:rsidRPr="006402A5" w14:paraId="35533826" w14:textId="77777777" w:rsidTr="009E2768">
        <w:tc>
          <w:tcPr>
            <w:tcW w:w="6204" w:type="dxa"/>
          </w:tcPr>
          <w:p w14:paraId="4ED4D854" w14:textId="77777777" w:rsidR="006E7AE7" w:rsidRPr="00A442AF" w:rsidRDefault="006E7AE7" w:rsidP="009E2768">
            <w:pPr>
              <w:pStyle w:val="Bodytext"/>
            </w:pPr>
          </w:p>
        </w:tc>
        <w:tc>
          <w:tcPr>
            <w:tcW w:w="1275" w:type="dxa"/>
          </w:tcPr>
          <w:p w14:paraId="567BE0F0" w14:textId="77777777" w:rsidR="006E7AE7" w:rsidRPr="00A442AF" w:rsidRDefault="006E7AE7" w:rsidP="009E2768">
            <w:pPr>
              <w:pStyle w:val="Bodytext"/>
            </w:pPr>
          </w:p>
        </w:tc>
        <w:tc>
          <w:tcPr>
            <w:tcW w:w="1560" w:type="dxa"/>
          </w:tcPr>
          <w:p w14:paraId="69712988" w14:textId="77777777" w:rsidR="006E7AE7" w:rsidRPr="00A442AF" w:rsidRDefault="006E7AE7" w:rsidP="009E2768">
            <w:pPr>
              <w:pStyle w:val="Bodytext"/>
            </w:pPr>
          </w:p>
        </w:tc>
      </w:tr>
      <w:tr w:rsidR="006E7AE7" w:rsidRPr="006402A5" w14:paraId="6CF759D7" w14:textId="77777777" w:rsidTr="009E2768">
        <w:tc>
          <w:tcPr>
            <w:tcW w:w="6204" w:type="dxa"/>
          </w:tcPr>
          <w:p w14:paraId="549DD94D" w14:textId="77777777" w:rsidR="006E7AE7" w:rsidRPr="00A442AF" w:rsidRDefault="006E7AE7" w:rsidP="009E2768">
            <w:pPr>
              <w:pStyle w:val="Bodytext"/>
            </w:pPr>
          </w:p>
        </w:tc>
        <w:tc>
          <w:tcPr>
            <w:tcW w:w="1275" w:type="dxa"/>
          </w:tcPr>
          <w:p w14:paraId="46A65476" w14:textId="77777777" w:rsidR="006E7AE7" w:rsidRPr="00A442AF" w:rsidRDefault="006E7AE7" w:rsidP="009E2768">
            <w:pPr>
              <w:pStyle w:val="Bodytext"/>
            </w:pPr>
          </w:p>
        </w:tc>
        <w:tc>
          <w:tcPr>
            <w:tcW w:w="1560" w:type="dxa"/>
          </w:tcPr>
          <w:p w14:paraId="76030583" w14:textId="77777777" w:rsidR="006E7AE7" w:rsidRPr="00A442AF" w:rsidRDefault="006E7AE7" w:rsidP="009E2768">
            <w:pPr>
              <w:pStyle w:val="Bodytext"/>
            </w:pPr>
          </w:p>
        </w:tc>
      </w:tr>
    </w:tbl>
    <w:p w14:paraId="683E72A2"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473E49" w14:paraId="6B41461B" w14:textId="77777777" w:rsidTr="009E2768">
        <w:trPr>
          <w:tblHeader/>
        </w:trPr>
        <w:tc>
          <w:tcPr>
            <w:tcW w:w="6204" w:type="dxa"/>
          </w:tcPr>
          <w:p w14:paraId="3EC08F7D" w14:textId="77777777" w:rsidR="006E7AE7" w:rsidRPr="00473E49" w:rsidRDefault="006E7AE7" w:rsidP="009E2768">
            <w:pPr>
              <w:pStyle w:val="Bodytext"/>
              <w:rPr>
                <w:b/>
              </w:rPr>
            </w:pPr>
            <w:r w:rsidRPr="00473E49">
              <w:rPr>
                <w:b/>
              </w:rPr>
              <w:t xml:space="preserve">Financial </w:t>
            </w:r>
            <w:r>
              <w:rPr>
                <w:b/>
              </w:rPr>
              <w:t>m</w:t>
            </w:r>
            <w:r w:rsidRPr="00473E49">
              <w:rPr>
                <w:b/>
              </w:rPr>
              <w:t xml:space="preserve">onitoring </w:t>
            </w:r>
          </w:p>
        </w:tc>
        <w:tc>
          <w:tcPr>
            <w:tcW w:w="1275" w:type="dxa"/>
          </w:tcPr>
          <w:p w14:paraId="7C4D71B1" w14:textId="77777777" w:rsidR="006E7AE7" w:rsidRPr="00473E49" w:rsidRDefault="006E7AE7" w:rsidP="009E2768">
            <w:pPr>
              <w:pStyle w:val="Bodytext"/>
              <w:rPr>
                <w:b/>
              </w:rPr>
            </w:pPr>
            <w:r w:rsidRPr="00473E49">
              <w:rPr>
                <w:b/>
              </w:rPr>
              <w:t>Deadline</w:t>
            </w:r>
          </w:p>
        </w:tc>
        <w:tc>
          <w:tcPr>
            <w:tcW w:w="1560" w:type="dxa"/>
          </w:tcPr>
          <w:p w14:paraId="420F97D9" w14:textId="77777777" w:rsidR="006E7AE7" w:rsidRPr="00473E49" w:rsidRDefault="006E7AE7" w:rsidP="009E2768">
            <w:pPr>
              <w:pStyle w:val="Bodytext"/>
              <w:rPr>
                <w:b/>
              </w:rPr>
            </w:pPr>
            <w:r w:rsidRPr="00473E49">
              <w:rPr>
                <w:b/>
              </w:rPr>
              <w:t>Responsible individual</w:t>
            </w:r>
          </w:p>
        </w:tc>
      </w:tr>
      <w:tr w:rsidR="006E7AE7" w:rsidRPr="006402A5" w14:paraId="68B494AF" w14:textId="77777777" w:rsidTr="009E2768">
        <w:tc>
          <w:tcPr>
            <w:tcW w:w="6204" w:type="dxa"/>
          </w:tcPr>
          <w:p w14:paraId="422B77B0" w14:textId="77777777" w:rsidR="006E7AE7" w:rsidRPr="00A442AF" w:rsidRDefault="006E7AE7" w:rsidP="009E2768">
            <w:pPr>
              <w:pStyle w:val="Bodytext"/>
            </w:pPr>
            <w:r w:rsidRPr="006402A5">
              <w:t>Review existing arrangements for reporting on finances during the year in all NHS bodies – select best aspects from all reports to board</w:t>
            </w:r>
          </w:p>
          <w:p w14:paraId="189B7AC6" w14:textId="77777777" w:rsidR="006E7AE7" w:rsidRPr="00A442AF" w:rsidRDefault="006E7AE7" w:rsidP="009E2768">
            <w:pPr>
              <w:pStyle w:val="Bodytext"/>
            </w:pPr>
            <w:r w:rsidRPr="006402A5">
              <w:t>Identify appropriate interim reporting arrangements to ensure that financial control remains a priority</w:t>
            </w:r>
          </w:p>
          <w:p w14:paraId="1FC1BD9F" w14:textId="77777777" w:rsidR="006E7AE7" w:rsidRPr="00A442AF" w:rsidRDefault="006E7AE7" w:rsidP="009E2768">
            <w:pPr>
              <w:pStyle w:val="Bodytext"/>
            </w:pPr>
            <w:r w:rsidRPr="006402A5">
              <w:t>Establish governing body reporting requirements and timescales</w:t>
            </w:r>
          </w:p>
          <w:p w14:paraId="66943F5F" w14:textId="77777777" w:rsidR="006E7AE7" w:rsidRPr="00A442AF" w:rsidRDefault="006E7AE7" w:rsidP="009E2768">
            <w:pPr>
              <w:pStyle w:val="Bodytext"/>
            </w:pPr>
            <w:r w:rsidRPr="006402A5">
              <w:t>Establish a system to deliver appropriate financial reports in support of the revised management arrangements</w:t>
            </w:r>
          </w:p>
          <w:p w14:paraId="60500BB5" w14:textId="77777777" w:rsidR="006E7AE7" w:rsidRPr="00A442AF" w:rsidRDefault="006E7AE7" w:rsidP="009E2768">
            <w:pPr>
              <w:pStyle w:val="Bodytext"/>
            </w:pPr>
            <w:r w:rsidRPr="006402A5">
              <w:t>Develop relevant pro formas</w:t>
            </w:r>
          </w:p>
          <w:p w14:paraId="79DE03AE" w14:textId="77777777" w:rsidR="006E7AE7" w:rsidRPr="00A442AF" w:rsidRDefault="006E7AE7" w:rsidP="009E2768">
            <w:pPr>
              <w:pStyle w:val="Bodytext"/>
            </w:pPr>
            <w:r w:rsidRPr="006402A5">
              <w:t>Ensure that arrangements are in place for submitting monitoring returns for the new NHS body</w:t>
            </w:r>
          </w:p>
          <w:p w14:paraId="55401DC0" w14:textId="77777777" w:rsidR="006E7AE7" w:rsidRPr="00A442AF" w:rsidRDefault="006E7AE7" w:rsidP="009E2768">
            <w:pPr>
              <w:pStyle w:val="Bodytext"/>
            </w:pPr>
            <w:r w:rsidRPr="006402A5">
              <w:t>Complete monthly monitoring returns for the new NHS body</w:t>
            </w:r>
          </w:p>
          <w:p w14:paraId="17C22C30" w14:textId="77777777" w:rsidR="006E7AE7" w:rsidRPr="00A442AF" w:rsidRDefault="006E7AE7" w:rsidP="009E2768">
            <w:pPr>
              <w:pStyle w:val="Bodytext"/>
            </w:pPr>
            <w:r w:rsidRPr="006402A5">
              <w:t>Complete outturn reports for continuing NHS bodies and reconcile with annual accounts</w:t>
            </w:r>
          </w:p>
          <w:p w14:paraId="0F25F453" w14:textId="77777777" w:rsidR="006E7AE7" w:rsidRPr="00A442AF" w:rsidRDefault="006E7AE7" w:rsidP="009E2768">
            <w:pPr>
              <w:pStyle w:val="Bodytext"/>
            </w:pPr>
            <w:r w:rsidRPr="006402A5">
              <w:t>Input financial element into continuing NHS bodies’ annual reports</w:t>
            </w:r>
          </w:p>
        </w:tc>
        <w:tc>
          <w:tcPr>
            <w:tcW w:w="1275" w:type="dxa"/>
          </w:tcPr>
          <w:p w14:paraId="3E1AC12F" w14:textId="77777777" w:rsidR="006E7AE7" w:rsidRPr="00A442AF" w:rsidRDefault="006E7AE7" w:rsidP="009E2768">
            <w:pPr>
              <w:pStyle w:val="Bodytext"/>
            </w:pPr>
          </w:p>
        </w:tc>
        <w:tc>
          <w:tcPr>
            <w:tcW w:w="1560" w:type="dxa"/>
          </w:tcPr>
          <w:p w14:paraId="23720849" w14:textId="77777777" w:rsidR="006E7AE7" w:rsidRPr="00A442AF" w:rsidRDefault="006E7AE7" w:rsidP="009E2768">
            <w:pPr>
              <w:pStyle w:val="Bodytext"/>
            </w:pPr>
          </w:p>
        </w:tc>
      </w:tr>
      <w:tr w:rsidR="006E7AE7" w:rsidRPr="006402A5" w14:paraId="2852A98F" w14:textId="77777777" w:rsidTr="009E2768">
        <w:tc>
          <w:tcPr>
            <w:tcW w:w="6204" w:type="dxa"/>
          </w:tcPr>
          <w:p w14:paraId="72B8F84E" w14:textId="77777777" w:rsidR="006E7AE7" w:rsidRPr="00A442AF" w:rsidRDefault="006E7AE7" w:rsidP="009E2768">
            <w:pPr>
              <w:pStyle w:val="Bodytext"/>
            </w:pPr>
          </w:p>
        </w:tc>
        <w:tc>
          <w:tcPr>
            <w:tcW w:w="1275" w:type="dxa"/>
          </w:tcPr>
          <w:p w14:paraId="3D1AB668" w14:textId="77777777" w:rsidR="006E7AE7" w:rsidRPr="00A442AF" w:rsidRDefault="006E7AE7" w:rsidP="009E2768">
            <w:pPr>
              <w:pStyle w:val="Bodytext"/>
            </w:pPr>
          </w:p>
        </w:tc>
        <w:tc>
          <w:tcPr>
            <w:tcW w:w="1560" w:type="dxa"/>
          </w:tcPr>
          <w:p w14:paraId="44D4872D" w14:textId="77777777" w:rsidR="006E7AE7" w:rsidRPr="00A442AF" w:rsidRDefault="006E7AE7" w:rsidP="009E2768">
            <w:pPr>
              <w:pStyle w:val="Bodytext"/>
            </w:pPr>
          </w:p>
        </w:tc>
      </w:tr>
      <w:tr w:rsidR="006E7AE7" w:rsidRPr="006402A5" w14:paraId="7CDB5B3F" w14:textId="77777777" w:rsidTr="009E2768">
        <w:tc>
          <w:tcPr>
            <w:tcW w:w="6204" w:type="dxa"/>
          </w:tcPr>
          <w:p w14:paraId="063F8F1F" w14:textId="77777777" w:rsidR="006E7AE7" w:rsidRPr="00A442AF" w:rsidRDefault="006E7AE7" w:rsidP="009E2768">
            <w:pPr>
              <w:pStyle w:val="Bodytext"/>
            </w:pPr>
          </w:p>
        </w:tc>
        <w:tc>
          <w:tcPr>
            <w:tcW w:w="1275" w:type="dxa"/>
          </w:tcPr>
          <w:p w14:paraId="4F624644" w14:textId="77777777" w:rsidR="006E7AE7" w:rsidRPr="00A442AF" w:rsidRDefault="006E7AE7" w:rsidP="009E2768">
            <w:pPr>
              <w:pStyle w:val="Bodytext"/>
            </w:pPr>
          </w:p>
        </w:tc>
        <w:tc>
          <w:tcPr>
            <w:tcW w:w="1560" w:type="dxa"/>
          </w:tcPr>
          <w:p w14:paraId="082E8CC7" w14:textId="77777777" w:rsidR="006E7AE7" w:rsidRPr="00A442AF" w:rsidRDefault="006E7AE7" w:rsidP="009E2768">
            <w:pPr>
              <w:pStyle w:val="Bodytext"/>
            </w:pPr>
          </w:p>
        </w:tc>
      </w:tr>
    </w:tbl>
    <w:p w14:paraId="06487F7E" w14:textId="77777777" w:rsidR="006E7AE7"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F8548C" w14:paraId="71B3B7B9" w14:textId="77777777" w:rsidTr="009E2768">
        <w:trPr>
          <w:tblHeader/>
        </w:trPr>
        <w:tc>
          <w:tcPr>
            <w:tcW w:w="6204" w:type="dxa"/>
          </w:tcPr>
          <w:p w14:paraId="264FC524" w14:textId="77777777" w:rsidR="006E7AE7" w:rsidRPr="00F8548C" w:rsidRDefault="006E7AE7" w:rsidP="009E2768">
            <w:pPr>
              <w:pStyle w:val="Bodytext"/>
              <w:rPr>
                <w:b/>
              </w:rPr>
            </w:pPr>
            <w:r w:rsidRPr="00F8548C">
              <w:rPr>
                <w:b/>
              </w:rPr>
              <w:t xml:space="preserve">Costing and reference costs </w:t>
            </w:r>
          </w:p>
        </w:tc>
        <w:tc>
          <w:tcPr>
            <w:tcW w:w="1275" w:type="dxa"/>
          </w:tcPr>
          <w:p w14:paraId="5D4AAAAD" w14:textId="77777777" w:rsidR="006E7AE7" w:rsidRPr="00F8548C" w:rsidRDefault="006E7AE7" w:rsidP="009E2768">
            <w:pPr>
              <w:pStyle w:val="Bodytext"/>
              <w:rPr>
                <w:b/>
              </w:rPr>
            </w:pPr>
            <w:r w:rsidRPr="00F8548C">
              <w:rPr>
                <w:b/>
              </w:rPr>
              <w:t>Deadline</w:t>
            </w:r>
          </w:p>
        </w:tc>
        <w:tc>
          <w:tcPr>
            <w:tcW w:w="1560" w:type="dxa"/>
          </w:tcPr>
          <w:p w14:paraId="14829C52" w14:textId="77777777" w:rsidR="006E7AE7" w:rsidRPr="00F8548C" w:rsidRDefault="006E7AE7" w:rsidP="009E2768">
            <w:pPr>
              <w:pStyle w:val="Bodytext"/>
              <w:rPr>
                <w:b/>
              </w:rPr>
            </w:pPr>
            <w:r w:rsidRPr="00F8548C">
              <w:rPr>
                <w:b/>
              </w:rPr>
              <w:t>Responsible individual</w:t>
            </w:r>
          </w:p>
        </w:tc>
      </w:tr>
      <w:tr w:rsidR="006E7AE7" w:rsidRPr="006402A5" w14:paraId="40D16F41" w14:textId="77777777" w:rsidTr="009E2768">
        <w:tc>
          <w:tcPr>
            <w:tcW w:w="6204" w:type="dxa"/>
          </w:tcPr>
          <w:p w14:paraId="169C2E6B" w14:textId="77777777" w:rsidR="006E7AE7" w:rsidRDefault="006E7AE7" w:rsidP="009E2768">
            <w:pPr>
              <w:pStyle w:val="Bodytext"/>
            </w:pPr>
            <w:r w:rsidRPr="006402A5">
              <w:t xml:space="preserve">Review existing </w:t>
            </w:r>
            <w:r>
              <w:t xml:space="preserve">costing systems, data feeds and national data collection return </w:t>
            </w:r>
            <w:r w:rsidRPr="006402A5">
              <w:t>arrangements</w:t>
            </w:r>
            <w:r>
              <w:t xml:space="preserve"> and determine best practice going forward</w:t>
            </w:r>
          </w:p>
          <w:p w14:paraId="00AD7C3E" w14:textId="77777777" w:rsidR="006E7AE7" w:rsidRDefault="006E7AE7" w:rsidP="009E2768">
            <w:pPr>
              <w:pStyle w:val="Bodytext"/>
            </w:pPr>
            <w:r w:rsidRPr="006402A5">
              <w:t xml:space="preserve">Review existing </w:t>
            </w:r>
            <w:r>
              <w:t xml:space="preserve">costing procedures and </w:t>
            </w:r>
            <w:r w:rsidRPr="006402A5">
              <w:t>working practice guidance in all bodies. Consider whether they are fit for purpose for the new body</w:t>
            </w:r>
            <w:r>
              <w:t xml:space="preserve"> and meet the requirements of the NHS Improvement costing standards</w:t>
            </w:r>
            <w:r>
              <w:rPr>
                <w:rStyle w:val="FootnoteReference"/>
              </w:rPr>
              <w:footnoteReference w:id="18"/>
            </w:r>
            <w:r>
              <w:t xml:space="preserve"> for England</w:t>
            </w:r>
            <w:r w:rsidRPr="006402A5">
              <w:t>.</w:t>
            </w:r>
            <w:r>
              <w:t xml:space="preserve">  Identify any inconsistencies between approaches and determine the most appropriate approach for the new body</w:t>
            </w:r>
          </w:p>
          <w:p w14:paraId="1A8400EF" w14:textId="77777777" w:rsidR="006E7AE7" w:rsidRDefault="006E7AE7" w:rsidP="009E2768">
            <w:pPr>
              <w:pStyle w:val="Bodytext"/>
            </w:pPr>
            <w:r w:rsidRPr="006402A5">
              <w:t xml:space="preserve">Write and issue revised </w:t>
            </w:r>
            <w:r>
              <w:t xml:space="preserve">costing </w:t>
            </w:r>
            <w:r w:rsidRPr="006402A5">
              <w:t>procedure notes</w:t>
            </w:r>
          </w:p>
          <w:p w14:paraId="5524A352" w14:textId="77777777" w:rsidR="006E7AE7" w:rsidRDefault="006E7AE7" w:rsidP="009E2768">
            <w:pPr>
              <w:pStyle w:val="Bodytext"/>
            </w:pPr>
            <w:r>
              <w:t xml:space="preserve">Collate all national cost collection returns (reference costs and/ or PLICs) for the old bodies and any reports (external </w:t>
            </w:r>
            <w:r>
              <w:lastRenderedPageBreak/>
              <w:t>and internal) on the costing systems to undertake due diligence on the arrangements</w:t>
            </w:r>
            <w:r>
              <w:rPr>
                <w:rStyle w:val="FootnoteReference"/>
                <w:rFonts w:cs="Arial"/>
                <w:szCs w:val="22"/>
              </w:rPr>
              <w:footnoteReference w:id="19"/>
            </w:r>
          </w:p>
          <w:p w14:paraId="799A659A" w14:textId="77777777" w:rsidR="006E7AE7" w:rsidRPr="00A442AF" w:rsidRDefault="006E7AE7" w:rsidP="009E2768">
            <w:pPr>
              <w:pStyle w:val="Bodytext"/>
            </w:pPr>
            <w:r w:rsidRPr="006402A5">
              <w:t xml:space="preserve">Identify appropriate interim reporting arrangements to ensure that </w:t>
            </w:r>
            <w:r>
              <w:t>costing and national cost collection returns</w:t>
            </w:r>
            <w:r w:rsidRPr="006402A5">
              <w:t xml:space="preserve"> remain a priority</w:t>
            </w:r>
          </w:p>
          <w:p w14:paraId="3338C12D" w14:textId="77777777" w:rsidR="006E7AE7" w:rsidRPr="00A442AF" w:rsidRDefault="006E7AE7" w:rsidP="009E2768">
            <w:pPr>
              <w:pStyle w:val="Bodytext"/>
            </w:pPr>
            <w:r w:rsidRPr="006402A5">
              <w:t>Establish governing body reporting requirements and timescales</w:t>
            </w:r>
          </w:p>
          <w:p w14:paraId="2357BB7C" w14:textId="77777777" w:rsidR="006E7AE7" w:rsidRPr="00A442AF" w:rsidRDefault="006E7AE7" w:rsidP="009E2768">
            <w:pPr>
              <w:pStyle w:val="Bodytext"/>
            </w:pPr>
            <w:r w:rsidRPr="006402A5">
              <w:t>Establish a system to deliver appropriate financial reports in support of the revised management arrangements</w:t>
            </w:r>
          </w:p>
          <w:p w14:paraId="77C0393E" w14:textId="77777777" w:rsidR="006E7AE7" w:rsidRPr="00A442AF" w:rsidRDefault="006E7AE7" w:rsidP="009E2768">
            <w:pPr>
              <w:pStyle w:val="Bodytext"/>
            </w:pPr>
            <w:r w:rsidRPr="006402A5">
              <w:t>Develop relevant pro formas</w:t>
            </w:r>
          </w:p>
          <w:p w14:paraId="2460FE61" w14:textId="77777777" w:rsidR="006E7AE7" w:rsidRPr="00A442AF" w:rsidRDefault="006E7AE7" w:rsidP="009E2768">
            <w:pPr>
              <w:pStyle w:val="Bodytext"/>
            </w:pPr>
            <w:r w:rsidRPr="006402A5">
              <w:t xml:space="preserve">Ensure that arrangements are in place for submitting </w:t>
            </w:r>
            <w:r>
              <w:t>national cost collection r</w:t>
            </w:r>
            <w:r w:rsidRPr="006402A5">
              <w:t>eturns for the new NHS body</w:t>
            </w:r>
          </w:p>
          <w:p w14:paraId="380B96A5" w14:textId="77777777" w:rsidR="006E7AE7" w:rsidRPr="00A442AF" w:rsidRDefault="006E7AE7" w:rsidP="009E2768">
            <w:pPr>
              <w:pStyle w:val="Bodytext"/>
            </w:pPr>
            <w:r w:rsidRPr="006402A5">
              <w:t xml:space="preserve">Complete </w:t>
            </w:r>
            <w:r>
              <w:t>necessary</w:t>
            </w:r>
            <w:r w:rsidRPr="006402A5">
              <w:t xml:space="preserve"> returns for the new NHS body</w:t>
            </w:r>
          </w:p>
          <w:p w14:paraId="2F9F15C1" w14:textId="77777777" w:rsidR="006E7AE7" w:rsidRPr="00541BAC" w:rsidRDefault="006E7AE7" w:rsidP="009E2768">
            <w:pPr>
              <w:pStyle w:val="Bodytext"/>
              <w:rPr>
                <w:b/>
              </w:rPr>
            </w:pPr>
          </w:p>
        </w:tc>
        <w:tc>
          <w:tcPr>
            <w:tcW w:w="1275" w:type="dxa"/>
          </w:tcPr>
          <w:p w14:paraId="0512507A" w14:textId="77777777" w:rsidR="006E7AE7" w:rsidRPr="00A442AF" w:rsidRDefault="006E7AE7" w:rsidP="009E2768">
            <w:pPr>
              <w:pStyle w:val="Bodytext"/>
            </w:pPr>
          </w:p>
        </w:tc>
        <w:tc>
          <w:tcPr>
            <w:tcW w:w="1560" w:type="dxa"/>
          </w:tcPr>
          <w:p w14:paraId="2AA6171D" w14:textId="77777777" w:rsidR="006E7AE7" w:rsidRPr="00A442AF" w:rsidRDefault="006E7AE7" w:rsidP="009E2768">
            <w:pPr>
              <w:pStyle w:val="Bodytext"/>
            </w:pPr>
          </w:p>
        </w:tc>
      </w:tr>
      <w:tr w:rsidR="006E7AE7" w:rsidRPr="006402A5" w14:paraId="4EB827BC" w14:textId="77777777" w:rsidTr="009E2768">
        <w:tc>
          <w:tcPr>
            <w:tcW w:w="6204" w:type="dxa"/>
          </w:tcPr>
          <w:p w14:paraId="3DA5E189" w14:textId="77777777" w:rsidR="006E7AE7" w:rsidRPr="00A442AF" w:rsidRDefault="006E7AE7" w:rsidP="009E2768">
            <w:pPr>
              <w:pStyle w:val="Bodytext"/>
            </w:pPr>
          </w:p>
        </w:tc>
        <w:tc>
          <w:tcPr>
            <w:tcW w:w="1275" w:type="dxa"/>
          </w:tcPr>
          <w:p w14:paraId="1FCA2534" w14:textId="77777777" w:rsidR="006E7AE7" w:rsidRPr="00A442AF" w:rsidRDefault="006E7AE7" w:rsidP="009E2768">
            <w:pPr>
              <w:pStyle w:val="Bodytext"/>
            </w:pPr>
          </w:p>
        </w:tc>
        <w:tc>
          <w:tcPr>
            <w:tcW w:w="1560" w:type="dxa"/>
          </w:tcPr>
          <w:p w14:paraId="29020CF7" w14:textId="77777777" w:rsidR="006E7AE7" w:rsidRPr="00A442AF" w:rsidRDefault="006E7AE7" w:rsidP="009E2768">
            <w:pPr>
              <w:pStyle w:val="Bodytext"/>
            </w:pPr>
          </w:p>
        </w:tc>
      </w:tr>
      <w:tr w:rsidR="006E7AE7" w:rsidRPr="006402A5" w14:paraId="059CD33A" w14:textId="77777777" w:rsidTr="009E2768">
        <w:tc>
          <w:tcPr>
            <w:tcW w:w="6204" w:type="dxa"/>
          </w:tcPr>
          <w:p w14:paraId="09D9467E" w14:textId="77777777" w:rsidR="006E7AE7" w:rsidRPr="00A442AF" w:rsidRDefault="006E7AE7" w:rsidP="009E2768">
            <w:pPr>
              <w:pStyle w:val="Bodytext"/>
            </w:pPr>
          </w:p>
        </w:tc>
        <w:tc>
          <w:tcPr>
            <w:tcW w:w="1275" w:type="dxa"/>
          </w:tcPr>
          <w:p w14:paraId="6F721887" w14:textId="77777777" w:rsidR="006E7AE7" w:rsidRPr="00A442AF" w:rsidRDefault="006E7AE7" w:rsidP="009E2768">
            <w:pPr>
              <w:pStyle w:val="Bodytext"/>
            </w:pPr>
          </w:p>
        </w:tc>
        <w:tc>
          <w:tcPr>
            <w:tcW w:w="1560" w:type="dxa"/>
          </w:tcPr>
          <w:p w14:paraId="0723DB32" w14:textId="77777777" w:rsidR="006E7AE7" w:rsidRPr="00A442AF" w:rsidRDefault="006E7AE7" w:rsidP="009E2768">
            <w:pPr>
              <w:pStyle w:val="Bodytext"/>
            </w:pPr>
          </w:p>
        </w:tc>
      </w:tr>
    </w:tbl>
    <w:p w14:paraId="6C60052D" w14:textId="77777777" w:rsidR="006E7AE7" w:rsidRPr="006402A5" w:rsidRDefault="006E7AE7" w:rsidP="006E7AE7">
      <w:pPr>
        <w:pStyle w:val="Heading2"/>
      </w:pPr>
      <w:r w:rsidRPr="006402A5">
        <w:t>SECTION F: FINANCE STRUCTURES AND STAFFING</w:t>
      </w:r>
    </w:p>
    <w:p w14:paraId="3AB37686" w14:textId="77777777" w:rsidR="006E7AE7" w:rsidRPr="008F3C47" w:rsidRDefault="006E7AE7" w:rsidP="006E7AE7">
      <w:pPr>
        <w:pStyle w:val="Bodytext"/>
      </w:pPr>
      <w:r w:rsidRPr="008F3C47">
        <w:t xml:space="preserve">The finance team will have a more general input into NHS body and management structures as well as costing those revised staffing structures. If possible, and both chief financial officers agree, it is useful to swap staff between the old NHS bodies before the vesting date. This will help with integration and understanding of the differences in systems, controls and approaches. It is also a good way of identifying good practice that can be carried forward to the new NHS body. In the period prior to reorganisation the use of temporary contracts/ agency staff should be considered. This is often essential as the uncertainty that accompanies reorganisations tends to lead to a loss of staff.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F8548C" w14:paraId="19418ED9" w14:textId="77777777" w:rsidTr="009E2768">
        <w:trPr>
          <w:tblHeader/>
        </w:trPr>
        <w:tc>
          <w:tcPr>
            <w:tcW w:w="6204" w:type="dxa"/>
          </w:tcPr>
          <w:p w14:paraId="11D6D12B" w14:textId="77777777" w:rsidR="006E7AE7" w:rsidRPr="00F8548C" w:rsidRDefault="006E7AE7" w:rsidP="009E2768">
            <w:pPr>
              <w:pStyle w:val="Bodytext"/>
              <w:rPr>
                <w:b/>
              </w:rPr>
            </w:pPr>
            <w:r w:rsidRPr="00F8548C">
              <w:rPr>
                <w:b/>
              </w:rPr>
              <w:t xml:space="preserve">Finance </w:t>
            </w:r>
            <w:r>
              <w:rPr>
                <w:b/>
              </w:rPr>
              <w:t>s</w:t>
            </w:r>
            <w:r w:rsidRPr="00F8548C">
              <w:rPr>
                <w:b/>
              </w:rPr>
              <w:t xml:space="preserve">tructures and </w:t>
            </w:r>
            <w:r>
              <w:rPr>
                <w:b/>
              </w:rPr>
              <w:t>s</w:t>
            </w:r>
            <w:r w:rsidRPr="00F8548C">
              <w:rPr>
                <w:b/>
              </w:rPr>
              <w:t>taffing</w:t>
            </w:r>
          </w:p>
        </w:tc>
        <w:tc>
          <w:tcPr>
            <w:tcW w:w="1275" w:type="dxa"/>
          </w:tcPr>
          <w:p w14:paraId="792313F8" w14:textId="77777777" w:rsidR="006E7AE7" w:rsidRPr="00F8548C" w:rsidRDefault="006E7AE7" w:rsidP="009E2768">
            <w:pPr>
              <w:pStyle w:val="Bodytext"/>
              <w:rPr>
                <w:b/>
              </w:rPr>
            </w:pPr>
            <w:r w:rsidRPr="00F8548C">
              <w:rPr>
                <w:b/>
              </w:rPr>
              <w:t>Deadline</w:t>
            </w:r>
          </w:p>
        </w:tc>
        <w:tc>
          <w:tcPr>
            <w:tcW w:w="1560" w:type="dxa"/>
          </w:tcPr>
          <w:p w14:paraId="51C1F785" w14:textId="77777777" w:rsidR="006E7AE7" w:rsidRPr="00F8548C" w:rsidRDefault="006E7AE7" w:rsidP="009E2768">
            <w:pPr>
              <w:pStyle w:val="Bodytext"/>
              <w:rPr>
                <w:b/>
              </w:rPr>
            </w:pPr>
            <w:r w:rsidRPr="00F8548C">
              <w:rPr>
                <w:b/>
              </w:rPr>
              <w:t>Responsible individual</w:t>
            </w:r>
          </w:p>
        </w:tc>
      </w:tr>
      <w:tr w:rsidR="006E7AE7" w:rsidRPr="006402A5" w14:paraId="17812290" w14:textId="77777777" w:rsidTr="009E2768">
        <w:tc>
          <w:tcPr>
            <w:tcW w:w="6204" w:type="dxa"/>
          </w:tcPr>
          <w:p w14:paraId="0311D308" w14:textId="77777777" w:rsidR="006E7AE7" w:rsidRPr="00A442AF" w:rsidRDefault="006E7AE7" w:rsidP="009E2768">
            <w:pPr>
              <w:pStyle w:val="Bodytext"/>
            </w:pPr>
            <w:r w:rsidRPr="006402A5">
              <w:t>Appoint a chief financial officer</w:t>
            </w:r>
          </w:p>
          <w:p w14:paraId="5DD99639" w14:textId="77777777" w:rsidR="006E7AE7" w:rsidRPr="00A442AF" w:rsidRDefault="006E7AE7" w:rsidP="009E2768">
            <w:pPr>
              <w:pStyle w:val="Bodytext"/>
            </w:pPr>
            <w:r w:rsidRPr="006402A5">
              <w:t>Identify interim management arrangements where required.  This will depend on the time available prior to the vesting date</w:t>
            </w:r>
          </w:p>
          <w:p w14:paraId="7F64EB03" w14:textId="77777777" w:rsidR="006E7AE7" w:rsidRPr="00A442AF" w:rsidRDefault="006E7AE7" w:rsidP="009E2768">
            <w:pPr>
              <w:pStyle w:val="Bodytext"/>
            </w:pPr>
            <w:r w:rsidRPr="006402A5">
              <w:t>Determine the role and responsibilities of the finance function within the new management structure</w:t>
            </w:r>
          </w:p>
          <w:p w14:paraId="5D98CEEB" w14:textId="77777777" w:rsidR="006E7AE7" w:rsidRPr="00A442AF" w:rsidRDefault="006E7AE7" w:rsidP="009E2768">
            <w:pPr>
              <w:pStyle w:val="Bodytext"/>
            </w:pPr>
            <w:r w:rsidRPr="006402A5">
              <w:t xml:space="preserve">Develop the structure of the new finance function based on its new role and responsibilities (do not assume that the new finance function will require the same people with the same skill sets as the old and do not do this with particular </w:t>
            </w:r>
            <w:r w:rsidRPr="006402A5">
              <w:lastRenderedPageBreak/>
              <w:t>members of staff in mind. Assume that staff will leave as a result of the reorganisation)</w:t>
            </w:r>
          </w:p>
          <w:p w14:paraId="4A46FEE3" w14:textId="77777777" w:rsidR="006E7AE7" w:rsidRPr="00A442AF" w:rsidRDefault="006E7AE7" w:rsidP="009E2768">
            <w:pPr>
              <w:pStyle w:val="Bodytext"/>
            </w:pPr>
            <w:r w:rsidRPr="006402A5">
              <w:t>Produce a finance team structure to meet its identified role within agreed management cost envelope</w:t>
            </w:r>
            <w:r>
              <w:t>,</w:t>
            </w:r>
            <w:r w:rsidRPr="006402A5">
              <w:t xml:space="preserve"> including CIPs requirements </w:t>
            </w:r>
          </w:p>
          <w:p w14:paraId="20AD2B6D" w14:textId="77777777" w:rsidR="006E7AE7" w:rsidRPr="00A442AF" w:rsidRDefault="006E7AE7" w:rsidP="009E2768">
            <w:pPr>
              <w:pStyle w:val="Bodytext"/>
            </w:pPr>
            <w:r w:rsidRPr="006402A5">
              <w:t>Agree how functions should be provided – for example, in-house, contracted out, shared services agency</w:t>
            </w:r>
          </w:p>
          <w:p w14:paraId="2E67A9B9" w14:textId="77777777" w:rsidR="006E7AE7" w:rsidRPr="00A442AF" w:rsidRDefault="006E7AE7" w:rsidP="009E2768">
            <w:pPr>
              <w:pStyle w:val="Bodytext"/>
            </w:pPr>
            <w:r w:rsidRPr="006402A5">
              <w:t>Compare proposed staff numbers/costs with existing establishment against any targets set</w:t>
            </w:r>
          </w:p>
          <w:p w14:paraId="59E6EFBA" w14:textId="77777777" w:rsidR="006E7AE7" w:rsidRPr="00A442AF" w:rsidRDefault="006E7AE7" w:rsidP="009E2768">
            <w:pPr>
              <w:pStyle w:val="Bodytext"/>
            </w:pPr>
            <w:r w:rsidRPr="006402A5">
              <w:t>Discuss the proposed structure with staff</w:t>
            </w:r>
          </w:p>
          <w:p w14:paraId="0B87A464" w14:textId="77777777" w:rsidR="006E7AE7" w:rsidRPr="00A442AF" w:rsidRDefault="006E7AE7" w:rsidP="009E2768">
            <w:pPr>
              <w:pStyle w:val="Bodytext"/>
            </w:pPr>
            <w:r w:rsidRPr="006402A5">
              <w:t>Obtain the approval of the chief executive and governing body to new structure</w:t>
            </w:r>
          </w:p>
          <w:p w14:paraId="6DBA406E" w14:textId="77777777" w:rsidR="006E7AE7" w:rsidRPr="00A442AF" w:rsidRDefault="006E7AE7" w:rsidP="009E2768">
            <w:pPr>
              <w:pStyle w:val="Bodytext"/>
              <w:rPr>
                <w:color w:val="FF0000"/>
              </w:rPr>
            </w:pPr>
            <w:r w:rsidRPr="006402A5">
              <w:t xml:space="preserve">Prepare </w:t>
            </w:r>
            <w:r>
              <w:t xml:space="preserve">job descriptions, </w:t>
            </w:r>
            <w:r w:rsidRPr="006402A5">
              <w:t>Knowledge Skills Framework (KSF) and arrange for grading under Agenda for Change</w:t>
            </w:r>
          </w:p>
          <w:p w14:paraId="1D46AD54" w14:textId="77777777" w:rsidR="006E7AE7" w:rsidRPr="00A442AF" w:rsidRDefault="006E7AE7" w:rsidP="009E2768">
            <w:pPr>
              <w:pStyle w:val="Bodytext"/>
            </w:pPr>
            <w:r w:rsidRPr="006402A5">
              <w:t>Liaise with the human resources team over implementing changes and consultation with staff representatives in line with agreed organisational change policies</w:t>
            </w:r>
          </w:p>
          <w:p w14:paraId="3B74429D" w14:textId="77777777" w:rsidR="006E7AE7" w:rsidRPr="00A442AF" w:rsidRDefault="006E7AE7" w:rsidP="009E2768">
            <w:pPr>
              <w:pStyle w:val="Bodytext"/>
            </w:pPr>
            <w:r>
              <w:t>Check that the organisation’s management of change policy is up to date and the proposed changes comply with it</w:t>
            </w:r>
          </w:p>
          <w:p w14:paraId="762C455E" w14:textId="77777777" w:rsidR="006E7AE7" w:rsidRPr="00A442AF" w:rsidRDefault="006E7AE7" w:rsidP="009E2768">
            <w:pPr>
              <w:pStyle w:val="Bodytext"/>
            </w:pPr>
            <w:r w:rsidRPr="006402A5">
              <w:t>Liaise with the human resources team over any redundancy or early retirement programmes to ensure that they have been appropriately costed and provided for</w:t>
            </w:r>
          </w:p>
          <w:p w14:paraId="1B6E1A2A" w14:textId="77777777" w:rsidR="006E7AE7" w:rsidRPr="00A442AF" w:rsidRDefault="006E7AE7" w:rsidP="009E2768">
            <w:pPr>
              <w:pStyle w:val="Bodytext"/>
            </w:pPr>
            <w:r w:rsidRPr="006402A5">
              <w:t>Appraise existing staff and match to structure</w:t>
            </w:r>
          </w:p>
          <w:p w14:paraId="69EE9034" w14:textId="77777777" w:rsidR="006E7AE7" w:rsidRPr="00A442AF" w:rsidRDefault="006E7AE7" w:rsidP="009E2768">
            <w:pPr>
              <w:pStyle w:val="Bodytext"/>
            </w:pPr>
            <w:r w:rsidRPr="006402A5">
              <w:t>Identify ‘at risk’ staff in all bodies and arrange one to one discussions</w:t>
            </w:r>
          </w:p>
          <w:p w14:paraId="001EF7A8" w14:textId="77777777" w:rsidR="006E7AE7" w:rsidRPr="00A442AF" w:rsidRDefault="006E7AE7" w:rsidP="009E2768">
            <w:pPr>
              <w:pStyle w:val="Bodytext"/>
            </w:pPr>
            <w:r w:rsidRPr="006402A5">
              <w:t>Identify all staff on inward or outward secondment and determine whether that arrangement should continue or be terminated</w:t>
            </w:r>
          </w:p>
          <w:p w14:paraId="3F0F9690" w14:textId="77777777" w:rsidR="006E7AE7" w:rsidRPr="00A442AF" w:rsidRDefault="006E7AE7" w:rsidP="009E2768">
            <w:pPr>
              <w:pStyle w:val="Bodytext"/>
            </w:pPr>
            <w:r w:rsidRPr="006402A5">
              <w:t>Arrange outplacement counselling</w:t>
            </w:r>
            <w:r>
              <w:t>, CV refresher courses and Employee Assistance Programmes for staff</w:t>
            </w:r>
          </w:p>
          <w:p w14:paraId="540FE46F" w14:textId="77777777" w:rsidR="006E7AE7" w:rsidRPr="00A442AF" w:rsidRDefault="006E7AE7" w:rsidP="009E2768">
            <w:pPr>
              <w:pStyle w:val="Bodytext"/>
            </w:pPr>
            <w:r w:rsidRPr="006402A5">
              <w:t>Identify and address any salary differences</w:t>
            </w:r>
            <w:r>
              <w:t>,</w:t>
            </w:r>
            <w:r w:rsidRPr="006402A5">
              <w:t xml:space="preserve"> including part time proposals</w:t>
            </w:r>
          </w:p>
          <w:p w14:paraId="00BB618D" w14:textId="77777777" w:rsidR="006E7AE7" w:rsidRPr="00A442AF" w:rsidRDefault="006E7AE7" w:rsidP="009E2768">
            <w:pPr>
              <w:pStyle w:val="Bodytext"/>
            </w:pPr>
            <w:r w:rsidRPr="006402A5">
              <w:t>Appoint staff</w:t>
            </w:r>
          </w:p>
          <w:p w14:paraId="2F9A0EED" w14:textId="77777777" w:rsidR="006E7AE7" w:rsidRPr="00A442AF" w:rsidRDefault="006E7AE7" w:rsidP="009E2768">
            <w:pPr>
              <w:pStyle w:val="Bodytext"/>
            </w:pPr>
            <w:r w:rsidRPr="006402A5">
              <w:t>Issue new contracts of employment</w:t>
            </w:r>
          </w:p>
          <w:p w14:paraId="443B767C" w14:textId="77777777" w:rsidR="006E7AE7" w:rsidRDefault="006E7AE7" w:rsidP="009E2768">
            <w:pPr>
              <w:pStyle w:val="Bodytext"/>
            </w:pPr>
            <w:r w:rsidRPr="006402A5">
              <w:t>Agree objectives with staff</w:t>
            </w:r>
          </w:p>
          <w:p w14:paraId="383D56F7" w14:textId="77777777" w:rsidR="006E7AE7" w:rsidRDefault="006E7AE7" w:rsidP="009E2768">
            <w:pPr>
              <w:pStyle w:val="Bodytext"/>
            </w:pPr>
            <w:r>
              <w:t>Review agency and off-payroll arrangements to ensure that they are consistent</w:t>
            </w:r>
          </w:p>
          <w:p w14:paraId="243E10B5" w14:textId="77777777" w:rsidR="006E7AE7" w:rsidRDefault="006E7AE7" w:rsidP="009E2768">
            <w:pPr>
              <w:pStyle w:val="Bodytext"/>
            </w:pPr>
            <w:r w:rsidRPr="006402A5">
              <w:t xml:space="preserve">Review existing </w:t>
            </w:r>
            <w:r>
              <w:t xml:space="preserve">systems, data feeds and national data collection return </w:t>
            </w:r>
            <w:r w:rsidRPr="006402A5">
              <w:t>arrangements</w:t>
            </w:r>
            <w:r>
              <w:t xml:space="preserve"> in relation to agency and </w:t>
            </w:r>
            <w:r>
              <w:lastRenderedPageBreak/>
              <w:t>consultancy staff costs and determine best practice going forward</w:t>
            </w:r>
          </w:p>
          <w:p w14:paraId="7C13B476" w14:textId="77777777" w:rsidR="006E7AE7" w:rsidRPr="00A442AF" w:rsidRDefault="006E7AE7" w:rsidP="009E2768">
            <w:pPr>
              <w:pStyle w:val="Bodytext"/>
            </w:pPr>
            <w:r w:rsidRPr="006402A5">
              <w:t>Identify training needs arising from the reorganisation</w:t>
            </w:r>
          </w:p>
          <w:p w14:paraId="1AFF025D" w14:textId="77777777" w:rsidR="006E7AE7" w:rsidRPr="00A442AF" w:rsidRDefault="006E7AE7" w:rsidP="009E2768">
            <w:pPr>
              <w:pStyle w:val="Bodytext"/>
            </w:pPr>
            <w:r w:rsidRPr="006402A5">
              <w:t>Agree revised personal development plans, induction programmes and KSFs as necessary</w:t>
            </w:r>
          </w:p>
          <w:p w14:paraId="440A680D" w14:textId="77777777" w:rsidR="006E7AE7" w:rsidRPr="00A442AF" w:rsidRDefault="006E7AE7" w:rsidP="009E2768">
            <w:pPr>
              <w:pStyle w:val="Bodytext"/>
            </w:pPr>
            <w:r w:rsidRPr="006402A5">
              <w:t>Arrange a programme of training to meet identified needs</w:t>
            </w:r>
          </w:p>
          <w:p w14:paraId="5E469263" w14:textId="77777777" w:rsidR="006E7AE7" w:rsidRPr="00A442AF" w:rsidRDefault="006E7AE7" w:rsidP="009E2768">
            <w:pPr>
              <w:pStyle w:val="Bodytext"/>
            </w:pPr>
            <w:r w:rsidRPr="006402A5">
              <w:t>Agree timings and organise hand-over of work based on the new staffing structure</w:t>
            </w:r>
          </w:p>
          <w:p w14:paraId="546ACDBC" w14:textId="77777777" w:rsidR="006E7AE7" w:rsidRPr="00A442AF" w:rsidRDefault="006E7AE7" w:rsidP="009E2768">
            <w:pPr>
              <w:pStyle w:val="Bodytext"/>
            </w:pPr>
            <w:r w:rsidRPr="006402A5">
              <w:t>Inform all internal and external contacts of revised structure and responsibilities of individuals</w:t>
            </w:r>
          </w:p>
        </w:tc>
        <w:tc>
          <w:tcPr>
            <w:tcW w:w="1275" w:type="dxa"/>
          </w:tcPr>
          <w:p w14:paraId="2063831C" w14:textId="77777777" w:rsidR="006E7AE7" w:rsidRPr="00A442AF" w:rsidRDefault="006E7AE7" w:rsidP="009E2768">
            <w:pPr>
              <w:pStyle w:val="Bodytext"/>
            </w:pPr>
            <w:r w:rsidRPr="006402A5">
              <w:lastRenderedPageBreak/>
              <w:t xml:space="preserve">     </w:t>
            </w:r>
          </w:p>
        </w:tc>
        <w:tc>
          <w:tcPr>
            <w:tcW w:w="1560" w:type="dxa"/>
          </w:tcPr>
          <w:p w14:paraId="24A98C89" w14:textId="77777777" w:rsidR="006E7AE7" w:rsidRPr="00A442AF" w:rsidRDefault="006E7AE7" w:rsidP="009E2768">
            <w:pPr>
              <w:pStyle w:val="Bodytext"/>
            </w:pPr>
          </w:p>
        </w:tc>
      </w:tr>
      <w:tr w:rsidR="006E7AE7" w:rsidRPr="006402A5" w14:paraId="1951AADA" w14:textId="77777777" w:rsidTr="009E2768">
        <w:tc>
          <w:tcPr>
            <w:tcW w:w="6204" w:type="dxa"/>
          </w:tcPr>
          <w:p w14:paraId="5017AA08" w14:textId="77777777" w:rsidR="006E7AE7" w:rsidRPr="00A442AF" w:rsidRDefault="006E7AE7" w:rsidP="009E2768">
            <w:pPr>
              <w:pStyle w:val="Bodytext"/>
            </w:pPr>
          </w:p>
        </w:tc>
        <w:tc>
          <w:tcPr>
            <w:tcW w:w="1275" w:type="dxa"/>
          </w:tcPr>
          <w:p w14:paraId="36E2C5D4" w14:textId="77777777" w:rsidR="006E7AE7" w:rsidRPr="00A442AF" w:rsidRDefault="006E7AE7" w:rsidP="009E2768">
            <w:pPr>
              <w:pStyle w:val="Bodytext"/>
            </w:pPr>
          </w:p>
        </w:tc>
        <w:tc>
          <w:tcPr>
            <w:tcW w:w="1560" w:type="dxa"/>
          </w:tcPr>
          <w:p w14:paraId="34CC3673" w14:textId="77777777" w:rsidR="006E7AE7" w:rsidRPr="00A442AF" w:rsidRDefault="006E7AE7" w:rsidP="009E2768">
            <w:pPr>
              <w:pStyle w:val="Bodytext"/>
            </w:pPr>
          </w:p>
        </w:tc>
      </w:tr>
      <w:tr w:rsidR="006E7AE7" w:rsidRPr="006402A5" w14:paraId="368A1685" w14:textId="77777777" w:rsidTr="009E2768">
        <w:tc>
          <w:tcPr>
            <w:tcW w:w="6204" w:type="dxa"/>
          </w:tcPr>
          <w:p w14:paraId="6D143533" w14:textId="77777777" w:rsidR="006E7AE7" w:rsidRPr="00A442AF" w:rsidRDefault="006E7AE7" w:rsidP="009E2768">
            <w:pPr>
              <w:pStyle w:val="Bodytext"/>
            </w:pPr>
          </w:p>
        </w:tc>
        <w:tc>
          <w:tcPr>
            <w:tcW w:w="1275" w:type="dxa"/>
          </w:tcPr>
          <w:p w14:paraId="3B49D4B9" w14:textId="77777777" w:rsidR="006E7AE7" w:rsidRPr="00A442AF" w:rsidRDefault="006E7AE7" w:rsidP="009E2768">
            <w:pPr>
              <w:pStyle w:val="Bodytext"/>
            </w:pPr>
          </w:p>
        </w:tc>
        <w:tc>
          <w:tcPr>
            <w:tcW w:w="1560" w:type="dxa"/>
          </w:tcPr>
          <w:p w14:paraId="1A7285F7" w14:textId="77777777" w:rsidR="006E7AE7" w:rsidRPr="00A442AF" w:rsidRDefault="006E7AE7" w:rsidP="009E2768">
            <w:pPr>
              <w:pStyle w:val="Bodytext"/>
            </w:pPr>
          </w:p>
        </w:tc>
      </w:tr>
    </w:tbl>
    <w:p w14:paraId="6A8EB239" w14:textId="77777777" w:rsidR="006E7AE7" w:rsidRPr="006402A5" w:rsidRDefault="006E7AE7" w:rsidP="006E7AE7">
      <w:pPr>
        <w:pStyle w:val="Heading2"/>
      </w:pPr>
      <w:r w:rsidRPr="006402A5">
        <w:t>SECTION G: INFORMATION AND COMMUNICATIONS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AF76AB" w14:paraId="46814526" w14:textId="77777777" w:rsidTr="009E2768">
        <w:trPr>
          <w:tblHeader/>
        </w:trPr>
        <w:tc>
          <w:tcPr>
            <w:tcW w:w="6204" w:type="dxa"/>
          </w:tcPr>
          <w:p w14:paraId="7F58209A" w14:textId="77777777" w:rsidR="006E7AE7" w:rsidRPr="00AF76AB" w:rsidRDefault="006E7AE7" w:rsidP="009E2768">
            <w:pPr>
              <w:pStyle w:val="Bodytext"/>
              <w:rPr>
                <w:b/>
              </w:rPr>
            </w:pPr>
            <w:r w:rsidRPr="00AF76AB">
              <w:rPr>
                <w:b/>
              </w:rPr>
              <w:t xml:space="preserve">Information </w:t>
            </w:r>
            <w:r>
              <w:rPr>
                <w:b/>
              </w:rPr>
              <w:t>t</w:t>
            </w:r>
            <w:r w:rsidRPr="00AF76AB">
              <w:rPr>
                <w:b/>
              </w:rPr>
              <w:t xml:space="preserve">echnology </w:t>
            </w:r>
            <w:r>
              <w:rPr>
                <w:b/>
              </w:rPr>
              <w:t>s</w:t>
            </w:r>
            <w:r w:rsidRPr="00AF76AB">
              <w:rPr>
                <w:b/>
              </w:rPr>
              <w:t>ystems</w:t>
            </w:r>
          </w:p>
        </w:tc>
        <w:tc>
          <w:tcPr>
            <w:tcW w:w="1275" w:type="dxa"/>
          </w:tcPr>
          <w:p w14:paraId="72E7A35C" w14:textId="77777777" w:rsidR="006E7AE7" w:rsidRPr="00AF76AB" w:rsidRDefault="006E7AE7" w:rsidP="009E2768">
            <w:pPr>
              <w:pStyle w:val="Bodytext"/>
              <w:rPr>
                <w:b/>
              </w:rPr>
            </w:pPr>
            <w:r w:rsidRPr="00AF76AB">
              <w:rPr>
                <w:b/>
              </w:rPr>
              <w:t>Deadline</w:t>
            </w:r>
          </w:p>
        </w:tc>
        <w:tc>
          <w:tcPr>
            <w:tcW w:w="1560" w:type="dxa"/>
          </w:tcPr>
          <w:p w14:paraId="3B730485" w14:textId="77777777" w:rsidR="006E7AE7" w:rsidRPr="00AF76AB" w:rsidRDefault="006E7AE7" w:rsidP="009E2768">
            <w:pPr>
              <w:pStyle w:val="Bodytext"/>
              <w:rPr>
                <w:b/>
              </w:rPr>
            </w:pPr>
            <w:r w:rsidRPr="00AF76AB">
              <w:rPr>
                <w:b/>
              </w:rPr>
              <w:t>Responsible individual</w:t>
            </w:r>
          </w:p>
        </w:tc>
      </w:tr>
      <w:tr w:rsidR="006E7AE7" w:rsidRPr="006402A5" w14:paraId="37955652" w14:textId="77777777" w:rsidTr="009E2768">
        <w:tc>
          <w:tcPr>
            <w:tcW w:w="6204" w:type="dxa"/>
          </w:tcPr>
          <w:p w14:paraId="68468CAF" w14:textId="77777777" w:rsidR="006E7AE7" w:rsidRPr="00A442AF" w:rsidRDefault="006E7AE7" w:rsidP="009E2768">
            <w:pPr>
              <w:pStyle w:val="Bodytext"/>
            </w:pPr>
            <w:r w:rsidRPr="006402A5">
              <w:t>Identify and standardise software needs – for example, adopt common spreadsheet/</w:t>
            </w:r>
            <w:r>
              <w:t xml:space="preserve"> </w:t>
            </w:r>
            <w:r w:rsidRPr="006402A5">
              <w:t>word processing applications</w:t>
            </w:r>
          </w:p>
          <w:p w14:paraId="758FF328" w14:textId="77777777" w:rsidR="006E7AE7" w:rsidRPr="00A442AF" w:rsidRDefault="006E7AE7" w:rsidP="009E2768">
            <w:pPr>
              <w:pStyle w:val="Bodytext"/>
            </w:pPr>
            <w:r w:rsidRPr="006402A5">
              <w:t>Identify all software licences held, identify any early termination penalty clauses, rationalise licences</w:t>
            </w:r>
          </w:p>
          <w:p w14:paraId="2E7040B7" w14:textId="77777777" w:rsidR="006E7AE7" w:rsidRPr="00A442AF" w:rsidRDefault="006E7AE7" w:rsidP="009E2768">
            <w:pPr>
              <w:pStyle w:val="Bodytext"/>
            </w:pPr>
            <w:r w:rsidRPr="006402A5">
              <w:t>Identify hardware needs, standardise and purchase new equipment</w:t>
            </w:r>
          </w:p>
          <w:p w14:paraId="236F77A3" w14:textId="77777777" w:rsidR="006E7AE7" w:rsidRPr="00A442AF" w:rsidRDefault="006E7AE7" w:rsidP="009E2768">
            <w:pPr>
              <w:pStyle w:val="Bodytext"/>
            </w:pPr>
            <w:r w:rsidRPr="006402A5">
              <w:t>Identify and dispose of surplus equipment securely (risk of old IT kit not being wiped properly/</w:t>
            </w:r>
            <w:r>
              <w:t xml:space="preserve"> </w:t>
            </w:r>
            <w:r w:rsidRPr="006402A5">
              <w:t>ending up on eBay!)</w:t>
            </w:r>
          </w:p>
          <w:p w14:paraId="064D62D0" w14:textId="77777777" w:rsidR="006E7AE7" w:rsidRPr="00A442AF" w:rsidRDefault="006E7AE7" w:rsidP="009E2768">
            <w:pPr>
              <w:pStyle w:val="Bodytext"/>
            </w:pPr>
            <w:r w:rsidRPr="006402A5">
              <w:t>Ensure that security access issues are resolved</w:t>
            </w:r>
          </w:p>
          <w:p w14:paraId="61D47AAF" w14:textId="77777777" w:rsidR="006E7AE7" w:rsidRPr="00A442AF" w:rsidRDefault="006E7AE7" w:rsidP="009E2768">
            <w:pPr>
              <w:pStyle w:val="Bodytext"/>
            </w:pPr>
            <w:r w:rsidRPr="006402A5">
              <w:t>Ensure back</w:t>
            </w:r>
            <w:r>
              <w:t>-</w:t>
            </w:r>
            <w:r w:rsidRPr="006402A5">
              <w:t>up arrangements are in place</w:t>
            </w:r>
          </w:p>
          <w:p w14:paraId="2F738376" w14:textId="77777777" w:rsidR="006E7AE7" w:rsidRPr="00A442AF" w:rsidRDefault="006E7AE7" w:rsidP="009E2768">
            <w:pPr>
              <w:pStyle w:val="Bodytext"/>
            </w:pPr>
            <w:r w:rsidRPr="006402A5">
              <w:t>Review any bureau arrangements, place on service level agreement basis</w:t>
            </w:r>
          </w:p>
          <w:p w14:paraId="7D871151" w14:textId="77777777" w:rsidR="006E7AE7" w:rsidRPr="00A442AF" w:rsidRDefault="006E7AE7" w:rsidP="009E2768">
            <w:pPr>
              <w:pStyle w:val="Bodytext"/>
            </w:pPr>
            <w:r w:rsidRPr="006402A5">
              <w:t xml:space="preserve">Check that all finance/external system interfaces are operational (for example, BACS, </w:t>
            </w:r>
            <w:r>
              <w:t>payroll</w:t>
            </w:r>
            <w:r w:rsidRPr="006402A5">
              <w:t>)</w:t>
            </w:r>
          </w:p>
          <w:p w14:paraId="41B04D42" w14:textId="77777777" w:rsidR="006E7AE7" w:rsidRPr="006402A5" w:rsidRDefault="006E7AE7" w:rsidP="009E2768">
            <w:pPr>
              <w:pStyle w:val="Bodytext"/>
            </w:pPr>
            <w:r w:rsidRPr="006402A5">
              <w:t>Develop a policy on use of work computers and communicate the new policy to employees</w:t>
            </w:r>
          </w:p>
        </w:tc>
        <w:tc>
          <w:tcPr>
            <w:tcW w:w="1275" w:type="dxa"/>
          </w:tcPr>
          <w:p w14:paraId="2390A822" w14:textId="77777777" w:rsidR="006E7AE7" w:rsidRPr="00A442AF" w:rsidRDefault="006E7AE7" w:rsidP="009E2768">
            <w:pPr>
              <w:pStyle w:val="Bodytext"/>
            </w:pPr>
          </w:p>
          <w:p w14:paraId="7F8EDAF1" w14:textId="77777777" w:rsidR="006E7AE7" w:rsidRPr="00A442AF" w:rsidRDefault="006E7AE7" w:rsidP="009E2768">
            <w:pPr>
              <w:pStyle w:val="Bodytext"/>
            </w:pPr>
          </w:p>
          <w:p w14:paraId="26725167" w14:textId="77777777" w:rsidR="006E7AE7" w:rsidRPr="00A442AF" w:rsidRDefault="006E7AE7" w:rsidP="009E2768">
            <w:pPr>
              <w:pStyle w:val="Bodytext"/>
            </w:pPr>
            <w:r w:rsidRPr="006402A5">
              <w:t xml:space="preserve">     </w:t>
            </w:r>
          </w:p>
        </w:tc>
        <w:tc>
          <w:tcPr>
            <w:tcW w:w="1560" w:type="dxa"/>
          </w:tcPr>
          <w:p w14:paraId="0AA9AE05" w14:textId="77777777" w:rsidR="006E7AE7" w:rsidRPr="00A442AF" w:rsidRDefault="006E7AE7" w:rsidP="009E2768">
            <w:pPr>
              <w:pStyle w:val="Bodytext"/>
            </w:pPr>
          </w:p>
          <w:p w14:paraId="2A85A1E0" w14:textId="77777777" w:rsidR="006E7AE7" w:rsidRPr="00A442AF" w:rsidRDefault="006E7AE7" w:rsidP="009E2768">
            <w:pPr>
              <w:pStyle w:val="Bodytext"/>
            </w:pPr>
          </w:p>
          <w:p w14:paraId="639FE0B8" w14:textId="77777777" w:rsidR="006E7AE7" w:rsidRPr="00A442AF" w:rsidRDefault="006E7AE7" w:rsidP="009E2768">
            <w:pPr>
              <w:pStyle w:val="Bodytext"/>
            </w:pPr>
          </w:p>
          <w:p w14:paraId="077CE497" w14:textId="77777777" w:rsidR="006E7AE7" w:rsidRPr="00A442AF" w:rsidRDefault="006E7AE7" w:rsidP="009E2768">
            <w:pPr>
              <w:pStyle w:val="Bodytext"/>
            </w:pPr>
          </w:p>
          <w:p w14:paraId="5D5A1DFD" w14:textId="77777777" w:rsidR="006E7AE7" w:rsidRPr="00A442AF" w:rsidRDefault="006E7AE7" w:rsidP="009E2768">
            <w:pPr>
              <w:pStyle w:val="Bodytext"/>
            </w:pPr>
          </w:p>
          <w:p w14:paraId="653D6865" w14:textId="77777777" w:rsidR="006E7AE7" w:rsidRPr="00A442AF" w:rsidRDefault="006E7AE7" w:rsidP="009E2768">
            <w:pPr>
              <w:pStyle w:val="Bodytext"/>
            </w:pPr>
          </w:p>
          <w:p w14:paraId="7FDAE3B2" w14:textId="77777777" w:rsidR="006E7AE7" w:rsidRPr="00A442AF" w:rsidRDefault="006E7AE7" w:rsidP="009E2768">
            <w:pPr>
              <w:pStyle w:val="Bodytext"/>
            </w:pPr>
          </w:p>
          <w:p w14:paraId="0B5E3148" w14:textId="77777777" w:rsidR="006E7AE7" w:rsidRPr="00A442AF" w:rsidRDefault="006E7AE7" w:rsidP="009E2768">
            <w:pPr>
              <w:pStyle w:val="Bodytext"/>
            </w:pPr>
            <w:r w:rsidRPr="006402A5">
              <w:t xml:space="preserve">     </w:t>
            </w:r>
          </w:p>
        </w:tc>
      </w:tr>
      <w:tr w:rsidR="006E7AE7" w:rsidRPr="006402A5" w14:paraId="71838863" w14:textId="77777777" w:rsidTr="009E2768">
        <w:tc>
          <w:tcPr>
            <w:tcW w:w="6204" w:type="dxa"/>
          </w:tcPr>
          <w:p w14:paraId="771D6658" w14:textId="77777777" w:rsidR="006E7AE7" w:rsidRPr="00A442AF" w:rsidRDefault="006E7AE7" w:rsidP="009E2768">
            <w:pPr>
              <w:pStyle w:val="Bodytext"/>
            </w:pPr>
          </w:p>
        </w:tc>
        <w:tc>
          <w:tcPr>
            <w:tcW w:w="1275" w:type="dxa"/>
          </w:tcPr>
          <w:p w14:paraId="3DEC4703" w14:textId="77777777" w:rsidR="006E7AE7" w:rsidRPr="00A442AF" w:rsidRDefault="006E7AE7" w:rsidP="009E2768">
            <w:pPr>
              <w:pStyle w:val="Bodytext"/>
            </w:pPr>
          </w:p>
        </w:tc>
        <w:tc>
          <w:tcPr>
            <w:tcW w:w="1560" w:type="dxa"/>
          </w:tcPr>
          <w:p w14:paraId="2C6D2079" w14:textId="77777777" w:rsidR="006E7AE7" w:rsidRPr="00A442AF" w:rsidRDefault="006E7AE7" w:rsidP="009E2768">
            <w:pPr>
              <w:pStyle w:val="Bodytext"/>
            </w:pPr>
          </w:p>
        </w:tc>
      </w:tr>
      <w:tr w:rsidR="006E7AE7" w:rsidRPr="006402A5" w14:paraId="79821990" w14:textId="77777777" w:rsidTr="009E2768">
        <w:tc>
          <w:tcPr>
            <w:tcW w:w="6204" w:type="dxa"/>
          </w:tcPr>
          <w:p w14:paraId="5E143446" w14:textId="77777777" w:rsidR="006E7AE7" w:rsidRPr="00A442AF" w:rsidRDefault="006E7AE7" w:rsidP="009E2768">
            <w:pPr>
              <w:pStyle w:val="Bodytext"/>
            </w:pPr>
          </w:p>
        </w:tc>
        <w:tc>
          <w:tcPr>
            <w:tcW w:w="1275" w:type="dxa"/>
          </w:tcPr>
          <w:p w14:paraId="48265A70" w14:textId="77777777" w:rsidR="006E7AE7" w:rsidRPr="00A442AF" w:rsidRDefault="006E7AE7" w:rsidP="009E2768">
            <w:pPr>
              <w:pStyle w:val="Bodytext"/>
            </w:pPr>
          </w:p>
        </w:tc>
        <w:tc>
          <w:tcPr>
            <w:tcW w:w="1560" w:type="dxa"/>
          </w:tcPr>
          <w:p w14:paraId="026861F1" w14:textId="77777777" w:rsidR="006E7AE7" w:rsidRPr="00A442AF" w:rsidRDefault="006E7AE7" w:rsidP="009E2768">
            <w:pPr>
              <w:pStyle w:val="Bodytext"/>
            </w:pPr>
          </w:p>
        </w:tc>
      </w:tr>
    </w:tbl>
    <w:p w14:paraId="0F1BA04E" w14:textId="77777777" w:rsidR="006E7AE7" w:rsidRPr="006402A5" w:rsidRDefault="006E7AE7" w:rsidP="006E7AE7">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AF76AB" w14:paraId="3226D388" w14:textId="77777777" w:rsidTr="009E2768">
        <w:trPr>
          <w:tblHeader/>
        </w:trPr>
        <w:tc>
          <w:tcPr>
            <w:tcW w:w="6204" w:type="dxa"/>
          </w:tcPr>
          <w:p w14:paraId="31E1859C" w14:textId="77777777" w:rsidR="006E7AE7" w:rsidRPr="00AF76AB" w:rsidRDefault="006E7AE7" w:rsidP="009E2768">
            <w:pPr>
              <w:pStyle w:val="Bodytext"/>
              <w:rPr>
                <w:b/>
              </w:rPr>
            </w:pPr>
            <w:r w:rsidRPr="00AF76AB">
              <w:rPr>
                <w:b/>
              </w:rPr>
              <w:lastRenderedPageBreak/>
              <w:t xml:space="preserve">Communication and </w:t>
            </w:r>
            <w:r>
              <w:rPr>
                <w:b/>
              </w:rPr>
              <w:t>i</w:t>
            </w:r>
            <w:r w:rsidRPr="00AF76AB">
              <w:rPr>
                <w:b/>
              </w:rPr>
              <w:t xml:space="preserve">nformation </w:t>
            </w:r>
            <w:r>
              <w:rPr>
                <w:b/>
              </w:rPr>
              <w:t>f</w:t>
            </w:r>
            <w:r w:rsidRPr="00AF76AB">
              <w:rPr>
                <w:b/>
              </w:rPr>
              <w:t>lows</w:t>
            </w:r>
          </w:p>
        </w:tc>
        <w:tc>
          <w:tcPr>
            <w:tcW w:w="1275" w:type="dxa"/>
          </w:tcPr>
          <w:p w14:paraId="33CF9122" w14:textId="77777777" w:rsidR="006E7AE7" w:rsidRPr="00AF76AB" w:rsidRDefault="006E7AE7" w:rsidP="009E2768">
            <w:pPr>
              <w:pStyle w:val="Bodytext"/>
              <w:rPr>
                <w:b/>
              </w:rPr>
            </w:pPr>
            <w:r w:rsidRPr="00AF76AB">
              <w:rPr>
                <w:b/>
              </w:rPr>
              <w:t>Deadline</w:t>
            </w:r>
          </w:p>
        </w:tc>
        <w:tc>
          <w:tcPr>
            <w:tcW w:w="1560" w:type="dxa"/>
          </w:tcPr>
          <w:p w14:paraId="3CFF8890" w14:textId="77777777" w:rsidR="006E7AE7" w:rsidRPr="00AF76AB" w:rsidRDefault="006E7AE7" w:rsidP="009E2768">
            <w:pPr>
              <w:pStyle w:val="Bodytext"/>
              <w:rPr>
                <w:b/>
              </w:rPr>
            </w:pPr>
            <w:r w:rsidRPr="00AF76AB">
              <w:rPr>
                <w:b/>
              </w:rPr>
              <w:t>Responsible individual</w:t>
            </w:r>
          </w:p>
        </w:tc>
      </w:tr>
      <w:tr w:rsidR="006E7AE7" w:rsidRPr="006402A5" w14:paraId="27287F40" w14:textId="77777777" w:rsidTr="009E2768">
        <w:tc>
          <w:tcPr>
            <w:tcW w:w="6204" w:type="dxa"/>
          </w:tcPr>
          <w:p w14:paraId="168DCC5E" w14:textId="77777777" w:rsidR="006E7AE7" w:rsidRPr="00A442AF" w:rsidRDefault="006E7AE7" w:rsidP="009E2768">
            <w:pPr>
              <w:pStyle w:val="Bodytext"/>
            </w:pPr>
            <w:r w:rsidRPr="006402A5">
              <w:t>Ensure communication links and networks are in place and working – for example, email, links with other bodies</w:t>
            </w:r>
          </w:p>
          <w:p w14:paraId="58E60252" w14:textId="77777777" w:rsidR="006E7AE7" w:rsidRPr="00A442AF" w:rsidRDefault="006E7AE7" w:rsidP="009E2768">
            <w:pPr>
              <w:pStyle w:val="Bodytext"/>
            </w:pPr>
            <w:r w:rsidRPr="006402A5">
              <w:t xml:space="preserve">Compile and circulate finance staff directory, mailing and distribution lists to all users </w:t>
            </w:r>
          </w:p>
          <w:p w14:paraId="0AF3EB45" w14:textId="77777777" w:rsidR="006E7AE7" w:rsidRPr="00A442AF" w:rsidRDefault="006E7AE7" w:rsidP="009E2768">
            <w:pPr>
              <w:pStyle w:val="Bodytext"/>
            </w:pPr>
            <w:r w:rsidRPr="006402A5">
              <w:t>Review and harmonise all standard documents and stationery</w:t>
            </w:r>
          </w:p>
          <w:p w14:paraId="4A95639F" w14:textId="77777777" w:rsidR="006E7AE7" w:rsidRPr="00A442AF" w:rsidRDefault="006E7AE7" w:rsidP="009E2768">
            <w:pPr>
              <w:pStyle w:val="Bodytext"/>
            </w:pPr>
            <w:r w:rsidRPr="006402A5">
              <w:t xml:space="preserve">Ensure staff are fully informed of all changes </w:t>
            </w:r>
          </w:p>
          <w:p w14:paraId="601BB562" w14:textId="77777777" w:rsidR="006E7AE7" w:rsidRPr="00A442AF" w:rsidRDefault="006E7AE7" w:rsidP="009E2768">
            <w:pPr>
              <w:pStyle w:val="Bodytext"/>
            </w:pPr>
            <w:r w:rsidRPr="006402A5">
              <w:t>Ensure that other NHS bodies are informed of all changes</w:t>
            </w:r>
            <w:r>
              <w:t xml:space="preserve"> –</w:t>
            </w:r>
            <w:r w:rsidRPr="006402A5">
              <w:t xml:space="preserve"> for example, agreement of balances contacts are updated</w:t>
            </w:r>
          </w:p>
          <w:p w14:paraId="220A5CA6" w14:textId="77777777" w:rsidR="006E7AE7" w:rsidRPr="00A442AF" w:rsidRDefault="006E7AE7" w:rsidP="009E2768">
            <w:pPr>
              <w:pStyle w:val="Bodytext"/>
            </w:pPr>
            <w:r w:rsidRPr="006402A5">
              <w:t>Notify all regulatory bodies of changes to email contacts – for both the old and the new bodies (both will need to be contacted in relation to the closedown of the accounts of the old bodies as well as the accounts of the new)</w:t>
            </w:r>
          </w:p>
          <w:p w14:paraId="0291234D" w14:textId="77777777" w:rsidR="006E7AE7" w:rsidRPr="00A442AF" w:rsidRDefault="006E7AE7" w:rsidP="009E2768">
            <w:pPr>
              <w:pStyle w:val="Bodytext"/>
            </w:pPr>
            <w:r w:rsidRPr="006402A5">
              <w:t xml:space="preserve">Create common filing systems and agree standard office systems </w:t>
            </w:r>
          </w:p>
          <w:p w14:paraId="1503F008" w14:textId="77777777" w:rsidR="006E7AE7" w:rsidRPr="00A442AF" w:rsidRDefault="006E7AE7" w:rsidP="009E2768">
            <w:pPr>
              <w:pStyle w:val="Bodytext"/>
            </w:pPr>
            <w:r w:rsidRPr="006402A5">
              <w:t>Establish routine briefing and other departmental meeting arrangements</w:t>
            </w:r>
          </w:p>
          <w:p w14:paraId="531C1915" w14:textId="77777777" w:rsidR="006E7AE7" w:rsidRPr="00A442AF" w:rsidRDefault="006E7AE7" w:rsidP="009E2768">
            <w:pPr>
              <w:pStyle w:val="Bodytext"/>
            </w:pPr>
            <w:r w:rsidRPr="006402A5">
              <w:t>Update finance team business plan and circulate</w:t>
            </w:r>
          </w:p>
        </w:tc>
        <w:tc>
          <w:tcPr>
            <w:tcW w:w="1275" w:type="dxa"/>
          </w:tcPr>
          <w:p w14:paraId="77FB119E" w14:textId="77777777" w:rsidR="006E7AE7" w:rsidRPr="00A442AF" w:rsidRDefault="006E7AE7" w:rsidP="009E2768">
            <w:pPr>
              <w:pStyle w:val="Bodytext"/>
            </w:pPr>
          </w:p>
        </w:tc>
        <w:tc>
          <w:tcPr>
            <w:tcW w:w="1560" w:type="dxa"/>
          </w:tcPr>
          <w:p w14:paraId="75DFD62D" w14:textId="77777777" w:rsidR="006E7AE7" w:rsidRPr="00A442AF" w:rsidRDefault="006E7AE7" w:rsidP="009E2768">
            <w:pPr>
              <w:pStyle w:val="Bodytext"/>
            </w:pPr>
          </w:p>
        </w:tc>
      </w:tr>
      <w:tr w:rsidR="006E7AE7" w:rsidRPr="006402A5" w14:paraId="6489524C" w14:textId="77777777" w:rsidTr="009E2768">
        <w:tc>
          <w:tcPr>
            <w:tcW w:w="6204" w:type="dxa"/>
          </w:tcPr>
          <w:p w14:paraId="57A67A50" w14:textId="77777777" w:rsidR="006E7AE7" w:rsidRPr="00A442AF" w:rsidRDefault="006E7AE7" w:rsidP="009E2768">
            <w:pPr>
              <w:pStyle w:val="Bodytext"/>
            </w:pPr>
          </w:p>
        </w:tc>
        <w:tc>
          <w:tcPr>
            <w:tcW w:w="1275" w:type="dxa"/>
          </w:tcPr>
          <w:p w14:paraId="28AF3484" w14:textId="77777777" w:rsidR="006E7AE7" w:rsidRPr="00A442AF" w:rsidRDefault="006E7AE7" w:rsidP="009E2768">
            <w:pPr>
              <w:pStyle w:val="Bodytext"/>
            </w:pPr>
          </w:p>
        </w:tc>
        <w:tc>
          <w:tcPr>
            <w:tcW w:w="1560" w:type="dxa"/>
          </w:tcPr>
          <w:p w14:paraId="647E838B" w14:textId="77777777" w:rsidR="006E7AE7" w:rsidRPr="00A442AF" w:rsidRDefault="006E7AE7" w:rsidP="009E2768">
            <w:pPr>
              <w:pStyle w:val="Bodytext"/>
            </w:pPr>
          </w:p>
        </w:tc>
      </w:tr>
      <w:tr w:rsidR="006E7AE7" w:rsidRPr="006402A5" w14:paraId="4FBD25BD" w14:textId="77777777" w:rsidTr="009E2768">
        <w:tc>
          <w:tcPr>
            <w:tcW w:w="6204" w:type="dxa"/>
          </w:tcPr>
          <w:p w14:paraId="03270F8B" w14:textId="77777777" w:rsidR="006E7AE7" w:rsidRPr="00A442AF" w:rsidRDefault="006E7AE7" w:rsidP="009E2768">
            <w:pPr>
              <w:pStyle w:val="Bodytext"/>
            </w:pPr>
          </w:p>
        </w:tc>
        <w:tc>
          <w:tcPr>
            <w:tcW w:w="1275" w:type="dxa"/>
          </w:tcPr>
          <w:p w14:paraId="0C8C0A7C" w14:textId="77777777" w:rsidR="006E7AE7" w:rsidRPr="00A442AF" w:rsidRDefault="006E7AE7" w:rsidP="009E2768">
            <w:pPr>
              <w:pStyle w:val="Bodytext"/>
            </w:pPr>
          </w:p>
        </w:tc>
        <w:tc>
          <w:tcPr>
            <w:tcW w:w="1560" w:type="dxa"/>
          </w:tcPr>
          <w:p w14:paraId="737AF95C" w14:textId="77777777" w:rsidR="006E7AE7" w:rsidRPr="00A442AF" w:rsidRDefault="006E7AE7" w:rsidP="009E2768">
            <w:pPr>
              <w:pStyle w:val="Bodytext"/>
            </w:pPr>
          </w:p>
        </w:tc>
      </w:tr>
    </w:tbl>
    <w:p w14:paraId="265DA0CC" w14:textId="77777777" w:rsidR="006E7AE7" w:rsidRDefault="006E7AE7" w:rsidP="006E7AE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AF76AB" w14:paraId="30C8484E" w14:textId="77777777" w:rsidTr="009E2768">
        <w:trPr>
          <w:tblHeader/>
        </w:trPr>
        <w:tc>
          <w:tcPr>
            <w:tcW w:w="6204" w:type="dxa"/>
          </w:tcPr>
          <w:p w14:paraId="70EE837B" w14:textId="77777777" w:rsidR="006E7AE7" w:rsidRPr="00AF76AB" w:rsidRDefault="006E7AE7" w:rsidP="009E2768">
            <w:pPr>
              <w:pStyle w:val="Bodytext"/>
              <w:rPr>
                <w:b/>
              </w:rPr>
            </w:pPr>
            <w:r>
              <w:rPr>
                <w:b/>
              </w:rPr>
              <w:t>Non-financial information</w:t>
            </w:r>
            <w:r>
              <w:rPr>
                <w:rStyle w:val="FootnoteReference"/>
                <w:b/>
              </w:rPr>
              <w:footnoteReference w:id="20"/>
            </w:r>
          </w:p>
        </w:tc>
        <w:tc>
          <w:tcPr>
            <w:tcW w:w="1275" w:type="dxa"/>
          </w:tcPr>
          <w:p w14:paraId="0936E991" w14:textId="77777777" w:rsidR="006E7AE7" w:rsidRPr="00AF76AB" w:rsidRDefault="006E7AE7" w:rsidP="009E2768">
            <w:pPr>
              <w:pStyle w:val="Bodytext"/>
              <w:rPr>
                <w:b/>
              </w:rPr>
            </w:pPr>
            <w:r w:rsidRPr="00AF76AB">
              <w:rPr>
                <w:b/>
              </w:rPr>
              <w:t>Deadline</w:t>
            </w:r>
          </w:p>
        </w:tc>
        <w:tc>
          <w:tcPr>
            <w:tcW w:w="1560" w:type="dxa"/>
          </w:tcPr>
          <w:p w14:paraId="1AAB1819" w14:textId="77777777" w:rsidR="006E7AE7" w:rsidRPr="00AF76AB" w:rsidRDefault="006E7AE7" w:rsidP="009E2768">
            <w:pPr>
              <w:pStyle w:val="Bodytext"/>
              <w:rPr>
                <w:b/>
              </w:rPr>
            </w:pPr>
            <w:r w:rsidRPr="00AF76AB">
              <w:rPr>
                <w:b/>
              </w:rPr>
              <w:t>Responsible individual</w:t>
            </w:r>
          </w:p>
        </w:tc>
      </w:tr>
      <w:tr w:rsidR="006E7AE7" w:rsidRPr="006402A5" w14:paraId="06108C8A" w14:textId="77777777" w:rsidTr="009E2768">
        <w:tc>
          <w:tcPr>
            <w:tcW w:w="6204" w:type="dxa"/>
          </w:tcPr>
          <w:p w14:paraId="0E8AAE48" w14:textId="77777777" w:rsidR="006E7AE7" w:rsidRDefault="006E7AE7" w:rsidP="009E2768">
            <w:pPr>
              <w:pStyle w:val="Bodytext"/>
            </w:pPr>
            <w:r>
              <w:t>Identify all systems for collecting non-financial information.  For example, the quality metrics reported in the quality account/ quality report, data collected for national returns such as the ERIC returns, data required for model hospital metrics or RightCare data packs</w:t>
            </w:r>
          </w:p>
          <w:p w14:paraId="794CC0BE" w14:textId="77777777" w:rsidR="006E7AE7" w:rsidRDefault="006E7AE7" w:rsidP="009E2768">
            <w:pPr>
              <w:pStyle w:val="Bodytext"/>
            </w:pPr>
            <w:r w:rsidRPr="006402A5">
              <w:t xml:space="preserve">Specify requirements for </w:t>
            </w:r>
            <w:r>
              <w:t xml:space="preserve">each material </w:t>
            </w:r>
            <w:r w:rsidRPr="006402A5">
              <w:t>system and determine if time constraints will force a period of dual running after the reorganisation date</w:t>
            </w:r>
          </w:p>
          <w:p w14:paraId="108B28E5" w14:textId="77777777" w:rsidR="006E7AE7" w:rsidRPr="00A442AF" w:rsidRDefault="006E7AE7" w:rsidP="009E2768">
            <w:pPr>
              <w:pStyle w:val="Bodytext"/>
            </w:pPr>
            <w:r>
              <w:t>Ensure that arrangements are in place to avoid any data being lost when systems are changed</w:t>
            </w:r>
          </w:p>
          <w:p w14:paraId="45AC9403" w14:textId="77777777" w:rsidR="006E7AE7" w:rsidRDefault="006E7AE7" w:rsidP="009E2768">
            <w:pPr>
              <w:pStyle w:val="Bodytext"/>
            </w:pPr>
            <w:r w:rsidRPr="006402A5">
              <w:t xml:space="preserve">Review existing </w:t>
            </w:r>
            <w:r>
              <w:t xml:space="preserve">systems, data feeds and national data collection return </w:t>
            </w:r>
            <w:r w:rsidRPr="006402A5">
              <w:t>arrangements</w:t>
            </w:r>
          </w:p>
          <w:p w14:paraId="08B7011F" w14:textId="77777777" w:rsidR="006E7AE7" w:rsidRPr="00A442AF" w:rsidRDefault="006E7AE7" w:rsidP="009E2768">
            <w:pPr>
              <w:pStyle w:val="Bodytext"/>
            </w:pPr>
            <w:r w:rsidRPr="006402A5">
              <w:t>Evaluate and compare existing systems against new NHS body requirements. Compare to other systems if appropriate</w:t>
            </w:r>
          </w:p>
          <w:p w14:paraId="6FB2C76B" w14:textId="77777777" w:rsidR="006E7AE7" w:rsidRDefault="006E7AE7" w:rsidP="009E2768">
            <w:pPr>
              <w:pStyle w:val="Bodytext"/>
            </w:pPr>
            <w:r w:rsidRPr="006402A5">
              <w:lastRenderedPageBreak/>
              <w:t xml:space="preserve">Review existing </w:t>
            </w:r>
            <w:r>
              <w:t xml:space="preserve">procedures and </w:t>
            </w:r>
            <w:r w:rsidRPr="006402A5">
              <w:t>working practice guidance in all bodies. Consider whether they are fit for purpose for the new body</w:t>
            </w:r>
            <w:r>
              <w:t xml:space="preserve"> and meet the requirements of any external bodies such as NHS Improvement, NHS England and NHS Digital</w:t>
            </w:r>
            <w:r w:rsidRPr="006402A5">
              <w:t>.</w:t>
            </w:r>
            <w:r>
              <w:t xml:space="preserve">  Identify any inconsistencies between approaches and determine the most appropriate approach for the new body</w:t>
            </w:r>
          </w:p>
          <w:p w14:paraId="389946D0" w14:textId="77777777" w:rsidR="006E7AE7" w:rsidRDefault="006E7AE7" w:rsidP="009E2768">
            <w:pPr>
              <w:pStyle w:val="Bodytext"/>
            </w:pPr>
            <w:r w:rsidRPr="006402A5">
              <w:t>Write and issue revised procedure notes</w:t>
            </w:r>
          </w:p>
          <w:p w14:paraId="6B3E659D" w14:textId="77777777" w:rsidR="006E7AE7" w:rsidRPr="006402A5" w:rsidRDefault="006E7AE7" w:rsidP="009E2768">
            <w:pPr>
              <w:pStyle w:val="Bodytext"/>
            </w:pPr>
            <w:r w:rsidRPr="006402A5">
              <w:t xml:space="preserve">Ensure staff are fully informed of all changes </w:t>
            </w:r>
          </w:p>
        </w:tc>
        <w:tc>
          <w:tcPr>
            <w:tcW w:w="1275" w:type="dxa"/>
          </w:tcPr>
          <w:p w14:paraId="53CD1FE3" w14:textId="77777777" w:rsidR="006E7AE7" w:rsidRPr="00A442AF" w:rsidRDefault="006E7AE7" w:rsidP="009E2768">
            <w:pPr>
              <w:pStyle w:val="Bodytext"/>
            </w:pPr>
          </w:p>
          <w:p w14:paraId="7F4D1802" w14:textId="77777777" w:rsidR="006E7AE7" w:rsidRPr="00A442AF" w:rsidRDefault="006E7AE7" w:rsidP="009E2768">
            <w:pPr>
              <w:pStyle w:val="Bodytext"/>
            </w:pPr>
          </w:p>
          <w:p w14:paraId="4B9F0F0B" w14:textId="77777777" w:rsidR="006E7AE7" w:rsidRPr="00A442AF" w:rsidRDefault="006E7AE7" w:rsidP="009E2768">
            <w:pPr>
              <w:pStyle w:val="Bodytext"/>
            </w:pPr>
            <w:r w:rsidRPr="006402A5">
              <w:t xml:space="preserve">     </w:t>
            </w:r>
          </w:p>
        </w:tc>
        <w:tc>
          <w:tcPr>
            <w:tcW w:w="1560" w:type="dxa"/>
          </w:tcPr>
          <w:p w14:paraId="3010FED3" w14:textId="77777777" w:rsidR="006E7AE7" w:rsidRPr="00A442AF" w:rsidRDefault="006E7AE7" w:rsidP="009E2768">
            <w:pPr>
              <w:pStyle w:val="Bodytext"/>
            </w:pPr>
          </w:p>
          <w:p w14:paraId="170CB8BA" w14:textId="77777777" w:rsidR="006E7AE7" w:rsidRPr="00A442AF" w:rsidRDefault="006E7AE7" w:rsidP="009E2768">
            <w:pPr>
              <w:pStyle w:val="Bodytext"/>
            </w:pPr>
          </w:p>
          <w:p w14:paraId="5E176367" w14:textId="77777777" w:rsidR="006E7AE7" w:rsidRPr="00A442AF" w:rsidRDefault="006E7AE7" w:rsidP="009E2768">
            <w:pPr>
              <w:pStyle w:val="Bodytext"/>
            </w:pPr>
          </w:p>
          <w:p w14:paraId="424D4A39" w14:textId="77777777" w:rsidR="006E7AE7" w:rsidRPr="00A442AF" w:rsidRDefault="006E7AE7" w:rsidP="009E2768">
            <w:pPr>
              <w:pStyle w:val="Bodytext"/>
            </w:pPr>
          </w:p>
          <w:p w14:paraId="2A254473" w14:textId="77777777" w:rsidR="006E7AE7" w:rsidRPr="00A442AF" w:rsidRDefault="006E7AE7" w:rsidP="009E2768">
            <w:pPr>
              <w:pStyle w:val="Bodytext"/>
            </w:pPr>
          </w:p>
          <w:p w14:paraId="72BFBE26" w14:textId="77777777" w:rsidR="006E7AE7" w:rsidRPr="00A442AF" w:rsidRDefault="006E7AE7" w:rsidP="009E2768">
            <w:pPr>
              <w:pStyle w:val="Bodytext"/>
            </w:pPr>
          </w:p>
          <w:p w14:paraId="40EEB7DB" w14:textId="77777777" w:rsidR="006E7AE7" w:rsidRPr="00A442AF" w:rsidRDefault="006E7AE7" w:rsidP="009E2768">
            <w:pPr>
              <w:pStyle w:val="Bodytext"/>
            </w:pPr>
          </w:p>
          <w:p w14:paraId="211036BC" w14:textId="77777777" w:rsidR="006E7AE7" w:rsidRPr="00A442AF" w:rsidRDefault="006E7AE7" w:rsidP="009E2768">
            <w:pPr>
              <w:pStyle w:val="Bodytext"/>
            </w:pPr>
            <w:r w:rsidRPr="006402A5">
              <w:t xml:space="preserve">     </w:t>
            </w:r>
          </w:p>
        </w:tc>
      </w:tr>
      <w:tr w:rsidR="006E7AE7" w:rsidRPr="006402A5" w14:paraId="7BEB6309" w14:textId="77777777" w:rsidTr="009E2768">
        <w:tc>
          <w:tcPr>
            <w:tcW w:w="6204" w:type="dxa"/>
          </w:tcPr>
          <w:p w14:paraId="43EC2D20" w14:textId="77777777" w:rsidR="006E7AE7" w:rsidRPr="00A442AF" w:rsidRDefault="006E7AE7" w:rsidP="009E2768">
            <w:pPr>
              <w:pStyle w:val="Bodytext"/>
            </w:pPr>
          </w:p>
        </w:tc>
        <w:tc>
          <w:tcPr>
            <w:tcW w:w="1275" w:type="dxa"/>
          </w:tcPr>
          <w:p w14:paraId="568BF7CB" w14:textId="77777777" w:rsidR="006E7AE7" w:rsidRPr="00A442AF" w:rsidRDefault="006E7AE7" w:rsidP="009E2768">
            <w:pPr>
              <w:pStyle w:val="Bodytext"/>
            </w:pPr>
          </w:p>
        </w:tc>
        <w:tc>
          <w:tcPr>
            <w:tcW w:w="1560" w:type="dxa"/>
          </w:tcPr>
          <w:p w14:paraId="52AE1869" w14:textId="77777777" w:rsidR="006E7AE7" w:rsidRPr="00A442AF" w:rsidRDefault="006E7AE7" w:rsidP="009E2768">
            <w:pPr>
              <w:pStyle w:val="Bodytext"/>
            </w:pPr>
          </w:p>
        </w:tc>
      </w:tr>
      <w:tr w:rsidR="006E7AE7" w:rsidRPr="006402A5" w14:paraId="0A222E04" w14:textId="77777777" w:rsidTr="009E2768">
        <w:tc>
          <w:tcPr>
            <w:tcW w:w="6204" w:type="dxa"/>
          </w:tcPr>
          <w:p w14:paraId="104349E2" w14:textId="77777777" w:rsidR="006E7AE7" w:rsidRPr="00A442AF" w:rsidRDefault="006E7AE7" w:rsidP="009E2768">
            <w:pPr>
              <w:pStyle w:val="Bodytext"/>
            </w:pPr>
          </w:p>
        </w:tc>
        <w:tc>
          <w:tcPr>
            <w:tcW w:w="1275" w:type="dxa"/>
          </w:tcPr>
          <w:p w14:paraId="00760F17" w14:textId="77777777" w:rsidR="006E7AE7" w:rsidRPr="00A442AF" w:rsidRDefault="006E7AE7" w:rsidP="009E2768">
            <w:pPr>
              <w:pStyle w:val="Bodytext"/>
            </w:pPr>
          </w:p>
        </w:tc>
        <w:tc>
          <w:tcPr>
            <w:tcW w:w="1560" w:type="dxa"/>
          </w:tcPr>
          <w:p w14:paraId="4C2D8A5F" w14:textId="77777777" w:rsidR="006E7AE7" w:rsidRPr="00A442AF" w:rsidRDefault="006E7AE7" w:rsidP="009E2768">
            <w:pPr>
              <w:pStyle w:val="Bodytext"/>
            </w:pPr>
          </w:p>
        </w:tc>
      </w:tr>
    </w:tbl>
    <w:p w14:paraId="5C4C03AD" w14:textId="77777777" w:rsidR="006E7AE7" w:rsidRPr="00DB5876" w:rsidRDefault="006E7AE7" w:rsidP="006E7AE7"/>
    <w:p w14:paraId="6B35F4D6" w14:textId="77777777" w:rsidR="006E7AE7" w:rsidRPr="006402A5" w:rsidRDefault="006E7AE7" w:rsidP="006E7AE7">
      <w:pPr>
        <w:pStyle w:val="Heading2"/>
      </w:pPr>
      <w:r w:rsidRPr="006402A5">
        <w:t>SECTION H: TENDERING FOR SERVICES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AF76AB" w14:paraId="4FEA7A4C" w14:textId="77777777" w:rsidTr="009E2768">
        <w:trPr>
          <w:tblHeader/>
        </w:trPr>
        <w:tc>
          <w:tcPr>
            <w:tcW w:w="6204" w:type="dxa"/>
          </w:tcPr>
          <w:p w14:paraId="0FFEB2A7" w14:textId="77777777" w:rsidR="006E7AE7" w:rsidRPr="00AF76AB" w:rsidRDefault="006E7AE7" w:rsidP="009E2768">
            <w:pPr>
              <w:pStyle w:val="Bodytext"/>
              <w:rPr>
                <w:b/>
              </w:rPr>
            </w:pPr>
            <w:r w:rsidRPr="00AF76AB">
              <w:rPr>
                <w:b/>
              </w:rPr>
              <w:t xml:space="preserve">Tendering for </w:t>
            </w:r>
            <w:r>
              <w:rPr>
                <w:b/>
              </w:rPr>
              <w:t>s</w:t>
            </w:r>
            <w:r w:rsidRPr="00AF76AB">
              <w:rPr>
                <w:b/>
              </w:rPr>
              <w:t>ervices</w:t>
            </w:r>
          </w:p>
        </w:tc>
        <w:tc>
          <w:tcPr>
            <w:tcW w:w="1275" w:type="dxa"/>
          </w:tcPr>
          <w:p w14:paraId="39185C5A" w14:textId="77777777" w:rsidR="006E7AE7" w:rsidRPr="00AF76AB" w:rsidRDefault="006E7AE7" w:rsidP="009E2768">
            <w:pPr>
              <w:pStyle w:val="Bodytext"/>
              <w:rPr>
                <w:b/>
              </w:rPr>
            </w:pPr>
            <w:r w:rsidRPr="00AF76AB">
              <w:rPr>
                <w:b/>
              </w:rPr>
              <w:t>Deadline</w:t>
            </w:r>
          </w:p>
        </w:tc>
        <w:tc>
          <w:tcPr>
            <w:tcW w:w="1560" w:type="dxa"/>
          </w:tcPr>
          <w:p w14:paraId="769BBE8F" w14:textId="77777777" w:rsidR="006E7AE7" w:rsidRPr="00AF76AB" w:rsidRDefault="006E7AE7" w:rsidP="009E2768">
            <w:pPr>
              <w:pStyle w:val="Bodytext"/>
              <w:rPr>
                <w:b/>
              </w:rPr>
            </w:pPr>
            <w:r w:rsidRPr="00AF76AB">
              <w:rPr>
                <w:b/>
              </w:rPr>
              <w:t>Responsible individual</w:t>
            </w:r>
          </w:p>
        </w:tc>
      </w:tr>
      <w:tr w:rsidR="006E7AE7" w:rsidRPr="006402A5" w14:paraId="7C7EF30E" w14:textId="77777777" w:rsidTr="009E2768">
        <w:tc>
          <w:tcPr>
            <w:tcW w:w="6204" w:type="dxa"/>
          </w:tcPr>
          <w:p w14:paraId="7162834F" w14:textId="77777777" w:rsidR="006E7AE7" w:rsidRPr="00A442AF" w:rsidRDefault="006E7AE7" w:rsidP="009E2768">
            <w:pPr>
              <w:pStyle w:val="Bodytext"/>
            </w:pPr>
            <w:r w:rsidRPr="006402A5">
              <w:t>Consider the impact of the EU procurement directives on the new body (if it is a larger body than its predecessors, its contracts may be of a higher value so the EU procurement directive thresholds may breached for the first time)</w:t>
            </w:r>
          </w:p>
          <w:p w14:paraId="6B545566" w14:textId="77777777" w:rsidR="006E7AE7" w:rsidRPr="00A442AF" w:rsidRDefault="006E7AE7" w:rsidP="009E2768">
            <w:pPr>
              <w:pStyle w:val="Bodytext"/>
            </w:pPr>
            <w:r w:rsidRPr="006402A5">
              <w:t>Prepare service specifications</w:t>
            </w:r>
          </w:p>
          <w:p w14:paraId="1D5D12E2" w14:textId="77777777" w:rsidR="006E7AE7" w:rsidRPr="00A442AF" w:rsidRDefault="006E7AE7" w:rsidP="009E2768">
            <w:pPr>
              <w:pStyle w:val="Bodytext"/>
            </w:pPr>
            <w:r w:rsidRPr="006402A5">
              <w:t>Prepare draft tender and contract documents</w:t>
            </w:r>
          </w:p>
          <w:p w14:paraId="16AA2013" w14:textId="77777777" w:rsidR="006E7AE7" w:rsidRPr="00A442AF" w:rsidRDefault="006E7AE7" w:rsidP="009E2768">
            <w:pPr>
              <w:pStyle w:val="Bodytext"/>
            </w:pPr>
            <w:r w:rsidRPr="006402A5">
              <w:t>Identify potential service providers</w:t>
            </w:r>
          </w:p>
          <w:p w14:paraId="179D46AE" w14:textId="77777777" w:rsidR="006E7AE7" w:rsidRPr="00A442AF" w:rsidRDefault="006E7AE7" w:rsidP="009E2768">
            <w:pPr>
              <w:pStyle w:val="Bodytext"/>
            </w:pPr>
            <w:r w:rsidRPr="006402A5">
              <w:t>Establish tender evaluation criteria and procedures</w:t>
            </w:r>
          </w:p>
          <w:p w14:paraId="07AD4985" w14:textId="77777777" w:rsidR="006E7AE7" w:rsidRPr="00A442AF" w:rsidRDefault="006E7AE7" w:rsidP="009E2768">
            <w:pPr>
              <w:pStyle w:val="Bodytext"/>
            </w:pPr>
            <w:r w:rsidRPr="006402A5">
              <w:t>Invite tenders</w:t>
            </w:r>
          </w:p>
          <w:p w14:paraId="1DEA31A9" w14:textId="77777777" w:rsidR="006E7AE7" w:rsidRPr="00A442AF" w:rsidRDefault="006E7AE7" w:rsidP="009E2768">
            <w:pPr>
              <w:pStyle w:val="Bodytext"/>
            </w:pPr>
            <w:r>
              <w:t>Undertake i</w:t>
            </w:r>
            <w:r w:rsidRPr="006402A5">
              <w:t>nitial tender evaluation</w:t>
            </w:r>
          </w:p>
          <w:p w14:paraId="3C7FD8AB" w14:textId="77777777" w:rsidR="006E7AE7" w:rsidRPr="00A442AF" w:rsidRDefault="006E7AE7" w:rsidP="009E2768">
            <w:pPr>
              <w:pStyle w:val="Bodytext"/>
            </w:pPr>
            <w:r w:rsidRPr="006402A5">
              <w:t>Arrange interviews and presentations</w:t>
            </w:r>
          </w:p>
          <w:p w14:paraId="0FA7DB69" w14:textId="77777777" w:rsidR="006E7AE7" w:rsidRPr="00A442AF" w:rsidRDefault="006E7AE7" w:rsidP="009E2768">
            <w:pPr>
              <w:pStyle w:val="Bodytext"/>
            </w:pPr>
            <w:r w:rsidRPr="006402A5">
              <w:t>Appoint service provider</w:t>
            </w:r>
          </w:p>
          <w:p w14:paraId="359902F8" w14:textId="77777777" w:rsidR="006E7AE7" w:rsidRPr="00A442AF" w:rsidRDefault="006E7AE7" w:rsidP="009E2768">
            <w:pPr>
              <w:pStyle w:val="Bodytext"/>
            </w:pPr>
            <w:r w:rsidRPr="006402A5">
              <w:t>Agree implementation timetable</w:t>
            </w:r>
          </w:p>
          <w:p w14:paraId="4A13A3EF" w14:textId="77777777" w:rsidR="006E7AE7" w:rsidRPr="00A442AF" w:rsidRDefault="006E7AE7" w:rsidP="009E2768">
            <w:pPr>
              <w:pStyle w:val="Bodytext"/>
            </w:pPr>
            <w:r w:rsidRPr="006402A5">
              <w:t>Arrange post-implementation review</w:t>
            </w:r>
          </w:p>
        </w:tc>
        <w:tc>
          <w:tcPr>
            <w:tcW w:w="1275" w:type="dxa"/>
          </w:tcPr>
          <w:p w14:paraId="6E84D85F" w14:textId="77777777" w:rsidR="006E7AE7" w:rsidRPr="00A442AF" w:rsidRDefault="006E7AE7" w:rsidP="009E2768">
            <w:pPr>
              <w:pStyle w:val="Bodytext"/>
            </w:pPr>
          </w:p>
        </w:tc>
        <w:tc>
          <w:tcPr>
            <w:tcW w:w="1560" w:type="dxa"/>
          </w:tcPr>
          <w:p w14:paraId="796D9877" w14:textId="77777777" w:rsidR="006E7AE7" w:rsidRPr="00A442AF" w:rsidRDefault="006E7AE7" w:rsidP="009E2768">
            <w:pPr>
              <w:pStyle w:val="Bodytext"/>
            </w:pPr>
          </w:p>
        </w:tc>
      </w:tr>
      <w:tr w:rsidR="006E7AE7" w:rsidRPr="006402A5" w14:paraId="044087AE" w14:textId="77777777" w:rsidTr="009E2768">
        <w:tc>
          <w:tcPr>
            <w:tcW w:w="6204" w:type="dxa"/>
          </w:tcPr>
          <w:p w14:paraId="2D3F5A98" w14:textId="77777777" w:rsidR="006E7AE7" w:rsidRPr="00A442AF" w:rsidRDefault="006E7AE7" w:rsidP="009E2768">
            <w:pPr>
              <w:pStyle w:val="Bodytext"/>
            </w:pPr>
          </w:p>
        </w:tc>
        <w:tc>
          <w:tcPr>
            <w:tcW w:w="1275" w:type="dxa"/>
          </w:tcPr>
          <w:p w14:paraId="72835275" w14:textId="77777777" w:rsidR="006E7AE7" w:rsidRPr="00A442AF" w:rsidRDefault="006E7AE7" w:rsidP="009E2768">
            <w:pPr>
              <w:pStyle w:val="Bodytext"/>
            </w:pPr>
          </w:p>
        </w:tc>
        <w:tc>
          <w:tcPr>
            <w:tcW w:w="1560" w:type="dxa"/>
          </w:tcPr>
          <w:p w14:paraId="32FF3928" w14:textId="77777777" w:rsidR="006E7AE7" w:rsidRPr="00A442AF" w:rsidRDefault="006E7AE7" w:rsidP="009E2768">
            <w:pPr>
              <w:pStyle w:val="Bodytext"/>
            </w:pPr>
          </w:p>
        </w:tc>
      </w:tr>
      <w:tr w:rsidR="006E7AE7" w:rsidRPr="006402A5" w14:paraId="5D890236" w14:textId="77777777" w:rsidTr="009E2768">
        <w:tc>
          <w:tcPr>
            <w:tcW w:w="6204" w:type="dxa"/>
          </w:tcPr>
          <w:p w14:paraId="3AA1D103" w14:textId="77777777" w:rsidR="006E7AE7" w:rsidRPr="00A442AF" w:rsidRDefault="006E7AE7" w:rsidP="009E2768">
            <w:pPr>
              <w:pStyle w:val="Bodytext"/>
            </w:pPr>
          </w:p>
        </w:tc>
        <w:tc>
          <w:tcPr>
            <w:tcW w:w="1275" w:type="dxa"/>
          </w:tcPr>
          <w:p w14:paraId="6CDC3FC5" w14:textId="77777777" w:rsidR="006E7AE7" w:rsidRPr="00A442AF" w:rsidRDefault="006E7AE7" w:rsidP="009E2768">
            <w:pPr>
              <w:pStyle w:val="Bodytext"/>
            </w:pPr>
          </w:p>
        </w:tc>
        <w:tc>
          <w:tcPr>
            <w:tcW w:w="1560" w:type="dxa"/>
          </w:tcPr>
          <w:p w14:paraId="5887670B" w14:textId="77777777" w:rsidR="006E7AE7" w:rsidRPr="00A442AF" w:rsidRDefault="006E7AE7" w:rsidP="009E2768">
            <w:pPr>
              <w:pStyle w:val="Bodytext"/>
            </w:pPr>
          </w:p>
        </w:tc>
      </w:tr>
    </w:tbl>
    <w:p w14:paraId="6C26BD10" w14:textId="77777777" w:rsidR="006E7AE7" w:rsidRPr="006402A5" w:rsidRDefault="006E7AE7" w:rsidP="006E7AE7">
      <w:pPr>
        <w:pStyle w:val="Heading2"/>
      </w:pPr>
      <w:r w:rsidRPr="006402A5">
        <w:t>SECTION I: BUSINESS COMBINATION SPECIFIC COSTS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275"/>
        <w:gridCol w:w="1560"/>
      </w:tblGrid>
      <w:tr w:rsidR="006E7AE7" w:rsidRPr="00AF76AB" w14:paraId="1FEE79D3" w14:textId="77777777" w:rsidTr="009E2768">
        <w:trPr>
          <w:tblHeader/>
        </w:trPr>
        <w:tc>
          <w:tcPr>
            <w:tcW w:w="6204" w:type="dxa"/>
          </w:tcPr>
          <w:p w14:paraId="252FFAC9" w14:textId="77777777" w:rsidR="006E7AE7" w:rsidRPr="00AF76AB" w:rsidRDefault="006E7AE7" w:rsidP="009E2768">
            <w:pPr>
              <w:pStyle w:val="Bodytext"/>
              <w:rPr>
                <w:b/>
              </w:rPr>
            </w:pPr>
            <w:r w:rsidRPr="00AF76AB">
              <w:rPr>
                <w:b/>
              </w:rPr>
              <w:t>Business combination specific costs</w:t>
            </w:r>
          </w:p>
        </w:tc>
        <w:tc>
          <w:tcPr>
            <w:tcW w:w="1275" w:type="dxa"/>
          </w:tcPr>
          <w:p w14:paraId="3CB4C11E" w14:textId="77777777" w:rsidR="006E7AE7" w:rsidRPr="00AF76AB" w:rsidRDefault="006E7AE7" w:rsidP="009E2768">
            <w:pPr>
              <w:pStyle w:val="Bodytext"/>
              <w:rPr>
                <w:b/>
              </w:rPr>
            </w:pPr>
            <w:r w:rsidRPr="00AF76AB">
              <w:rPr>
                <w:b/>
              </w:rPr>
              <w:t>Deadline</w:t>
            </w:r>
          </w:p>
        </w:tc>
        <w:tc>
          <w:tcPr>
            <w:tcW w:w="1560" w:type="dxa"/>
          </w:tcPr>
          <w:p w14:paraId="7D617C67" w14:textId="77777777" w:rsidR="006E7AE7" w:rsidRPr="00AF76AB" w:rsidRDefault="006E7AE7" w:rsidP="009E2768">
            <w:pPr>
              <w:pStyle w:val="Bodytext"/>
              <w:rPr>
                <w:b/>
              </w:rPr>
            </w:pPr>
            <w:r w:rsidRPr="00AF76AB">
              <w:rPr>
                <w:b/>
              </w:rPr>
              <w:t>Responsible individual</w:t>
            </w:r>
          </w:p>
        </w:tc>
      </w:tr>
      <w:tr w:rsidR="006E7AE7" w:rsidRPr="006402A5" w14:paraId="71621BD0" w14:textId="77777777" w:rsidTr="009E2768">
        <w:tc>
          <w:tcPr>
            <w:tcW w:w="6204" w:type="dxa"/>
          </w:tcPr>
          <w:p w14:paraId="1AC4579D" w14:textId="77777777" w:rsidR="006E7AE7" w:rsidRPr="00A442AF" w:rsidRDefault="006E7AE7" w:rsidP="009E2768">
            <w:pPr>
              <w:pStyle w:val="Bodytext"/>
            </w:pPr>
            <w:r w:rsidRPr="00EB11C9">
              <w:t>Identify those costs which will be incurred directly as a result of the reorganisation, such as:</w:t>
            </w:r>
          </w:p>
          <w:p w14:paraId="7961F235" w14:textId="77777777" w:rsidR="006E7AE7" w:rsidRPr="00A442AF" w:rsidRDefault="006E7AE7" w:rsidP="009E2768">
            <w:pPr>
              <w:pStyle w:val="Bodytext"/>
            </w:pPr>
            <w:r>
              <w:lastRenderedPageBreak/>
              <w:t>Training and new organisational induction</w:t>
            </w:r>
          </w:p>
          <w:p w14:paraId="3D95C2BB" w14:textId="77777777" w:rsidR="006E7AE7" w:rsidRPr="00A442AF" w:rsidRDefault="006E7AE7" w:rsidP="009E2768">
            <w:pPr>
              <w:pStyle w:val="Bullet"/>
            </w:pPr>
            <w:r>
              <w:t>b</w:t>
            </w:r>
            <w:r w:rsidRPr="006402A5">
              <w:t>randing</w:t>
            </w:r>
          </w:p>
          <w:p w14:paraId="355C53EE" w14:textId="77777777" w:rsidR="006E7AE7" w:rsidRPr="00A442AF" w:rsidRDefault="006E7AE7" w:rsidP="009E2768">
            <w:pPr>
              <w:pStyle w:val="Bullet"/>
            </w:pPr>
            <w:r>
              <w:t>s</w:t>
            </w:r>
            <w:r w:rsidRPr="006402A5">
              <w:t>ignage</w:t>
            </w:r>
          </w:p>
          <w:p w14:paraId="320C9CB1" w14:textId="77777777" w:rsidR="006E7AE7" w:rsidRPr="00A442AF" w:rsidRDefault="006E7AE7" w:rsidP="009E2768">
            <w:pPr>
              <w:pStyle w:val="Bullet"/>
            </w:pPr>
            <w:r>
              <w:t>u</w:t>
            </w:r>
            <w:r w:rsidRPr="006402A5">
              <w:t>niforms</w:t>
            </w:r>
          </w:p>
          <w:p w14:paraId="28E3F3DD" w14:textId="77777777" w:rsidR="006E7AE7" w:rsidRPr="00A442AF" w:rsidRDefault="006E7AE7" w:rsidP="009E2768">
            <w:pPr>
              <w:pStyle w:val="Bullet"/>
            </w:pPr>
            <w:r>
              <w:t>c</w:t>
            </w:r>
            <w:r w:rsidRPr="006402A5">
              <w:t>ontract termination costs</w:t>
            </w:r>
          </w:p>
          <w:p w14:paraId="4C0F3CA7" w14:textId="77777777" w:rsidR="006E7AE7" w:rsidRPr="00A442AF" w:rsidRDefault="006E7AE7" w:rsidP="009E2768">
            <w:pPr>
              <w:pStyle w:val="Bullet"/>
            </w:pPr>
            <w:r>
              <w:t>w</w:t>
            </w:r>
            <w:r w:rsidRPr="006402A5">
              <w:t>ebsite costs</w:t>
            </w:r>
          </w:p>
          <w:p w14:paraId="7F96A490" w14:textId="77777777" w:rsidR="006E7AE7" w:rsidRPr="00A442AF" w:rsidRDefault="006E7AE7" w:rsidP="009E2768">
            <w:pPr>
              <w:pStyle w:val="Bullet"/>
            </w:pPr>
            <w:r>
              <w:t>r</w:t>
            </w:r>
            <w:r w:rsidRPr="006402A5">
              <w:t>ewriting and reprinting corporate publications</w:t>
            </w:r>
          </w:p>
          <w:p w14:paraId="5134169B" w14:textId="77777777" w:rsidR="006E7AE7" w:rsidRPr="00A442AF" w:rsidRDefault="006E7AE7" w:rsidP="009E2768">
            <w:pPr>
              <w:pStyle w:val="Bodytext"/>
            </w:pPr>
            <w:r w:rsidRPr="006402A5">
              <w:t>Ensure that the relevant costs are included in the new body’s budget</w:t>
            </w:r>
          </w:p>
          <w:p w14:paraId="56542088" w14:textId="77777777" w:rsidR="006E7AE7" w:rsidRPr="00A442AF" w:rsidRDefault="006E7AE7" w:rsidP="009E2768">
            <w:pPr>
              <w:pStyle w:val="Bodytext"/>
            </w:pPr>
            <w:r w:rsidRPr="006402A5">
              <w:t>Where necessary, tender for contracts</w:t>
            </w:r>
          </w:p>
          <w:p w14:paraId="7470F4A5" w14:textId="77777777" w:rsidR="006E7AE7" w:rsidRPr="00A442AF" w:rsidRDefault="006E7AE7" w:rsidP="009E2768">
            <w:pPr>
              <w:pStyle w:val="Bodytext"/>
            </w:pPr>
            <w:r w:rsidRPr="006402A5">
              <w:t>Identify appropriate budget managers and ensure that they understand their responsibilities</w:t>
            </w:r>
          </w:p>
          <w:p w14:paraId="2C6645B8" w14:textId="77777777" w:rsidR="006E7AE7" w:rsidRPr="00A442AF" w:rsidRDefault="006E7AE7" w:rsidP="009E2768">
            <w:pPr>
              <w:pStyle w:val="Bodytext"/>
            </w:pPr>
            <w:r w:rsidRPr="006402A5">
              <w:t>Identify the indirect costs of the reorganisation</w:t>
            </w:r>
            <w:r>
              <w:t xml:space="preserve"> –</w:t>
            </w:r>
            <w:r w:rsidRPr="006402A5">
              <w:t xml:space="preserve"> for example, managers’ time in integration meetings. Assess this cost and determine whether additional resource is required to ensure that the day to day work is not neglected</w:t>
            </w:r>
          </w:p>
          <w:p w14:paraId="6A8D6D59" w14:textId="77777777" w:rsidR="006E7AE7" w:rsidRPr="00A442AF" w:rsidRDefault="006E7AE7" w:rsidP="009E2768">
            <w:pPr>
              <w:pStyle w:val="Bodytext"/>
            </w:pPr>
            <w:r w:rsidRPr="006402A5">
              <w:t>Identify the day to day work which does not need to be done as a result of the reorganisation (for example, staff working at a demising body do not need to prepare financial plans as this will be done by the new bod</w:t>
            </w:r>
            <w:r>
              <w:t>y</w:t>
            </w:r>
            <w:r w:rsidRPr="006402A5">
              <w:t>) and ensure that this time is being used productively</w:t>
            </w:r>
          </w:p>
        </w:tc>
        <w:tc>
          <w:tcPr>
            <w:tcW w:w="1275" w:type="dxa"/>
          </w:tcPr>
          <w:p w14:paraId="4EA8D070" w14:textId="77777777" w:rsidR="006E7AE7" w:rsidRPr="00A442AF" w:rsidRDefault="006E7AE7" w:rsidP="009E2768">
            <w:pPr>
              <w:pStyle w:val="Bodytext"/>
            </w:pPr>
          </w:p>
        </w:tc>
        <w:tc>
          <w:tcPr>
            <w:tcW w:w="1560" w:type="dxa"/>
          </w:tcPr>
          <w:p w14:paraId="3D51421D" w14:textId="77777777" w:rsidR="006E7AE7" w:rsidRPr="00A442AF" w:rsidRDefault="006E7AE7" w:rsidP="009E2768">
            <w:pPr>
              <w:pStyle w:val="Bodytext"/>
            </w:pPr>
          </w:p>
        </w:tc>
      </w:tr>
      <w:tr w:rsidR="006E7AE7" w:rsidRPr="006402A5" w14:paraId="22C1A66B" w14:textId="77777777" w:rsidTr="009E2768">
        <w:tc>
          <w:tcPr>
            <w:tcW w:w="6204" w:type="dxa"/>
          </w:tcPr>
          <w:p w14:paraId="5BD1ED20" w14:textId="77777777" w:rsidR="006E7AE7" w:rsidRPr="00A442AF" w:rsidRDefault="006E7AE7" w:rsidP="009E2768">
            <w:pPr>
              <w:pStyle w:val="Bodytext"/>
            </w:pPr>
          </w:p>
        </w:tc>
        <w:tc>
          <w:tcPr>
            <w:tcW w:w="1275" w:type="dxa"/>
          </w:tcPr>
          <w:p w14:paraId="1F82DA7D" w14:textId="77777777" w:rsidR="006E7AE7" w:rsidRPr="00A442AF" w:rsidRDefault="006E7AE7" w:rsidP="009E2768">
            <w:pPr>
              <w:pStyle w:val="Bodytext"/>
            </w:pPr>
          </w:p>
        </w:tc>
        <w:tc>
          <w:tcPr>
            <w:tcW w:w="1560" w:type="dxa"/>
          </w:tcPr>
          <w:p w14:paraId="7A04BC88" w14:textId="77777777" w:rsidR="006E7AE7" w:rsidRPr="00A442AF" w:rsidRDefault="006E7AE7" w:rsidP="009E2768">
            <w:pPr>
              <w:pStyle w:val="Bodytext"/>
            </w:pPr>
          </w:p>
        </w:tc>
      </w:tr>
      <w:tr w:rsidR="006E7AE7" w:rsidRPr="006402A5" w14:paraId="15CE1B95" w14:textId="77777777" w:rsidTr="009E2768">
        <w:tc>
          <w:tcPr>
            <w:tcW w:w="6204" w:type="dxa"/>
          </w:tcPr>
          <w:p w14:paraId="7A1A17D5" w14:textId="77777777" w:rsidR="006E7AE7" w:rsidRPr="00A442AF" w:rsidRDefault="006E7AE7" w:rsidP="009E2768">
            <w:pPr>
              <w:pStyle w:val="Bodytext"/>
            </w:pPr>
          </w:p>
        </w:tc>
        <w:tc>
          <w:tcPr>
            <w:tcW w:w="1275" w:type="dxa"/>
          </w:tcPr>
          <w:p w14:paraId="561132B9" w14:textId="77777777" w:rsidR="006E7AE7" w:rsidRPr="00A442AF" w:rsidRDefault="006E7AE7" w:rsidP="009E2768">
            <w:pPr>
              <w:pStyle w:val="Bodytext"/>
            </w:pPr>
          </w:p>
        </w:tc>
        <w:tc>
          <w:tcPr>
            <w:tcW w:w="1560" w:type="dxa"/>
          </w:tcPr>
          <w:p w14:paraId="6CD3D638" w14:textId="77777777" w:rsidR="006E7AE7" w:rsidRPr="00A442AF" w:rsidRDefault="006E7AE7" w:rsidP="009E2768">
            <w:pPr>
              <w:pStyle w:val="Bodytext"/>
            </w:pPr>
          </w:p>
        </w:tc>
      </w:tr>
    </w:tbl>
    <w:p w14:paraId="1F04D2B6" w14:textId="77777777" w:rsidR="006E7AE7" w:rsidRPr="006402A5" w:rsidRDefault="006E7AE7" w:rsidP="006E7AE7">
      <w:pPr>
        <w:rPr>
          <w:rFonts w:cs="Arial"/>
          <w:szCs w:val="22"/>
        </w:rPr>
      </w:pPr>
    </w:p>
    <w:p w14:paraId="60A7BD01" w14:textId="0F71F40C" w:rsidR="00DA0B6C" w:rsidRDefault="00DA0B6C" w:rsidP="006E7AE7">
      <w:pPr>
        <w:pStyle w:val="Subheading1"/>
      </w:pPr>
    </w:p>
    <w:sectPr w:rsidR="00DA0B6C" w:rsidSect="001B3BE7">
      <w:headerReference w:type="even" r:id="rId11"/>
      <w:footerReference w:type="even" r:id="rId12"/>
      <w:footerReference w:type="default" r:id="rId13"/>
      <w:headerReference w:type="first" r:id="rId14"/>
      <w:footerReference w:type="first" r:id="rId15"/>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4171" w14:textId="77777777" w:rsidR="00506B91" w:rsidRDefault="00506B91" w:rsidP="00332E60">
      <w:r>
        <w:separator/>
      </w:r>
    </w:p>
    <w:p w14:paraId="21D44C6B" w14:textId="77777777" w:rsidR="00506B91" w:rsidRDefault="00506B91"/>
    <w:p w14:paraId="68845978" w14:textId="77777777" w:rsidR="00506B91" w:rsidRDefault="00506B91"/>
  </w:endnote>
  <w:endnote w:type="continuationSeparator" w:id="0">
    <w:p w14:paraId="387ED41D" w14:textId="77777777" w:rsidR="00506B91" w:rsidRDefault="00506B91" w:rsidP="00332E60">
      <w:r>
        <w:continuationSeparator/>
      </w:r>
    </w:p>
    <w:p w14:paraId="749C3061" w14:textId="77777777" w:rsidR="00506B91" w:rsidRDefault="00506B91"/>
    <w:p w14:paraId="26F8DCE5" w14:textId="77777777" w:rsidR="00506B91" w:rsidRDefault="00506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2071" w14:textId="77777777" w:rsidR="00850117" w:rsidRPr="002F2963" w:rsidRDefault="00850117"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850117" w:rsidRPr="001D08D2" w14:paraId="61C82B80" w14:textId="77777777" w:rsidTr="006E0B96">
      <w:trPr>
        <w:trHeight w:val="391"/>
      </w:trPr>
      <w:tc>
        <w:tcPr>
          <w:tcW w:w="5935" w:type="dxa"/>
          <w:shd w:val="clear" w:color="auto" w:fill="auto"/>
          <w:vAlign w:val="bottom"/>
        </w:tcPr>
        <w:p w14:paraId="01A18751" w14:textId="77777777" w:rsidR="00850117" w:rsidRPr="001D08D2" w:rsidRDefault="00850117"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2CD0CFFF" w14:textId="77777777" w:rsidR="00850117" w:rsidRPr="001D08D2" w:rsidRDefault="00850117" w:rsidP="006B4F83">
          <w:pPr>
            <w:rPr>
              <w:color w:val="424141"/>
            </w:rPr>
          </w:pPr>
        </w:p>
      </w:tc>
    </w:tr>
  </w:tbl>
  <w:p w14:paraId="5739A5E0" w14:textId="77777777" w:rsidR="00850117" w:rsidRDefault="00850117"/>
  <w:p w14:paraId="599D78C3" w14:textId="77777777" w:rsidR="00850117" w:rsidRDefault="00850117"/>
  <w:p w14:paraId="092EAA62" w14:textId="77777777" w:rsidR="00850117" w:rsidRDefault="00850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850117" w:rsidRPr="001D08D2" w14:paraId="6422129E" w14:textId="77777777" w:rsidTr="00450327">
      <w:trPr>
        <w:trHeight w:val="411"/>
      </w:trPr>
      <w:tc>
        <w:tcPr>
          <w:tcW w:w="7938" w:type="dxa"/>
          <w:shd w:val="clear" w:color="auto" w:fill="auto"/>
          <w:vAlign w:val="center"/>
        </w:tcPr>
        <w:p w14:paraId="04335DEF" w14:textId="755ACA06" w:rsidR="00850117" w:rsidRPr="001D08D2" w:rsidRDefault="00850117" w:rsidP="00450327">
          <w:pPr>
            <w:pStyle w:val="Footer1"/>
            <w:framePr w:hSpace="0" w:wrap="auto" w:vAnchor="margin" w:hAnchor="text" w:xAlign="left" w:yAlign="inline"/>
          </w:pPr>
          <w:r w:rsidRPr="00450327">
            <w:t>HFMA</w:t>
          </w:r>
          <w:r>
            <w:t xml:space="preserve"> </w:t>
          </w:r>
          <w:r w:rsidR="006E7AE7">
            <w:rPr>
              <w:b w:val="0"/>
              <w:color w:val="1C1C1C"/>
            </w:rPr>
            <w:t>Combining NHS bodies</w:t>
          </w:r>
        </w:p>
      </w:tc>
      <w:tc>
        <w:tcPr>
          <w:tcW w:w="1985" w:type="dxa"/>
          <w:shd w:val="clear" w:color="auto" w:fill="auto"/>
          <w:vAlign w:val="bottom"/>
        </w:tcPr>
        <w:p w14:paraId="41A74030" w14:textId="77777777" w:rsidR="00850117" w:rsidRDefault="00850117" w:rsidP="00450327">
          <w:pPr>
            <w:pStyle w:val="Footer"/>
            <w:jc w:val="right"/>
            <w:rPr>
              <w:b/>
              <w:color w:val="1C1C1C"/>
              <w:sz w:val="16"/>
              <w:szCs w:val="16"/>
            </w:rPr>
          </w:pPr>
        </w:p>
        <w:p w14:paraId="48564B47" w14:textId="73E4A03A" w:rsidR="00850117" w:rsidRPr="00BF6132" w:rsidRDefault="00850117"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375B23">
            <w:rPr>
              <w:rStyle w:val="PageNumber"/>
              <w:noProof/>
              <w:sz w:val="16"/>
              <w:szCs w:val="16"/>
            </w:rPr>
            <w:t>21</w:t>
          </w:r>
          <w:r w:rsidRPr="00BF6132">
            <w:rPr>
              <w:rStyle w:val="PageNumber"/>
              <w:sz w:val="16"/>
              <w:szCs w:val="16"/>
            </w:rPr>
            <w:fldChar w:fldCharType="end"/>
          </w:r>
        </w:p>
        <w:p w14:paraId="3192B477" w14:textId="77777777" w:rsidR="00850117" w:rsidRPr="00450327" w:rsidRDefault="00850117" w:rsidP="00450327">
          <w:pPr>
            <w:pStyle w:val="Footer"/>
            <w:jc w:val="right"/>
            <w:rPr>
              <w:b/>
              <w:color w:val="1C1C1C"/>
              <w:sz w:val="16"/>
              <w:szCs w:val="16"/>
            </w:rPr>
          </w:pPr>
        </w:p>
      </w:tc>
    </w:tr>
  </w:tbl>
  <w:p w14:paraId="0A312BFE" w14:textId="77777777" w:rsidR="00850117" w:rsidRDefault="00850117"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850117" w:rsidRPr="00937CA8" w14:paraId="659F6D60" w14:textId="77777777" w:rsidTr="00DD7A8A">
      <w:trPr>
        <w:trHeight w:val="391"/>
      </w:trPr>
      <w:tc>
        <w:tcPr>
          <w:tcW w:w="5935" w:type="dxa"/>
          <w:shd w:val="clear" w:color="auto" w:fill="auto"/>
          <w:tcMar>
            <w:left w:w="0" w:type="dxa"/>
            <w:right w:w="0" w:type="dxa"/>
          </w:tcMar>
          <w:vAlign w:val="bottom"/>
        </w:tcPr>
        <w:p w14:paraId="182DE05D" w14:textId="77777777" w:rsidR="00850117" w:rsidRPr="006E0B96" w:rsidRDefault="00850117" w:rsidP="001B3BE7">
          <w:pPr>
            <w:pStyle w:val="Footer1"/>
            <w:framePr w:hSpace="0" w:wrap="auto" w:vAnchor="margin" w:hAnchor="text" w:xAlign="left" w:yAlign="inline"/>
          </w:pPr>
          <w:r w:rsidRPr="006E0B96">
            <w:t>Healthcare Financial Management Association</w:t>
          </w:r>
        </w:p>
      </w:tc>
      <w:tc>
        <w:tcPr>
          <w:tcW w:w="4130" w:type="dxa"/>
          <w:shd w:val="clear" w:color="auto" w:fill="auto"/>
          <w:vAlign w:val="bottom"/>
        </w:tcPr>
        <w:p w14:paraId="33051911" w14:textId="77777777" w:rsidR="00850117" w:rsidRPr="00F61191" w:rsidRDefault="00375B23" w:rsidP="001B3BE7">
          <w:pPr>
            <w:pStyle w:val="Footer1"/>
            <w:framePr w:hSpace="0" w:wrap="auto" w:vAnchor="margin" w:hAnchor="text" w:xAlign="left" w:yAlign="inline"/>
            <w:jc w:val="right"/>
            <w:rPr>
              <w:color w:val="1C1C1C"/>
            </w:rPr>
          </w:pPr>
          <w:hyperlink r:id="rId1" w:history="1">
            <w:r w:rsidR="00850117" w:rsidRPr="00F61191">
              <w:rPr>
                <w:rFonts w:cs="Arial"/>
                <w:bCs/>
                <w:color w:val="1C1C1C"/>
                <w:lang w:val="en-GB"/>
              </w:rPr>
              <w:t>www.hfma.org.uk</w:t>
            </w:r>
          </w:hyperlink>
        </w:p>
      </w:tc>
    </w:tr>
  </w:tbl>
  <w:p w14:paraId="3033F1AA" w14:textId="77777777" w:rsidR="00850117" w:rsidRDefault="00850117"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4A56" w14:textId="77777777" w:rsidR="00506B91" w:rsidRDefault="00506B91" w:rsidP="00332E60">
      <w:r>
        <w:separator/>
      </w:r>
    </w:p>
    <w:p w14:paraId="0E75A694" w14:textId="77777777" w:rsidR="00506B91" w:rsidRDefault="00506B91"/>
    <w:p w14:paraId="52842D5E" w14:textId="77777777" w:rsidR="00506B91" w:rsidRDefault="00506B91"/>
  </w:footnote>
  <w:footnote w:type="continuationSeparator" w:id="0">
    <w:p w14:paraId="66E01349" w14:textId="77777777" w:rsidR="00506B91" w:rsidRDefault="00506B91" w:rsidP="00332E60">
      <w:r>
        <w:continuationSeparator/>
      </w:r>
    </w:p>
    <w:p w14:paraId="3D50C2BE" w14:textId="77777777" w:rsidR="00506B91" w:rsidRDefault="00506B91"/>
    <w:p w14:paraId="5E4BCA17" w14:textId="77777777" w:rsidR="00506B91" w:rsidRDefault="00506B91"/>
  </w:footnote>
  <w:footnote w:id="1">
    <w:p w14:paraId="171450B5" w14:textId="77777777" w:rsidR="006E7AE7" w:rsidRDefault="006E7AE7" w:rsidP="006E7AE7">
      <w:pPr>
        <w:pStyle w:val="FootnoteText"/>
      </w:pPr>
      <w:r>
        <w:rPr>
          <w:rStyle w:val="FootnoteReference"/>
        </w:rPr>
        <w:footnoteRef/>
      </w:r>
      <w:r>
        <w:t xml:space="preserve"> All NHS bodies are required to have a remuneration committee and an audit committee.  It is for the body to decide what other sub-committees, if any, are required.</w:t>
      </w:r>
    </w:p>
  </w:footnote>
  <w:footnote w:id="2">
    <w:p w14:paraId="0168F943" w14:textId="77777777" w:rsidR="006E7AE7" w:rsidRDefault="006E7AE7" w:rsidP="006E7AE7">
      <w:pPr>
        <w:pStyle w:val="FootnoteText"/>
      </w:pPr>
      <w:r>
        <w:rPr>
          <w:rStyle w:val="FootnoteReference"/>
        </w:rPr>
        <w:footnoteRef/>
      </w:r>
      <w:r>
        <w:t xml:space="preserve"> </w:t>
      </w:r>
      <w:hyperlink r:id="rId1" w:history="1">
        <w:r w:rsidRPr="00374035">
          <w:rPr>
            <w:rStyle w:val="Hyperlink"/>
          </w:rPr>
          <w:t>https://digital.nhs.uk/organisation-data-service</w:t>
        </w:r>
      </w:hyperlink>
    </w:p>
  </w:footnote>
  <w:footnote w:id="3">
    <w:p w14:paraId="332F3A16" w14:textId="77777777" w:rsidR="006E7AE7" w:rsidRPr="00541BAC" w:rsidRDefault="006E7AE7" w:rsidP="006E7AE7">
      <w:pPr>
        <w:pStyle w:val="FootnoteText"/>
      </w:pPr>
      <w:r w:rsidRPr="00541BAC">
        <w:rPr>
          <w:rStyle w:val="FootnoteReference"/>
        </w:rPr>
        <w:footnoteRef/>
      </w:r>
      <w:r w:rsidRPr="00541BAC">
        <w:t xml:space="preserve"> Before the decision to reorganise is made there will be a due diligence process.  However, experience shows that once the decision is made the finance departments need to undertake a detailed, line by line due diligence on all </w:t>
      </w:r>
      <w:r>
        <w:t>affected bodie</w:t>
      </w:r>
      <w:r w:rsidRPr="00541BAC">
        <w:t>s</w:t>
      </w:r>
      <w:r>
        <w:t>’</w:t>
      </w:r>
      <w:r w:rsidRPr="00541BAC">
        <w:t xml:space="preserve"> accounts. This will be particularly important where an NHS body is being split between continuing bodies as it will be vital that the accounts can be split appropriately. The advice is to start this work as soon as possible, before the vesting date. The work should be done by finance staff in all of the bodies affected by the reorganisation working in a coordinated manner.</w:t>
      </w:r>
    </w:p>
  </w:footnote>
  <w:footnote w:id="4">
    <w:p w14:paraId="35D4210E" w14:textId="77777777" w:rsidR="006E7AE7" w:rsidRDefault="006E7AE7" w:rsidP="006E7AE7">
      <w:pPr>
        <w:pStyle w:val="FootnoteText"/>
        <w:keepNext/>
      </w:pPr>
      <w:r>
        <w:rPr>
          <w:rStyle w:val="FootnoteReference"/>
        </w:rPr>
        <w:footnoteRef/>
      </w:r>
      <w:r>
        <w:t xml:space="preserve"> Read the findings of the Quality Assurance Department reviews of 2014-15 audits of NHS foundation trusts in relation to part year accounts - </w:t>
      </w:r>
      <w:hyperlink r:id="rId2" w:history="1">
        <w:r w:rsidRPr="007A4565">
          <w:rPr>
            <w:rStyle w:val="Hyperlink"/>
          </w:rPr>
          <w:t>https://improvement.nhs.uk/resources/review-audits-nhs-foundation-trusts/</w:t>
        </w:r>
      </w:hyperlink>
    </w:p>
  </w:footnote>
  <w:footnote w:id="5">
    <w:p w14:paraId="2604EADF" w14:textId="77777777" w:rsidR="006E7AE7" w:rsidRDefault="006E7AE7" w:rsidP="006E7AE7">
      <w:pPr>
        <w:pStyle w:val="FootnoteText"/>
      </w:pPr>
      <w:r>
        <w:rPr>
          <w:rStyle w:val="FootnoteReference"/>
        </w:rPr>
        <w:footnoteRef/>
      </w:r>
      <w:r>
        <w:t xml:space="preserve"> </w:t>
      </w:r>
      <w:r w:rsidRPr="00541BAC">
        <w:t>For detailed guidance on patients’ monies, see Practical guide - patients’ monies and belongings, HFMA, 2017</w:t>
      </w:r>
    </w:p>
  </w:footnote>
  <w:footnote w:id="6">
    <w:p w14:paraId="25B32177" w14:textId="77777777" w:rsidR="006E7AE7" w:rsidRPr="00A760AA" w:rsidRDefault="006E7AE7" w:rsidP="006E7AE7">
      <w:pPr>
        <w:rPr>
          <w:rFonts w:cs="Arial"/>
          <w:sz w:val="20"/>
          <w:szCs w:val="20"/>
        </w:rPr>
      </w:pPr>
      <w:r w:rsidRPr="00A760AA">
        <w:rPr>
          <w:rStyle w:val="FootnoteReference"/>
          <w:rFonts w:cs="Arial"/>
          <w:sz w:val="20"/>
          <w:szCs w:val="20"/>
        </w:rPr>
        <w:footnoteRef/>
      </w:r>
      <w:r w:rsidRPr="00A760AA">
        <w:rPr>
          <w:rFonts w:cs="Arial"/>
          <w:sz w:val="20"/>
          <w:szCs w:val="20"/>
        </w:rPr>
        <w:t xml:space="preserve"> The human resources team should be closely involved in all stages of the process when establishing payroll arrangements for the new NHS body. Indeed it may be that the human resources director has responsibility for payroll, in which case the finance team needs to be closely involved with him or her.</w:t>
      </w:r>
    </w:p>
    <w:p w14:paraId="64178B66" w14:textId="77777777" w:rsidR="006E7AE7" w:rsidRDefault="006E7AE7" w:rsidP="006E7AE7">
      <w:pPr>
        <w:pStyle w:val="FootnoteText"/>
      </w:pPr>
    </w:p>
  </w:footnote>
  <w:footnote w:id="7">
    <w:p w14:paraId="764BB898" w14:textId="77777777" w:rsidR="006E7AE7" w:rsidRDefault="006E7AE7" w:rsidP="006E7AE7">
      <w:pPr>
        <w:pStyle w:val="FootnoteText"/>
      </w:pPr>
      <w:r>
        <w:rPr>
          <w:rStyle w:val="FootnoteReference"/>
        </w:rPr>
        <w:footnoteRef/>
      </w:r>
      <w:r>
        <w:t xml:space="preserve"> </w:t>
      </w:r>
      <w:hyperlink r:id="rId3" w:history="1">
        <w:r w:rsidRPr="007E3C93">
          <w:rPr>
            <w:rStyle w:val="Hyperlink"/>
          </w:rPr>
          <w:t>www.gov.uk/government/publications/nhs-injury-cost-recovery-scheme</w:t>
        </w:r>
      </w:hyperlink>
    </w:p>
  </w:footnote>
  <w:footnote w:id="8">
    <w:p w14:paraId="51F598AD" w14:textId="77777777" w:rsidR="006E7AE7" w:rsidRDefault="006E7AE7" w:rsidP="006E7AE7">
      <w:pPr>
        <w:pStyle w:val="FootnoteText"/>
      </w:pPr>
      <w:r>
        <w:rPr>
          <w:rStyle w:val="FootnoteReference"/>
        </w:rPr>
        <w:footnoteRef/>
      </w:r>
      <w:r>
        <w:t xml:space="preserve"> A legal charge will often arise when a third party provides finance to purchase a property.  That third party will be entitled to some of the sale proceeds in the event that the property is sold.</w:t>
      </w:r>
    </w:p>
  </w:footnote>
  <w:footnote w:id="9">
    <w:p w14:paraId="55EF0F9F" w14:textId="77777777" w:rsidR="006E7AE7" w:rsidRDefault="006E7AE7" w:rsidP="006E7AE7">
      <w:pPr>
        <w:pStyle w:val="FootnoteText"/>
      </w:pPr>
      <w:r>
        <w:rPr>
          <w:rStyle w:val="FootnoteReference"/>
        </w:rPr>
        <w:footnoteRef/>
      </w:r>
      <w:r>
        <w:t xml:space="preserve"> There is no automatic requirement for a revaluation of non-current assets as a result of a reorganisation. However, if valuation methodologies are different or the reorganisation causes changes to useful economic lives then a revaluation may be required.</w:t>
      </w:r>
    </w:p>
  </w:footnote>
  <w:footnote w:id="10">
    <w:p w14:paraId="4F371A62" w14:textId="77777777" w:rsidR="006E7AE7" w:rsidRPr="00127BB9" w:rsidRDefault="006E7AE7" w:rsidP="006E7AE7">
      <w:pPr>
        <w:rPr>
          <w:rFonts w:cs="Arial"/>
          <w:sz w:val="20"/>
          <w:szCs w:val="20"/>
        </w:rPr>
      </w:pPr>
      <w:r w:rsidRPr="00127BB9">
        <w:rPr>
          <w:rStyle w:val="FootnoteReference"/>
          <w:rFonts w:cs="Arial"/>
          <w:sz w:val="20"/>
          <w:szCs w:val="20"/>
        </w:rPr>
        <w:footnoteRef/>
      </w:r>
      <w:r w:rsidRPr="00127BB9">
        <w:rPr>
          <w:rFonts w:cs="Arial"/>
          <w:sz w:val="20"/>
          <w:szCs w:val="20"/>
        </w:rPr>
        <w:t xml:space="preserve"> </w:t>
      </w:r>
      <w:r w:rsidRPr="008D5C2B">
        <w:rPr>
          <w:rFonts w:cs="Arial"/>
          <w:sz w:val="20"/>
          <w:szCs w:val="20"/>
        </w:rPr>
        <w:t xml:space="preserve">Consult the latest guidance on the Department of Health’s website </w:t>
      </w:r>
      <w:r>
        <w:rPr>
          <w:rFonts w:cs="Arial"/>
          <w:sz w:val="20"/>
          <w:szCs w:val="20"/>
        </w:rPr>
        <w:t>(</w:t>
      </w:r>
      <w:hyperlink r:id="rId4" w:history="1">
        <w:r w:rsidRPr="005E0951">
          <w:rPr>
            <w:rStyle w:val="Hyperlink"/>
            <w:rFonts w:cs="Arial"/>
            <w:sz w:val="20"/>
            <w:szCs w:val="20"/>
          </w:rPr>
          <w:t>www.gov.uk/government/collections/department-of-health-group-accounting-guidance</w:t>
        </w:r>
      </w:hyperlink>
      <w:r>
        <w:rPr>
          <w:rFonts w:cs="Arial"/>
          <w:sz w:val="20"/>
          <w:szCs w:val="20"/>
        </w:rPr>
        <w:t xml:space="preserve">) </w:t>
      </w:r>
      <w:r w:rsidRPr="008D5C2B">
        <w:rPr>
          <w:rFonts w:cs="Arial"/>
          <w:sz w:val="20"/>
          <w:szCs w:val="20"/>
        </w:rPr>
        <w:t>for detailed advice on accounting issues</w:t>
      </w:r>
      <w:r w:rsidRPr="00127BB9">
        <w:rPr>
          <w:rFonts w:cs="Arial"/>
          <w:sz w:val="20"/>
          <w:szCs w:val="20"/>
        </w:rPr>
        <w:t>.</w:t>
      </w:r>
    </w:p>
  </w:footnote>
  <w:footnote w:id="11">
    <w:p w14:paraId="0FFBF05B" w14:textId="77777777" w:rsidR="006E7AE7" w:rsidRDefault="006E7AE7" w:rsidP="006E7AE7">
      <w:pPr>
        <w:pStyle w:val="FootnoteText"/>
      </w:pPr>
      <w:r>
        <w:rPr>
          <w:rStyle w:val="FootnoteReference"/>
        </w:rPr>
        <w:footnoteRef/>
      </w:r>
      <w:r>
        <w:t xml:space="preserve"> This list is not exhaustive.  It should be noted that some of these reports, for example the quality report, cover a full year so arrangements need to be put in place to ensure that the necessary information and assurance is available for the full year</w:t>
      </w:r>
    </w:p>
  </w:footnote>
  <w:footnote w:id="12">
    <w:p w14:paraId="4F4082DD" w14:textId="77777777" w:rsidR="006E7AE7" w:rsidRPr="006060F5" w:rsidRDefault="006E7AE7" w:rsidP="006E7AE7">
      <w:pPr>
        <w:pStyle w:val="FootnoteText"/>
        <w:rPr>
          <w:szCs w:val="18"/>
        </w:rPr>
      </w:pPr>
      <w:r w:rsidRPr="00864ECB">
        <w:rPr>
          <w:rStyle w:val="FootnoteReference"/>
        </w:rPr>
        <w:footnoteRef/>
      </w:r>
      <w:r w:rsidRPr="00864ECB">
        <w:t xml:space="preserve"> </w:t>
      </w:r>
      <w:r w:rsidRPr="006060F5">
        <w:rPr>
          <w:szCs w:val="18"/>
        </w:rPr>
        <w:t xml:space="preserve">This checklist assumes that there is a corporate trustee arrangement. Where there are independent trustees consult the Charity Commission </w:t>
      </w:r>
    </w:p>
  </w:footnote>
  <w:footnote w:id="13">
    <w:p w14:paraId="78E92DC6" w14:textId="77777777" w:rsidR="006E7AE7" w:rsidRPr="006060F5" w:rsidRDefault="006E7AE7" w:rsidP="006E7AE7">
      <w:pPr>
        <w:rPr>
          <w:sz w:val="18"/>
          <w:szCs w:val="18"/>
        </w:rPr>
      </w:pPr>
      <w:r w:rsidRPr="006060F5">
        <w:rPr>
          <w:rStyle w:val="FootnoteReference"/>
          <w:rFonts w:cs="Arial"/>
          <w:szCs w:val="18"/>
        </w:rPr>
        <w:footnoteRef/>
      </w:r>
      <w:r w:rsidRPr="006060F5">
        <w:rPr>
          <w:rFonts w:cs="Arial"/>
          <w:sz w:val="18"/>
          <w:szCs w:val="18"/>
        </w:rPr>
        <w:t xml:space="preserve"> For more details about charitable funds see NHS Charitable Funds: a Practical Guide, HFMA, 2015.</w:t>
      </w:r>
    </w:p>
  </w:footnote>
  <w:footnote w:id="14">
    <w:p w14:paraId="248E0ECD" w14:textId="77777777" w:rsidR="006E7AE7" w:rsidRDefault="006E7AE7" w:rsidP="006E7AE7">
      <w:pPr>
        <w:pStyle w:val="FootnoteText"/>
      </w:pPr>
      <w:r>
        <w:rPr>
          <w:rStyle w:val="FootnoteReference"/>
        </w:rPr>
        <w:footnoteRef/>
      </w:r>
      <w:r>
        <w:t xml:space="preserve"> It is unlikely that a transfer order or Statutory Instrument will be required – see section 3 of the Department of Health’s guidance on NHS funds held on trust </w:t>
      </w:r>
      <w:hyperlink r:id="rId5" w:history="1">
        <w:r w:rsidRPr="000F79A4">
          <w:rPr>
            <w:rStyle w:val="Hyperlink"/>
          </w:rPr>
          <w:t>www.gov.uk/government/uploads/system/uploads/attachment_data/file/640425/NHS_Funds_held_on_Trust_FINAL.pdf</w:t>
        </w:r>
      </w:hyperlink>
    </w:p>
  </w:footnote>
  <w:footnote w:id="15">
    <w:p w14:paraId="78DA8A56" w14:textId="77777777" w:rsidR="006E7AE7" w:rsidRDefault="006E7AE7" w:rsidP="006E7AE7">
      <w:pPr>
        <w:pStyle w:val="FootnoteText"/>
      </w:pPr>
      <w:r>
        <w:rPr>
          <w:rStyle w:val="FootnoteReference"/>
        </w:rPr>
        <w:footnoteRef/>
      </w:r>
      <w:r>
        <w:t xml:space="preserve"> This may be due to a change in materiality levels or may be due to different trustee arrangements between the NHS bodies involved in the reorganisation, for example, one of the NHS bodies may be a corporate trustee while the other has an independent charity (previously a special trustee or s151 trustee arrangement)</w:t>
      </w:r>
    </w:p>
  </w:footnote>
  <w:footnote w:id="16">
    <w:p w14:paraId="72FA0A76" w14:textId="77777777" w:rsidR="006E7AE7" w:rsidRPr="00864ECB" w:rsidRDefault="006E7AE7" w:rsidP="006E7AE7">
      <w:pPr>
        <w:pStyle w:val="FootnoteText"/>
      </w:pPr>
      <w:r w:rsidRPr="006060F5">
        <w:rPr>
          <w:rStyle w:val="FootnoteReference"/>
          <w:szCs w:val="18"/>
        </w:rPr>
        <w:footnoteRef/>
      </w:r>
      <w:r w:rsidRPr="006060F5">
        <w:rPr>
          <w:szCs w:val="18"/>
        </w:rPr>
        <w:t xml:space="preserve"> There is no requirement to sell all of a charity’s investments prior to transfer but it may be considered as a simpler approach to transferring stocks and shares</w:t>
      </w:r>
    </w:p>
  </w:footnote>
  <w:footnote w:id="17">
    <w:p w14:paraId="7D704F91" w14:textId="77777777" w:rsidR="006E7AE7" w:rsidRDefault="006E7AE7" w:rsidP="006E7AE7">
      <w:pPr>
        <w:pStyle w:val="FootnoteText"/>
      </w:pPr>
      <w:r>
        <w:rPr>
          <w:rStyle w:val="FootnoteReference"/>
        </w:rPr>
        <w:footnoteRef/>
      </w:r>
      <w:r>
        <w:t xml:space="preserve"> See </w:t>
      </w:r>
      <w:hyperlink r:id="rId6" w:history="1">
        <w:r w:rsidRPr="00F36D3D">
          <w:rPr>
            <w:rStyle w:val="Hyperlink"/>
          </w:rPr>
          <w:t>https://improvement.nhs.uk/uploads/documents/Guidance_on_the_market_forces_factor_caqqjIe.pdf</w:t>
        </w:r>
      </w:hyperlink>
      <w:r>
        <w:t xml:space="preserve"> t</w:t>
      </w:r>
    </w:p>
  </w:footnote>
  <w:footnote w:id="18">
    <w:p w14:paraId="58A973DF" w14:textId="77777777" w:rsidR="006E7AE7" w:rsidRPr="000B4636" w:rsidRDefault="006E7AE7" w:rsidP="006E7AE7">
      <w:pPr>
        <w:pStyle w:val="FootnoteText"/>
      </w:pPr>
      <w:r w:rsidRPr="000B4636">
        <w:rPr>
          <w:rStyle w:val="FootnoteReference"/>
        </w:rPr>
        <w:footnoteRef/>
      </w:r>
      <w:r w:rsidRPr="000B4636">
        <w:t xml:space="preserve"> </w:t>
      </w:r>
      <w:hyperlink r:id="rId7" w:history="1">
        <w:r w:rsidRPr="000B4636">
          <w:rPr>
            <w:rStyle w:val="Hyperlink"/>
            <w:sz w:val="20"/>
          </w:rPr>
          <w:t>https://improvement.nhs.uk/resources/approved-costing-guidance/</w:t>
        </w:r>
      </w:hyperlink>
    </w:p>
  </w:footnote>
  <w:footnote w:id="19">
    <w:p w14:paraId="77CF1823" w14:textId="77777777" w:rsidR="006E7AE7" w:rsidRPr="000B4636" w:rsidRDefault="006E7AE7" w:rsidP="006E7AE7">
      <w:pPr>
        <w:pStyle w:val="FootnoteText"/>
      </w:pPr>
      <w:r>
        <w:rPr>
          <w:rStyle w:val="FootnoteReference"/>
        </w:rPr>
        <w:footnoteRef/>
      </w:r>
      <w:r>
        <w:t xml:space="preserve"> </w:t>
      </w:r>
      <w:r w:rsidRPr="000B4636">
        <w:t xml:space="preserve">See the findings from NHS Improvement’s </w:t>
      </w:r>
      <w:r w:rsidRPr="000B4636">
        <w:rPr>
          <w:i/>
        </w:rPr>
        <w:t>Reference cost assurance programme</w:t>
      </w:r>
      <w:r w:rsidRPr="000B4636">
        <w:t xml:space="preserve"> 2015/16 </w:t>
      </w:r>
      <w:hyperlink r:id="rId8" w:history="1">
        <w:r w:rsidRPr="000B4636">
          <w:rPr>
            <w:rStyle w:val="Hyperlink"/>
            <w:sz w:val="20"/>
          </w:rPr>
          <w:t>https://improvement.nhs.uk/uploads/documents/NHSI_RCA_Sector_Report_-_final.pdf</w:t>
        </w:r>
      </w:hyperlink>
      <w:r w:rsidRPr="000B4636">
        <w:t xml:space="preserve"> </w:t>
      </w:r>
    </w:p>
  </w:footnote>
  <w:footnote w:id="20">
    <w:p w14:paraId="5EDDE6A8" w14:textId="77777777" w:rsidR="006E7AE7" w:rsidRDefault="006E7AE7" w:rsidP="006E7AE7">
      <w:pPr>
        <w:pStyle w:val="FootnoteText"/>
      </w:pPr>
      <w:r>
        <w:rPr>
          <w:rStyle w:val="FootnoteReference"/>
        </w:rPr>
        <w:footnoteRef/>
      </w:r>
      <w:r>
        <w:t xml:space="preserve"> Non-financial systems may not be within the remit of the finance department, it will depend on whether the director of finance also has IT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297C" w14:textId="77777777" w:rsidR="00850117" w:rsidRDefault="00850117"/>
  <w:p w14:paraId="60DD6BA3" w14:textId="77777777" w:rsidR="00850117" w:rsidRDefault="008501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CellMar>
        <w:left w:w="0" w:type="dxa"/>
        <w:right w:w="0" w:type="dxa"/>
      </w:tblCellMar>
      <w:tblLook w:val="04A0" w:firstRow="1" w:lastRow="0" w:firstColumn="1" w:lastColumn="0" w:noHBand="0" w:noVBand="1"/>
    </w:tblPr>
    <w:tblGrid>
      <w:gridCol w:w="9853"/>
      <w:gridCol w:w="5"/>
    </w:tblGrid>
    <w:tr w:rsidR="00850117" w14:paraId="6CBF433A" w14:textId="77777777" w:rsidTr="008E5F61">
      <w:trPr>
        <w:trHeight w:val="567"/>
      </w:trPr>
      <w:tc>
        <w:tcPr>
          <w:tcW w:w="633" w:type="dxa"/>
        </w:tcPr>
        <w:tbl>
          <w:tblPr>
            <w:tblW w:w="12474" w:type="dxa"/>
            <w:tblCellMar>
              <w:left w:w="0" w:type="dxa"/>
              <w:right w:w="0" w:type="dxa"/>
            </w:tblCellMar>
            <w:tblLook w:val="04A0" w:firstRow="1" w:lastRow="0" w:firstColumn="1" w:lastColumn="0" w:noHBand="0" w:noVBand="1"/>
          </w:tblPr>
          <w:tblGrid>
            <w:gridCol w:w="633"/>
            <w:gridCol w:w="11841"/>
          </w:tblGrid>
          <w:tr w:rsidR="00850117" w:rsidRPr="006B4F83" w14:paraId="0EC36278" w14:textId="77777777" w:rsidTr="00850117">
            <w:trPr>
              <w:trHeight w:val="567"/>
            </w:trPr>
            <w:tc>
              <w:tcPr>
                <w:tcW w:w="633" w:type="dxa"/>
              </w:tcPr>
              <w:p w14:paraId="04CA5C6D" w14:textId="77777777" w:rsidR="00850117" w:rsidRPr="006E0B96" w:rsidRDefault="00850117" w:rsidP="0079711F"/>
            </w:tc>
            <w:tc>
              <w:tcPr>
                <w:tcW w:w="11841" w:type="dxa"/>
              </w:tcPr>
              <w:p w14:paraId="624867CF" w14:textId="77777777" w:rsidR="00850117" w:rsidRPr="006B4F83" w:rsidRDefault="00850117" w:rsidP="0079711F">
                <w:pPr>
                  <w:rPr>
                    <w:color w:val="000000" w:themeColor="text1"/>
                  </w:rPr>
                </w:pPr>
              </w:p>
            </w:tc>
          </w:tr>
          <w:tr w:rsidR="00850117" w:rsidRPr="00A74429" w14:paraId="67A2E919" w14:textId="77777777" w:rsidTr="00850117">
            <w:trPr>
              <w:trHeight w:val="284"/>
            </w:trPr>
            <w:tc>
              <w:tcPr>
                <w:tcW w:w="633" w:type="dxa"/>
              </w:tcPr>
              <w:p w14:paraId="78A54924" w14:textId="0BC23F1D" w:rsidR="00850117" w:rsidRPr="006E0B96" w:rsidRDefault="006E7AE7" w:rsidP="0079711F">
                <w:r>
                  <w:rPr>
                    <w:noProof/>
                  </w:rPr>
                  <w:drawing>
                    <wp:inline distT="0" distB="0" distL="0" distR="0" wp14:anchorId="35FBFCCC" wp14:editId="6DCCB3CE">
                      <wp:extent cx="298705" cy="298705"/>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MA%20briefing%20identifier%20300dpi%20RGB.png"/>
                              <pic:cNvPicPr/>
                            </pic:nvPicPr>
                            <pic:blipFill>
                              <a:blip r:embed="rId1"/>
                              <a:stretch>
                                <a:fillRect/>
                              </a:stretch>
                            </pic:blipFill>
                            <pic:spPr>
                              <a:xfrm>
                                <a:off x="0" y="0"/>
                                <a:ext cx="298705" cy="298705"/>
                              </a:xfrm>
                              <a:prstGeom prst="rect">
                                <a:avLst/>
                              </a:prstGeom>
                            </pic:spPr>
                          </pic:pic>
                        </a:graphicData>
                      </a:graphic>
                    </wp:inline>
                  </w:drawing>
                </w:r>
              </w:p>
            </w:tc>
            <w:tc>
              <w:tcPr>
                <w:tcW w:w="11841" w:type="dxa"/>
                <w:vAlign w:val="center"/>
              </w:tcPr>
              <w:p w14:paraId="77F3E914" w14:textId="3224D46F" w:rsidR="00850117" w:rsidRPr="00A74429" w:rsidRDefault="006E7AE7" w:rsidP="0079711F">
                <w:pPr>
                  <w:pStyle w:val="Identifierheader"/>
                </w:pPr>
                <w:r>
                  <w:t>HFMA briefing</w:t>
                </w:r>
              </w:p>
              <w:p w14:paraId="63419FF8" w14:textId="37A0B01D" w:rsidR="00850117" w:rsidRPr="00A74429" w:rsidRDefault="006E7AE7" w:rsidP="0079711F">
                <w:pPr>
                  <w:pStyle w:val="Identifierdescription"/>
                </w:pPr>
                <w:r>
                  <w:t>November 201</w:t>
                </w:r>
                <w:r w:rsidR="0053647C">
                  <w:t>7</w:t>
                </w:r>
              </w:p>
            </w:tc>
          </w:tr>
        </w:tbl>
        <w:p w14:paraId="65C9C9BC" w14:textId="77777777" w:rsidR="00850117" w:rsidRPr="006E0B96" w:rsidRDefault="00850117" w:rsidP="007C7722"/>
      </w:tc>
      <w:tc>
        <w:tcPr>
          <w:tcW w:w="6738" w:type="dxa"/>
        </w:tcPr>
        <w:p w14:paraId="094D122F" w14:textId="77777777" w:rsidR="00850117" w:rsidRPr="006B4F83" w:rsidRDefault="00850117" w:rsidP="007C7722">
          <w:pPr>
            <w:rPr>
              <w:color w:val="000000" w:themeColor="text1"/>
            </w:rPr>
          </w:pPr>
        </w:p>
      </w:tc>
    </w:tr>
    <w:tr w:rsidR="00850117" w14:paraId="0679FEF9" w14:textId="77777777" w:rsidTr="008E5F61">
      <w:trPr>
        <w:trHeight w:val="284"/>
      </w:trPr>
      <w:tc>
        <w:tcPr>
          <w:tcW w:w="633" w:type="dxa"/>
        </w:tcPr>
        <w:p w14:paraId="00830415" w14:textId="0FFF93DF" w:rsidR="00850117" w:rsidRPr="006E0B96" w:rsidRDefault="00850117" w:rsidP="007C7722"/>
      </w:tc>
      <w:tc>
        <w:tcPr>
          <w:tcW w:w="6738" w:type="dxa"/>
          <w:vAlign w:val="center"/>
        </w:tcPr>
        <w:p w14:paraId="64A76FD4" w14:textId="148A12CA" w:rsidR="00850117" w:rsidRPr="00A74429" w:rsidRDefault="00850117" w:rsidP="00747CD6">
          <w:pPr>
            <w:pStyle w:val="Identifierdescription"/>
          </w:pPr>
        </w:p>
      </w:tc>
    </w:tr>
  </w:tbl>
  <w:p w14:paraId="1137399A" w14:textId="77777777" w:rsidR="00850117" w:rsidRDefault="00850117">
    <w:r>
      <w:rPr>
        <w:noProof/>
        <w:lang w:val="en-GB" w:eastAsia="en-GB"/>
      </w:rPr>
      <w:drawing>
        <wp:anchor distT="0" distB="0" distL="114300" distR="114300" simplePos="0" relativeHeight="251659264" behindDoc="0" locked="1" layoutInCell="1" allowOverlap="1" wp14:anchorId="44ACAF86" wp14:editId="2FD690BB">
          <wp:simplePos x="0" y="0"/>
          <wp:positionH relativeFrom="page">
            <wp:posOffset>5912485</wp:posOffset>
          </wp:positionH>
          <wp:positionV relativeFrom="page">
            <wp:posOffset>540385</wp:posOffset>
          </wp:positionV>
          <wp:extent cx="1079500" cy="1079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CC10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6B6DFF"/>
    <w:multiLevelType w:val="hybridMultilevel"/>
    <w:tmpl w:val="5C4C496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8D5514"/>
    <w:multiLevelType w:val="hybridMultilevel"/>
    <w:tmpl w:val="686093C0"/>
    <w:lvl w:ilvl="0" w:tplc="0809000F">
      <w:start w:val="1"/>
      <w:numFmt w:val="decimal"/>
      <w:lvlText w:val="%1."/>
      <w:lvlJc w:val="left"/>
      <w:pPr>
        <w:tabs>
          <w:tab w:val="num" w:pos="471"/>
        </w:tabs>
        <w:ind w:left="357" w:hanging="357"/>
      </w:pPr>
      <w:rPr>
        <w:rFonts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FF5B16"/>
    <w:multiLevelType w:val="hybridMultilevel"/>
    <w:tmpl w:val="55A4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26932"/>
    <w:multiLevelType w:val="hybridMultilevel"/>
    <w:tmpl w:val="39B0A45E"/>
    <w:lvl w:ilvl="0" w:tplc="3870A178">
      <w:numFmt w:val="bullet"/>
      <w:pStyle w:val="Bullet"/>
      <w:lvlText w:val="•"/>
      <w:lvlJc w:val="left"/>
      <w:pPr>
        <w:tabs>
          <w:tab w:val="num" w:pos="471"/>
        </w:tabs>
        <w:ind w:left="357" w:hanging="357"/>
      </w:pPr>
      <w:rPr>
        <w:rFonts w:ascii="Arial" w:hAnsi="Aria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3"/>
  </w:num>
  <w:num w:numId="4">
    <w:abstractNumId w:val="28"/>
  </w:num>
  <w:num w:numId="5">
    <w:abstractNumId w:val="35"/>
  </w:num>
  <w:num w:numId="6">
    <w:abstractNumId w:val="13"/>
  </w:num>
  <w:num w:numId="7">
    <w:abstractNumId w:val="36"/>
  </w:num>
  <w:num w:numId="8">
    <w:abstractNumId w:val="23"/>
  </w:num>
  <w:num w:numId="9">
    <w:abstractNumId w:val="27"/>
  </w:num>
  <w:num w:numId="10">
    <w:abstractNumId w:val="30"/>
  </w:num>
  <w:num w:numId="11">
    <w:abstractNumId w:val="15"/>
  </w:num>
  <w:num w:numId="12">
    <w:abstractNumId w:val="14"/>
  </w:num>
  <w:num w:numId="13">
    <w:abstractNumId w:val="24"/>
  </w:num>
  <w:num w:numId="14">
    <w:abstractNumId w:val="37"/>
  </w:num>
  <w:num w:numId="15">
    <w:abstractNumId w:val="25"/>
  </w:num>
  <w:num w:numId="16">
    <w:abstractNumId w:val="17"/>
  </w:num>
  <w:num w:numId="17">
    <w:abstractNumId w:val="11"/>
  </w:num>
  <w:num w:numId="18">
    <w:abstractNumId w:val="31"/>
  </w:num>
  <w:num w:numId="19">
    <w:abstractNumId w:val="22"/>
  </w:num>
  <w:num w:numId="20">
    <w:abstractNumId w:val="12"/>
  </w:num>
  <w:num w:numId="21">
    <w:abstractNumId w:val="20"/>
  </w:num>
  <w:num w:numId="22">
    <w:abstractNumId w:val="29"/>
  </w:num>
  <w:num w:numId="23">
    <w:abstractNumId w:val="18"/>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32"/>
  </w:num>
  <w:num w:numId="36">
    <w:abstractNumId w:val="1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3B"/>
    <w:rsid w:val="000007EF"/>
    <w:rsid w:val="000008AF"/>
    <w:rsid w:val="00012F13"/>
    <w:rsid w:val="00024FAE"/>
    <w:rsid w:val="00053040"/>
    <w:rsid w:val="00055367"/>
    <w:rsid w:val="00056817"/>
    <w:rsid w:val="000608EB"/>
    <w:rsid w:val="000641CC"/>
    <w:rsid w:val="000668ED"/>
    <w:rsid w:val="00067F29"/>
    <w:rsid w:val="00076F62"/>
    <w:rsid w:val="000927A8"/>
    <w:rsid w:val="000A4CB0"/>
    <w:rsid w:val="000B4F0D"/>
    <w:rsid w:val="000C4627"/>
    <w:rsid w:val="000D5B39"/>
    <w:rsid w:val="000D69DA"/>
    <w:rsid w:val="000F3914"/>
    <w:rsid w:val="001121E0"/>
    <w:rsid w:val="0011340D"/>
    <w:rsid w:val="00114729"/>
    <w:rsid w:val="00121E0C"/>
    <w:rsid w:val="00122AB5"/>
    <w:rsid w:val="001333B9"/>
    <w:rsid w:val="00137383"/>
    <w:rsid w:val="00140C38"/>
    <w:rsid w:val="001444A3"/>
    <w:rsid w:val="00144FFC"/>
    <w:rsid w:val="00145704"/>
    <w:rsid w:val="00153CB3"/>
    <w:rsid w:val="0015787F"/>
    <w:rsid w:val="001649AC"/>
    <w:rsid w:val="00165ED6"/>
    <w:rsid w:val="00171634"/>
    <w:rsid w:val="00182CBD"/>
    <w:rsid w:val="001974B6"/>
    <w:rsid w:val="001B3BE7"/>
    <w:rsid w:val="001C30EE"/>
    <w:rsid w:val="001C56B4"/>
    <w:rsid w:val="001C6244"/>
    <w:rsid w:val="001C63A7"/>
    <w:rsid w:val="001C66B7"/>
    <w:rsid w:val="001D08D2"/>
    <w:rsid w:val="001E4EE4"/>
    <w:rsid w:val="001F0B68"/>
    <w:rsid w:val="001F0CE5"/>
    <w:rsid w:val="001F1419"/>
    <w:rsid w:val="001F1689"/>
    <w:rsid w:val="001F541C"/>
    <w:rsid w:val="002120EF"/>
    <w:rsid w:val="00225AAD"/>
    <w:rsid w:val="00235195"/>
    <w:rsid w:val="002508DB"/>
    <w:rsid w:val="00252E28"/>
    <w:rsid w:val="0027553D"/>
    <w:rsid w:val="0027637D"/>
    <w:rsid w:val="0028517F"/>
    <w:rsid w:val="00285A03"/>
    <w:rsid w:val="002A6FD4"/>
    <w:rsid w:val="002B19D0"/>
    <w:rsid w:val="002B538A"/>
    <w:rsid w:val="002C05F2"/>
    <w:rsid w:val="002C7A81"/>
    <w:rsid w:val="002D1E08"/>
    <w:rsid w:val="002E5B84"/>
    <w:rsid w:val="002E71CC"/>
    <w:rsid w:val="002F04B6"/>
    <w:rsid w:val="002F2963"/>
    <w:rsid w:val="002F52B0"/>
    <w:rsid w:val="00300DFA"/>
    <w:rsid w:val="00304437"/>
    <w:rsid w:val="003065E0"/>
    <w:rsid w:val="00321ACC"/>
    <w:rsid w:val="003229DC"/>
    <w:rsid w:val="003270A7"/>
    <w:rsid w:val="00332E60"/>
    <w:rsid w:val="00334093"/>
    <w:rsid w:val="00344DE7"/>
    <w:rsid w:val="00347BED"/>
    <w:rsid w:val="003501A8"/>
    <w:rsid w:val="00351A1D"/>
    <w:rsid w:val="00375B23"/>
    <w:rsid w:val="003828EF"/>
    <w:rsid w:val="003917E6"/>
    <w:rsid w:val="003A01E6"/>
    <w:rsid w:val="003B3434"/>
    <w:rsid w:val="003B67B2"/>
    <w:rsid w:val="003C4614"/>
    <w:rsid w:val="003D155F"/>
    <w:rsid w:val="003E5881"/>
    <w:rsid w:val="003F14BE"/>
    <w:rsid w:val="00410E64"/>
    <w:rsid w:val="00412EA2"/>
    <w:rsid w:val="00416D6B"/>
    <w:rsid w:val="00437898"/>
    <w:rsid w:val="00450327"/>
    <w:rsid w:val="004505A2"/>
    <w:rsid w:val="0045391F"/>
    <w:rsid w:val="0045414F"/>
    <w:rsid w:val="00457923"/>
    <w:rsid w:val="00463B76"/>
    <w:rsid w:val="00463BD1"/>
    <w:rsid w:val="0049084D"/>
    <w:rsid w:val="00494793"/>
    <w:rsid w:val="004A1240"/>
    <w:rsid w:val="004C5F48"/>
    <w:rsid w:val="004C7527"/>
    <w:rsid w:val="004D2A8A"/>
    <w:rsid w:val="004D7E7A"/>
    <w:rsid w:val="005037B9"/>
    <w:rsid w:val="00506B91"/>
    <w:rsid w:val="00527DFF"/>
    <w:rsid w:val="00531E8F"/>
    <w:rsid w:val="00535DB5"/>
    <w:rsid w:val="00535EE1"/>
    <w:rsid w:val="0053647C"/>
    <w:rsid w:val="00536BB8"/>
    <w:rsid w:val="00560EF8"/>
    <w:rsid w:val="00562CEC"/>
    <w:rsid w:val="00563F5F"/>
    <w:rsid w:val="00567C22"/>
    <w:rsid w:val="00591F25"/>
    <w:rsid w:val="005A1319"/>
    <w:rsid w:val="005C01F5"/>
    <w:rsid w:val="005C3F4C"/>
    <w:rsid w:val="005C5E58"/>
    <w:rsid w:val="005C7431"/>
    <w:rsid w:val="005D2E89"/>
    <w:rsid w:val="005E064D"/>
    <w:rsid w:val="006018C9"/>
    <w:rsid w:val="00603758"/>
    <w:rsid w:val="00605173"/>
    <w:rsid w:val="006164D1"/>
    <w:rsid w:val="00632538"/>
    <w:rsid w:val="00632D40"/>
    <w:rsid w:val="00644D88"/>
    <w:rsid w:val="00654229"/>
    <w:rsid w:val="00660B17"/>
    <w:rsid w:val="0067038F"/>
    <w:rsid w:val="00674925"/>
    <w:rsid w:val="006859FC"/>
    <w:rsid w:val="006B4F83"/>
    <w:rsid w:val="006B5F3B"/>
    <w:rsid w:val="006C011D"/>
    <w:rsid w:val="006C3333"/>
    <w:rsid w:val="006E0B96"/>
    <w:rsid w:val="006E2952"/>
    <w:rsid w:val="006E7AE7"/>
    <w:rsid w:val="006E7E80"/>
    <w:rsid w:val="007072CA"/>
    <w:rsid w:val="00716E79"/>
    <w:rsid w:val="00735983"/>
    <w:rsid w:val="00736BE3"/>
    <w:rsid w:val="00747CD6"/>
    <w:rsid w:val="00763FFC"/>
    <w:rsid w:val="00764559"/>
    <w:rsid w:val="007806BE"/>
    <w:rsid w:val="007822B4"/>
    <w:rsid w:val="00785CAA"/>
    <w:rsid w:val="0079711F"/>
    <w:rsid w:val="007A4E56"/>
    <w:rsid w:val="007B276C"/>
    <w:rsid w:val="007B4B84"/>
    <w:rsid w:val="007C1112"/>
    <w:rsid w:val="007C2548"/>
    <w:rsid w:val="007C7722"/>
    <w:rsid w:val="007E3E8E"/>
    <w:rsid w:val="007F21F3"/>
    <w:rsid w:val="00824B98"/>
    <w:rsid w:val="00835A8C"/>
    <w:rsid w:val="00841270"/>
    <w:rsid w:val="008462B0"/>
    <w:rsid w:val="008469B7"/>
    <w:rsid w:val="00847F67"/>
    <w:rsid w:val="00850117"/>
    <w:rsid w:val="0086480D"/>
    <w:rsid w:val="008672FD"/>
    <w:rsid w:val="008722CB"/>
    <w:rsid w:val="00872662"/>
    <w:rsid w:val="0087674F"/>
    <w:rsid w:val="0088776F"/>
    <w:rsid w:val="0088796F"/>
    <w:rsid w:val="008A1397"/>
    <w:rsid w:val="008B19F8"/>
    <w:rsid w:val="008B1B18"/>
    <w:rsid w:val="008C0C28"/>
    <w:rsid w:val="008C5FA3"/>
    <w:rsid w:val="008D1445"/>
    <w:rsid w:val="008D2BDE"/>
    <w:rsid w:val="008D6008"/>
    <w:rsid w:val="008D61B1"/>
    <w:rsid w:val="008E5F61"/>
    <w:rsid w:val="008F603F"/>
    <w:rsid w:val="00901BE0"/>
    <w:rsid w:val="00901FBE"/>
    <w:rsid w:val="009075E7"/>
    <w:rsid w:val="00907B73"/>
    <w:rsid w:val="009148C2"/>
    <w:rsid w:val="009202E7"/>
    <w:rsid w:val="00922DF7"/>
    <w:rsid w:val="00924ED1"/>
    <w:rsid w:val="00933F4F"/>
    <w:rsid w:val="00937CA8"/>
    <w:rsid w:val="00944C47"/>
    <w:rsid w:val="00953A0E"/>
    <w:rsid w:val="0096169C"/>
    <w:rsid w:val="00961922"/>
    <w:rsid w:val="00965FF0"/>
    <w:rsid w:val="0097217F"/>
    <w:rsid w:val="009723A7"/>
    <w:rsid w:val="0098039C"/>
    <w:rsid w:val="00994ABB"/>
    <w:rsid w:val="009956AE"/>
    <w:rsid w:val="009A07A1"/>
    <w:rsid w:val="009F0750"/>
    <w:rsid w:val="009F400A"/>
    <w:rsid w:val="00A0221F"/>
    <w:rsid w:val="00A056C9"/>
    <w:rsid w:val="00A26224"/>
    <w:rsid w:val="00A32829"/>
    <w:rsid w:val="00A35981"/>
    <w:rsid w:val="00A3663A"/>
    <w:rsid w:val="00A37A6B"/>
    <w:rsid w:val="00A444C4"/>
    <w:rsid w:val="00A45BB7"/>
    <w:rsid w:val="00A56FD0"/>
    <w:rsid w:val="00A6580E"/>
    <w:rsid w:val="00A72CC3"/>
    <w:rsid w:val="00A74429"/>
    <w:rsid w:val="00A87FA9"/>
    <w:rsid w:val="00A9788F"/>
    <w:rsid w:val="00AA5A4A"/>
    <w:rsid w:val="00AB4AB7"/>
    <w:rsid w:val="00AC1B08"/>
    <w:rsid w:val="00AC4904"/>
    <w:rsid w:val="00AD0439"/>
    <w:rsid w:val="00AD28A4"/>
    <w:rsid w:val="00AE22D1"/>
    <w:rsid w:val="00B01611"/>
    <w:rsid w:val="00B15C95"/>
    <w:rsid w:val="00B36D85"/>
    <w:rsid w:val="00B5164C"/>
    <w:rsid w:val="00B553F1"/>
    <w:rsid w:val="00B65E15"/>
    <w:rsid w:val="00B74937"/>
    <w:rsid w:val="00B764F3"/>
    <w:rsid w:val="00B8267B"/>
    <w:rsid w:val="00B86137"/>
    <w:rsid w:val="00BA342F"/>
    <w:rsid w:val="00BA38FF"/>
    <w:rsid w:val="00BA65A1"/>
    <w:rsid w:val="00BD7D01"/>
    <w:rsid w:val="00BE78D6"/>
    <w:rsid w:val="00BF5F61"/>
    <w:rsid w:val="00BF6132"/>
    <w:rsid w:val="00C025AB"/>
    <w:rsid w:val="00C10B4C"/>
    <w:rsid w:val="00C149DC"/>
    <w:rsid w:val="00C16016"/>
    <w:rsid w:val="00C24C61"/>
    <w:rsid w:val="00C35C68"/>
    <w:rsid w:val="00C45789"/>
    <w:rsid w:val="00C51798"/>
    <w:rsid w:val="00C55900"/>
    <w:rsid w:val="00C726FE"/>
    <w:rsid w:val="00C729A9"/>
    <w:rsid w:val="00C75D75"/>
    <w:rsid w:val="00C76E09"/>
    <w:rsid w:val="00CA13DC"/>
    <w:rsid w:val="00CA1D8F"/>
    <w:rsid w:val="00CB0A85"/>
    <w:rsid w:val="00CB1E1C"/>
    <w:rsid w:val="00CD747B"/>
    <w:rsid w:val="00CE067E"/>
    <w:rsid w:val="00CE177A"/>
    <w:rsid w:val="00CE1D46"/>
    <w:rsid w:val="00CE42A8"/>
    <w:rsid w:val="00CE71E5"/>
    <w:rsid w:val="00D02712"/>
    <w:rsid w:val="00D30EE6"/>
    <w:rsid w:val="00D332AE"/>
    <w:rsid w:val="00D54D8F"/>
    <w:rsid w:val="00D57BC4"/>
    <w:rsid w:val="00D618A9"/>
    <w:rsid w:val="00D85F86"/>
    <w:rsid w:val="00DA0B6C"/>
    <w:rsid w:val="00DD1A66"/>
    <w:rsid w:val="00DD7A8A"/>
    <w:rsid w:val="00DE76BF"/>
    <w:rsid w:val="00DE76F5"/>
    <w:rsid w:val="00DF4A11"/>
    <w:rsid w:val="00E020CD"/>
    <w:rsid w:val="00E137C1"/>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EF3B8A"/>
    <w:rsid w:val="00F00947"/>
    <w:rsid w:val="00F01CE6"/>
    <w:rsid w:val="00F23F68"/>
    <w:rsid w:val="00F26C87"/>
    <w:rsid w:val="00F30D2D"/>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F0671A"/>
  <w15:docId w15:val="{0D3750F8-C562-4719-9E2B-3A7346B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63F5F"/>
    <w:rPr>
      <w:rFonts w:ascii="Arial" w:hAnsi="Arial"/>
      <w:color w:val="262626"/>
      <w:sz w:val="22"/>
      <w:szCs w:val="24"/>
      <w:lang w:val="en-US" w:eastAsia="en-US"/>
    </w:rPr>
  </w:style>
  <w:style w:type="paragraph" w:styleId="Heading1">
    <w:name w:val="heading 1"/>
    <w:basedOn w:val="Subheading1"/>
    <w:next w:val="Normal"/>
    <w:link w:val="Heading1Char"/>
    <w:qFormat/>
    <w:rsid w:val="007C1112"/>
    <w:pPr>
      <w:outlineLvl w:val="0"/>
    </w:pPr>
  </w:style>
  <w:style w:type="paragraph" w:styleId="Heading2">
    <w:name w:val="heading 2"/>
    <w:basedOn w:val="Subheading2"/>
    <w:next w:val="Normal"/>
    <w:link w:val="Heading2Char"/>
    <w:unhideWhenUsed/>
    <w:qFormat/>
    <w:rsid w:val="00F61191"/>
    <w:pPr>
      <w:outlineLvl w:val="1"/>
    </w:pPr>
  </w:style>
  <w:style w:type="paragraph" w:styleId="Heading3">
    <w:name w:val="heading 3"/>
    <w:basedOn w:val="Subheading2"/>
    <w:next w:val="Normal"/>
    <w:link w:val="Heading3Char"/>
    <w:unhideWhenUsed/>
    <w:qFormat/>
    <w:rsid w:val="00FA7402"/>
    <w:pPr>
      <w:outlineLvl w:val="2"/>
    </w:pPr>
    <w:rPr>
      <w:color w:val="FF6600" w:themeColor="text2"/>
    </w:rPr>
  </w:style>
  <w:style w:type="paragraph" w:styleId="Heading4">
    <w:name w:val="heading 4"/>
    <w:basedOn w:val="Normal"/>
    <w:next w:val="Normal"/>
    <w:link w:val="Heading4Char"/>
    <w:unhideWhenUsed/>
    <w:qFormat/>
    <w:rsid w:val="00591F25"/>
    <w:pPr>
      <w:keepNext/>
      <w:keepLines/>
      <w:spacing w:before="200"/>
      <w:outlineLvl w:val="3"/>
    </w:pPr>
    <w:rPr>
      <w:rFonts w:eastAsiaTheme="majorEastAsia" w:cstheme="majorBidi"/>
      <w:b/>
      <w:bCs/>
      <w:iCs/>
      <w:color w:val="FF6600" w:themeColor="text2"/>
    </w:rPr>
  </w:style>
  <w:style w:type="paragraph" w:styleId="Heading5">
    <w:name w:val="heading 5"/>
    <w:basedOn w:val="Normal"/>
    <w:next w:val="Normal"/>
    <w:link w:val="Heading5Char"/>
    <w:uiPriority w:val="9"/>
    <w:unhideWhenUsed/>
    <w:qFormat/>
    <w:rsid w:val="00591F25"/>
    <w:pPr>
      <w:keepNext/>
      <w:keepLines/>
      <w:spacing w:before="40"/>
      <w:outlineLvl w:val="4"/>
    </w:pPr>
    <w:rPr>
      <w:rFonts w:asciiTheme="majorHAnsi" w:eastAsiaTheme="majorEastAsia" w:hAnsiTheme="majorHAnsi" w:cstheme="majorBidi"/>
      <w:color w:val="A89F01" w:themeColor="accent1" w:themeShade="BF"/>
    </w:rPr>
  </w:style>
  <w:style w:type="paragraph" w:styleId="Heading6">
    <w:name w:val="heading 6"/>
    <w:basedOn w:val="Normal"/>
    <w:next w:val="Normal"/>
    <w:link w:val="Heading6Char"/>
    <w:uiPriority w:val="9"/>
    <w:unhideWhenUsed/>
    <w:qFormat/>
    <w:rsid w:val="00591F25"/>
    <w:pPr>
      <w:keepNext/>
      <w:keepLines/>
      <w:spacing w:before="40"/>
      <w:outlineLvl w:val="5"/>
    </w:pPr>
    <w:rPr>
      <w:rFonts w:asciiTheme="majorHAnsi" w:eastAsiaTheme="majorEastAsia" w:hAnsiTheme="majorHAnsi" w:cstheme="majorBidi"/>
      <w:color w:val="706A01" w:themeColor="accent1" w:themeShade="7F"/>
    </w:rPr>
  </w:style>
  <w:style w:type="paragraph" w:styleId="Heading7">
    <w:name w:val="heading 7"/>
    <w:basedOn w:val="Normal"/>
    <w:next w:val="Normal"/>
    <w:link w:val="Heading7Char"/>
    <w:uiPriority w:val="9"/>
    <w:semiHidden/>
    <w:unhideWhenUsed/>
    <w:qFormat/>
    <w:rsid w:val="006E7AE7"/>
    <w:pPr>
      <w:keepNext/>
      <w:keepLines/>
      <w:spacing w:before="200"/>
      <w:ind w:left="1296" w:hanging="1296"/>
      <w:outlineLvl w:val="6"/>
    </w:pPr>
    <w:rPr>
      <w:rFonts w:ascii="Cambria" w:eastAsia="MS Gothic" w:hAnsi="Cambria"/>
      <w:i/>
      <w:iCs/>
      <w:color w:val="404040"/>
      <w:lang w:val="en-GB"/>
    </w:rPr>
  </w:style>
  <w:style w:type="paragraph" w:styleId="Heading8">
    <w:name w:val="heading 8"/>
    <w:basedOn w:val="Normal"/>
    <w:next w:val="Normal"/>
    <w:link w:val="Heading8Char"/>
    <w:uiPriority w:val="9"/>
    <w:semiHidden/>
    <w:unhideWhenUsed/>
    <w:qFormat/>
    <w:rsid w:val="006E7AE7"/>
    <w:pPr>
      <w:keepNext/>
      <w:keepLines/>
      <w:spacing w:before="200"/>
      <w:ind w:left="1440" w:hanging="1440"/>
      <w:outlineLvl w:val="7"/>
    </w:pPr>
    <w:rPr>
      <w:rFonts w:ascii="Cambria" w:eastAsia="MS Gothic" w:hAnsi="Cambria"/>
      <w:color w:val="404040"/>
      <w:sz w:val="20"/>
      <w:szCs w:val="20"/>
      <w:lang w:val="en-GB"/>
    </w:rPr>
  </w:style>
  <w:style w:type="paragraph" w:styleId="Heading9">
    <w:name w:val="heading 9"/>
    <w:basedOn w:val="Normal"/>
    <w:next w:val="Normal"/>
    <w:link w:val="Heading9Char"/>
    <w:uiPriority w:val="9"/>
    <w:semiHidden/>
    <w:unhideWhenUsed/>
    <w:qFormat/>
    <w:rsid w:val="006E7AE7"/>
    <w:pPr>
      <w:keepNext/>
      <w:keepLines/>
      <w:spacing w:before="200"/>
      <w:ind w:left="1584" w:hanging="1584"/>
      <w:outlineLvl w:val="8"/>
    </w:pPr>
    <w:rPr>
      <w:rFonts w:ascii="Cambria" w:eastAsia="MS Gothic"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1112"/>
    <w:rPr>
      <w:rFonts w:ascii="Arial" w:hAnsi="Arial" w:cs="Arial"/>
      <w:b/>
      <w:bCs/>
      <w:color w:val="77479C" w:themeColor="accent3"/>
      <w:sz w:val="24"/>
      <w:szCs w:val="24"/>
      <w:lang w:eastAsia="en-US"/>
    </w:rPr>
  </w:style>
  <w:style w:type="character" w:customStyle="1" w:styleId="Heading2Char">
    <w:name w:val="Heading 2 Char"/>
    <w:basedOn w:val="DefaultParagraphFont"/>
    <w:link w:val="Heading2"/>
    <w:rsid w:val="00F61191"/>
    <w:rPr>
      <w:rFonts w:ascii="Arial" w:hAnsi="Arial"/>
      <w:b/>
      <w:color w:val="595857" w:themeColor="background2"/>
      <w:sz w:val="22"/>
      <w:szCs w:val="24"/>
      <w:lang w:val="en-US" w:eastAsia="en-US"/>
    </w:rPr>
  </w:style>
  <w:style w:type="character" w:styleId="BookTitle">
    <w:name w:val="Book Title"/>
    <w:basedOn w:val="DefaultParagraphFont"/>
    <w:uiPriority w:val="33"/>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91F25"/>
    <w:rPr>
      <w:rFonts w:ascii="Arial" w:hAnsi="Arial"/>
      <w:b/>
      <w:bCs/>
      <w:color w:val="474645"/>
      <w:sz w:val="22"/>
    </w:rPr>
  </w:style>
  <w:style w:type="paragraph" w:customStyle="1" w:styleId="Subheading2">
    <w:name w:val="Subheading2"/>
    <w:qFormat/>
    <w:rsid w:val="00591F25"/>
    <w:pPr>
      <w:spacing w:before="240" w:after="60"/>
    </w:pPr>
    <w:rPr>
      <w:rFonts w:ascii="Arial" w:hAnsi="Arial"/>
      <w:b/>
      <w:color w:val="595857" w:themeColor="background2"/>
      <w:sz w:val="24"/>
      <w:szCs w:val="24"/>
      <w:lang w:val="en-US" w:eastAsia="en-US"/>
    </w:rPr>
  </w:style>
  <w:style w:type="paragraph" w:customStyle="1" w:styleId="Identifierheader">
    <w:name w:val="Identifier header"/>
    <w:qFormat/>
    <w:rsid w:val="006E0B96"/>
    <w:rPr>
      <w:rFonts w:ascii="Arial" w:hAnsi="Arial" w:cs="Arial"/>
      <w:b/>
      <w:bCs/>
      <w:color w:val="FF6600"/>
      <w:sz w:val="22"/>
      <w:szCs w:val="22"/>
      <w:lang w:eastAsia="en-US"/>
    </w:rPr>
  </w:style>
  <w:style w:type="paragraph" w:customStyle="1" w:styleId="Identifierdescription">
    <w:name w:val="Identifier description"/>
    <w:basedOn w:val="Identifierheader"/>
    <w:qFormat/>
    <w:rsid w:val="00F61191"/>
    <w:rPr>
      <w:b w:val="0"/>
      <w:color w:val="474645"/>
    </w:rPr>
  </w:style>
  <w:style w:type="paragraph" w:customStyle="1" w:styleId="Footer1">
    <w:name w:val="Footer1"/>
    <w:basedOn w:val="Normal"/>
    <w:qFormat/>
    <w:rsid w:val="006E0B96"/>
    <w:pPr>
      <w:framePr w:hSpace="181" w:wrap="around" w:vAnchor="page" w:hAnchor="page" w:x="1046" w:y="16025"/>
    </w:pPr>
    <w:rPr>
      <w:b/>
      <w:color w:val="FF6600"/>
      <w:sz w:val="16"/>
      <w:szCs w:val="16"/>
    </w:rPr>
  </w:style>
  <w:style w:type="paragraph" w:customStyle="1" w:styleId="Mainheading">
    <w:name w:val="Main heading"/>
    <w:qFormat/>
    <w:rsid w:val="000C4627"/>
    <w:pPr>
      <w:tabs>
        <w:tab w:val="right" w:pos="9858"/>
      </w:tabs>
      <w:spacing w:before="1200"/>
    </w:pPr>
    <w:rPr>
      <w:rFonts w:ascii="Arial" w:hAnsi="Arial" w:cs="Arial"/>
      <w:b/>
      <w:bCs/>
      <w:color w:val="FF6600"/>
      <w:sz w:val="64"/>
      <w:szCs w:val="24"/>
      <w:lang w:eastAsia="en-US"/>
    </w:rPr>
  </w:style>
  <w:style w:type="paragraph" w:customStyle="1" w:styleId="Strapline">
    <w:name w:val="Strapline"/>
    <w:qFormat/>
    <w:rsid w:val="00F61191"/>
    <w:pPr>
      <w:spacing w:after="600"/>
    </w:pPr>
    <w:rPr>
      <w:rFonts w:ascii="Arial" w:hAnsi="Arial"/>
      <w:color w:val="595857" w:themeColor="background2"/>
      <w:sz w:val="48"/>
      <w:szCs w:val="24"/>
      <w:lang w:val="en-US" w:eastAsia="en-US"/>
    </w:rPr>
  </w:style>
  <w:style w:type="paragraph" w:customStyle="1" w:styleId="Sectionheading">
    <w:name w:val="Section heading"/>
    <w:qFormat/>
    <w:rsid w:val="00F61191"/>
    <w:pPr>
      <w:spacing w:after="120"/>
    </w:pPr>
    <w:rPr>
      <w:rFonts w:ascii="Arial" w:hAnsi="Arial" w:cs="Arial-BoldMT"/>
      <w:b/>
      <w:bCs/>
      <w:color w:val="FF6600" w:themeColor="text2"/>
      <w:sz w:val="40"/>
      <w:szCs w:val="40"/>
      <w:lang w:eastAsia="en-US"/>
    </w:rPr>
  </w:style>
  <w:style w:type="paragraph" w:customStyle="1" w:styleId="Introorstandfirst">
    <w:name w:val="Intro or standfirst"/>
    <w:qFormat/>
    <w:rsid w:val="00591F25"/>
    <w:pPr>
      <w:spacing w:before="120" w:after="360"/>
    </w:pPr>
    <w:rPr>
      <w:rFonts w:ascii="Arial" w:hAnsi="Arial" w:cs="Arial"/>
      <w:bCs/>
      <w:color w:val="808080" w:themeColor="background1" w:themeShade="80"/>
      <w:sz w:val="28"/>
      <w:szCs w:val="23"/>
      <w:lang w:eastAsia="en-US"/>
    </w:rPr>
  </w:style>
  <w:style w:type="paragraph" w:customStyle="1" w:styleId="Subheading1">
    <w:name w:val="Subheading1"/>
    <w:rsid w:val="00591F25"/>
    <w:pPr>
      <w:spacing w:before="240" w:after="60"/>
      <w:contextualSpacing/>
    </w:pPr>
    <w:rPr>
      <w:rFonts w:ascii="Arial" w:hAnsi="Arial" w:cs="Arial"/>
      <w:b/>
      <w:bCs/>
      <w:color w:val="77479C" w:themeColor="accent3"/>
      <w:sz w:val="28"/>
      <w:szCs w:val="24"/>
      <w:lang w:eastAsia="en-US"/>
    </w:rPr>
  </w:style>
  <w:style w:type="paragraph" w:customStyle="1" w:styleId="Bodytext">
    <w:name w:val="Bodytext"/>
    <w:basedOn w:val="Normal"/>
    <w:qFormat/>
    <w:rsid w:val="00591F25"/>
    <w:pPr>
      <w:spacing w:after="140"/>
    </w:pPr>
    <w:rPr>
      <w:color w:val="424141"/>
      <w:szCs w:val="18"/>
      <w:lang w:val="en-GB"/>
    </w:rPr>
  </w:style>
  <w:style w:type="paragraph" w:customStyle="1" w:styleId="Bullet">
    <w:name w:val="Bullet"/>
    <w:basedOn w:val="Bodytext"/>
    <w:qFormat/>
    <w:rsid w:val="009956AE"/>
    <w:pPr>
      <w:numPr>
        <w:numId w:val="10"/>
      </w:numPr>
      <w:spacing w:before="40" w:after="40"/>
      <w:ind w:right="397"/>
    </w:pPr>
  </w:style>
  <w:style w:type="paragraph" w:customStyle="1" w:styleId="Bullet2ndlevel">
    <w:name w:val="Bullet 2nd level"/>
    <w:basedOn w:val="Bullet"/>
    <w:qFormat/>
    <w:rsid w:val="007C1112"/>
    <w:pPr>
      <w:numPr>
        <w:numId w:val="16"/>
      </w:numPr>
      <w:ind w:left="680" w:right="0" w:hanging="340"/>
    </w:pPr>
  </w:style>
  <w:style w:type="character" w:styleId="Hyperlink">
    <w:name w:val="Hyperlink"/>
    <w:unhideWhenUsed/>
    <w:rsid w:val="00591F25"/>
    <w:rPr>
      <w:rFonts w:ascii="Arial" w:hAnsi="Arial"/>
      <w:color w:val="FF6600" w:themeColor="text2"/>
      <w:sz w:val="22"/>
      <w:u w:val="none"/>
    </w:rPr>
  </w:style>
  <w:style w:type="paragraph" w:customStyle="1" w:styleId="BulletTitle">
    <w:name w:val="Bullet Title"/>
    <w:basedOn w:val="Normal"/>
    <w:qFormat/>
    <w:rsid w:val="00BF6132"/>
    <w:pPr>
      <w:numPr>
        <w:numId w:val="23"/>
      </w:numPr>
      <w:spacing w:after="140"/>
    </w:pPr>
    <w:rPr>
      <w:b/>
      <w:color w:val="FF6600" w:themeColor="text2"/>
      <w:szCs w:val="22"/>
      <w:lang w:val="en-GB"/>
    </w:rPr>
  </w:style>
  <w:style w:type="character" w:styleId="PageNumber">
    <w:name w:val="page number"/>
    <w:basedOn w:val="DefaultParagraphFont"/>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rsid w:val="00FA7402"/>
    <w:rPr>
      <w:rFonts w:ascii="Arial" w:hAnsi="Arial"/>
      <w:b/>
      <w:color w:val="FF6600" w:themeColor="text2"/>
      <w:sz w:val="24"/>
      <w:szCs w:val="24"/>
      <w:lang w:val="en-US" w:eastAsia="en-US"/>
    </w:rPr>
  </w:style>
  <w:style w:type="paragraph" w:styleId="Footer">
    <w:name w:val="footer"/>
    <w:basedOn w:val="Normal"/>
    <w:link w:val="FooterChar"/>
    <w:unhideWhenUsed/>
    <w:rsid w:val="00450327"/>
    <w:pPr>
      <w:tabs>
        <w:tab w:val="center" w:pos="4320"/>
        <w:tab w:val="right" w:pos="8640"/>
      </w:tabs>
    </w:pPr>
  </w:style>
  <w:style w:type="character" w:customStyle="1" w:styleId="FooterChar">
    <w:name w:val="Footer Char"/>
    <w:basedOn w:val="DefaultParagraphFont"/>
    <w:link w:val="Footer"/>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p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rsid w:val="00BF6132"/>
    <w:rPr>
      <w:color w:val="595857"/>
      <w:sz w:val="18"/>
      <w:szCs w:val="18"/>
    </w:rPr>
  </w:style>
  <w:style w:type="character" w:styleId="IntenseReference">
    <w:name w:val="Intense Reference"/>
    <w:basedOn w:val="DefaultParagraphFont"/>
    <w:uiPriority w:val="32"/>
    <w:rsid w:val="005C01F5"/>
    <w:rPr>
      <w:rFonts w:ascii="Arial" w:hAnsi="Arial"/>
      <w:b/>
      <w:bCs/>
      <w:smallCaps/>
      <w:color w:val="595857" w:themeColor="background2"/>
      <w:spacing w:val="5"/>
      <w:u w:val="none"/>
    </w:rPr>
  </w:style>
  <w:style w:type="paragraph" w:styleId="ListParagraph">
    <w:name w:val="List Paragraph"/>
    <w:basedOn w:val="Normal"/>
    <w:uiPriority w:val="34"/>
    <w:qFormat/>
    <w:rsid w:val="005C01F5"/>
    <w:pPr>
      <w:ind w:left="720"/>
      <w:contextualSpacing/>
    </w:pPr>
  </w:style>
  <w:style w:type="paragraph" w:styleId="IntenseQuote">
    <w:name w:val="Intense Quote"/>
    <w:basedOn w:val="Normal"/>
    <w:next w:val="Normal"/>
    <w:link w:val="IntenseQuoteChar"/>
    <w:uiPriority w:val="30"/>
    <w:rsid w:val="005C01F5"/>
    <w:rPr>
      <w:bCs/>
      <w:iCs/>
      <w:color w:val="595857" w:themeColor="background2"/>
    </w:rPr>
  </w:style>
  <w:style w:type="character" w:customStyle="1" w:styleId="IntenseQuoteChar">
    <w:name w:val="Intense Quote Char"/>
    <w:basedOn w:val="DefaultParagraphFont"/>
    <w:link w:val="IntenseQuote"/>
    <w:uiPriority w:val="30"/>
    <w:rsid w:val="005C01F5"/>
    <w:rPr>
      <w:rFonts w:ascii="Arial" w:hAnsi="Arial"/>
      <w:bCs/>
      <w:iCs/>
      <w:color w:val="595857" w:themeColor="background2"/>
      <w:sz w:val="18"/>
      <w:szCs w:val="24"/>
      <w:lang w:val="en-US" w:eastAsia="en-US"/>
    </w:rPr>
  </w:style>
  <w:style w:type="character" w:customStyle="1" w:styleId="Heading4Char">
    <w:name w:val="Heading 4 Char"/>
    <w:basedOn w:val="DefaultParagraphFont"/>
    <w:link w:val="Heading4"/>
    <w:rsid w:val="00591F25"/>
    <w:rPr>
      <w:rFonts w:ascii="Arial" w:eastAsiaTheme="majorEastAsia" w:hAnsi="Arial" w:cstheme="majorBidi"/>
      <w:b/>
      <w:bCs/>
      <w:iCs/>
      <w:color w:val="FF6600" w:themeColor="text2"/>
      <w:sz w:val="22"/>
      <w:szCs w:val="24"/>
      <w:lang w:val="en-US" w:eastAsia="en-US"/>
    </w:rPr>
  </w:style>
  <w:style w:type="paragraph" w:styleId="Title">
    <w:name w:val="Title"/>
    <w:basedOn w:val="Normal"/>
    <w:next w:val="Normal"/>
    <w:link w:val="TitleChar"/>
    <w:uiPriority w:val="10"/>
    <w:qFormat/>
    <w:rsid w:val="005C01F5"/>
    <w:pPr>
      <w:spacing w:after="300"/>
      <w:contextualSpacing/>
    </w:pPr>
    <w:rPr>
      <w:rFonts w:eastAsiaTheme="majorEastAsia" w:cstheme="majorBidi"/>
      <w:color w:val="FF6600" w:themeColor="text2"/>
      <w:sz w:val="52"/>
      <w:szCs w:val="52"/>
    </w:rPr>
  </w:style>
  <w:style w:type="character" w:customStyle="1" w:styleId="TitleChar">
    <w:name w:val="Title Char"/>
    <w:basedOn w:val="DefaultParagraphFont"/>
    <w:link w:val="Title"/>
    <w:uiPriority w:val="10"/>
    <w:rsid w:val="005C01F5"/>
    <w:rPr>
      <w:rFonts w:ascii="Arial" w:eastAsiaTheme="majorEastAsia" w:hAnsi="Arial" w:cstheme="majorBidi"/>
      <w:color w:val="FF6600" w:themeColor="text2"/>
      <w:sz w:val="52"/>
      <w:szCs w:val="52"/>
      <w:lang w:val="en-US" w:eastAsia="en-US"/>
    </w:rPr>
  </w:style>
  <w:style w:type="paragraph" w:styleId="Subtitle">
    <w:name w:val="Subtitle"/>
    <w:basedOn w:val="Normal"/>
    <w:next w:val="Normal"/>
    <w:link w:val="SubtitleChar"/>
    <w:uiPriority w:val="11"/>
    <w:rsid w:val="005C01F5"/>
    <w:pPr>
      <w:numPr>
        <w:ilvl w:val="1"/>
      </w:numPr>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5C01F5"/>
    <w:rPr>
      <w:rFonts w:ascii="Arial" w:eastAsiaTheme="majorEastAsia" w:hAnsi="Arial" w:cstheme="majorBidi"/>
      <w:i/>
      <w:iCs/>
      <w:color w:val="595857" w:themeColor="background2"/>
      <w:spacing w:val="15"/>
      <w:sz w:val="24"/>
      <w:szCs w:val="24"/>
      <w:lang w:val="en-US" w:eastAsia="en-US"/>
    </w:rPr>
  </w:style>
  <w:style w:type="character" w:styleId="IntenseEmphasis">
    <w:name w:val="Intense Emphasis"/>
    <w:basedOn w:val="DefaultParagraphFont"/>
    <w:uiPriority w:val="21"/>
    <w:rsid w:val="005C01F5"/>
    <w:rPr>
      <w:b/>
      <w:bCs/>
      <w:i/>
      <w:iCs/>
      <w:color w:val="FF6600" w:themeColor="text2"/>
    </w:rPr>
  </w:style>
  <w:style w:type="paragraph" w:customStyle="1" w:styleId="Identifierdescription-white">
    <w:name w:val="Identifier description - white"/>
    <w:basedOn w:val="Identifierdescription"/>
    <w:qFormat/>
    <w:rsid w:val="00A74429"/>
    <w:rPr>
      <w:color w:val="FFFFFF" w:themeColor="background1"/>
    </w:rPr>
  </w:style>
  <w:style w:type="paragraph" w:customStyle="1" w:styleId="Identifierheader-white">
    <w:name w:val="Identifier header - white"/>
    <w:basedOn w:val="Identifierheader"/>
    <w:qFormat/>
    <w:rsid w:val="00A74429"/>
    <w:rPr>
      <w:color w:val="FFFFFF" w:themeColor="background1"/>
    </w:rPr>
  </w:style>
  <w:style w:type="paragraph" w:customStyle="1" w:styleId="eventdetails-masthead">
    <w:name w:val="event details - masthead"/>
    <w:basedOn w:val="Strapline"/>
    <w:qFormat/>
    <w:rsid w:val="00A74429"/>
    <w:pPr>
      <w:spacing w:before="240"/>
    </w:pPr>
    <w:rPr>
      <w:color w:val="FFFFFF" w:themeColor="background1"/>
      <w:sz w:val="32"/>
      <w:szCs w:val="32"/>
    </w:rPr>
  </w:style>
  <w:style w:type="paragraph" w:customStyle="1" w:styleId="eventdetails-grey">
    <w:name w:val="event details - grey"/>
    <w:basedOn w:val="eventdetails-masthead"/>
    <w:qFormat/>
    <w:rsid w:val="006018C9"/>
    <w:pPr>
      <w:spacing w:before="0"/>
    </w:pPr>
    <w:rPr>
      <w:color w:val="9B9A99" w:themeColor="background2" w:themeTint="99"/>
    </w:rPr>
  </w:style>
  <w:style w:type="paragraph" w:customStyle="1" w:styleId="TableTitle">
    <w:name w:val="TableTitle"/>
    <w:basedOn w:val="Bodytext"/>
    <w:qFormat/>
    <w:rsid w:val="00567C22"/>
    <w:rPr>
      <w:b/>
      <w:color w:val="FF6600" w:themeColor="text2"/>
    </w:rPr>
  </w:style>
  <w:style w:type="paragraph" w:customStyle="1" w:styleId="BodyTextitalic">
    <w:name w:val="BodyText_italic"/>
    <w:basedOn w:val="Bodytext"/>
    <w:qFormat/>
    <w:rsid w:val="00567C22"/>
    <w:rPr>
      <w:i/>
    </w:rPr>
  </w:style>
  <w:style w:type="paragraph" w:styleId="Revision">
    <w:name w:val="Revision"/>
    <w:hidden/>
    <w:uiPriority w:val="99"/>
    <w:semiHidden/>
    <w:rsid w:val="008D61B1"/>
    <w:rPr>
      <w:rFonts w:ascii="Arial" w:hAnsi="Arial"/>
      <w:color w:val="262626"/>
      <w:sz w:val="18"/>
      <w:szCs w:val="24"/>
      <w:lang w:val="en-US" w:eastAsia="en-US"/>
    </w:rPr>
  </w:style>
  <w:style w:type="character" w:customStyle="1" w:styleId="Heading5Char">
    <w:name w:val="Heading 5 Char"/>
    <w:basedOn w:val="DefaultParagraphFont"/>
    <w:link w:val="Heading5"/>
    <w:uiPriority w:val="9"/>
    <w:rsid w:val="00591F25"/>
    <w:rPr>
      <w:rFonts w:asciiTheme="majorHAnsi" w:eastAsiaTheme="majorEastAsia" w:hAnsiTheme="majorHAnsi" w:cstheme="majorBidi"/>
      <w:color w:val="A89F01" w:themeColor="accent1" w:themeShade="BF"/>
      <w:sz w:val="18"/>
      <w:szCs w:val="24"/>
      <w:lang w:val="en-US" w:eastAsia="en-US"/>
    </w:rPr>
  </w:style>
  <w:style w:type="character" w:customStyle="1" w:styleId="Heading6Char">
    <w:name w:val="Heading 6 Char"/>
    <w:basedOn w:val="DefaultParagraphFont"/>
    <w:link w:val="Heading6"/>
    <w:uiPriority w:val="9"/>
    <w:rsid w:val="00591F25"/>
    <w:rPr>
      <w:rFonts w:asciiTheme="majorHAnsi" w:eastAsiaTheme="majorEastAsia" w:hAnsiTheme="majorHAnsi" w:cstheme="majorBidi"/>
      <w:color w:val="706A01" w:themeColor="accent1" w:themeShade="7F"/>
      <w:sz w:val="18"/>
      <w:szCs w:val="24"/>
      <w:lang w:val="en-US" w:eastAsia="en-US"/>
    </w:rPr>
  </w:style>
  <w:style w:type="table" w:styleId="GridTable4-Accent1">
    <w:name w:val="Grid Table 4 Accent 1"/>
    <w:basedOn w:val="TableNormal"/>
    <w:uiPriority w:val="49"/>
    <w:rsid w:val="0079711F"/>
    <w:tblPr>
      <w:tblStyleRowBandSize w:val="1"/>
      <w:tblStyleColBandSize w:val="1"/>
      <w:tblBorders>
        <w:top w:val="single" w:sz="4" w:space="0" w:color="FDF456" w:themeColor="accent1" w:themeTint="99"/>
        <w:left w:val="single" w:sz="4" w:space="0" w:color="FDF456" w:themeColor="accent1" w:themeTint="99"/>
        <w:bottom w:val="single" w:sz="4" w:space="0" w:color="FDF456" w:themeColor="accent1" w:themeTint="99"/>
        <w:right w:val="single" w:sz="4" w:space="0" w:color="FDF456" w:themeColor="accent1" w:themeTint="99"/>
        <w:insideH w:val="single" w:sz="4" w:space="0" w:color="FDF456" w:themeColor="accent1" w:themeTint="99"/>
        <w:insideV w:val="single" w:sz="4" w:space="0" w:color="FDF456" w:themeColor="accent1" w:themeTint="99"/>
      </w:tblBorders>
    </w:tblPr>
    <w:tblStylePr w:type="firstRow">
      <w:rPr>
        <w:b/>
        <w:bCs/>
        <w:color w:val="FFFFFF" w:themeColor="background1"/>
      </w:rPr>
      <w:tblPr/>
      <w:tcPr>
        <w:tcBorders>
          <w:top w:val="single" w:sz="4" w:space="0" w:color="E1D602" w:themeColor="accent1"/>
          <w:left w:val="single" w:sz="4" w:space="0" w:color="E1D602" w:themeColor="accent1"/>
          <w:bottom w:val="single" w:sz="4" w:space="0" w:color="E1D602" w:themeColor="accent1"/>
          <w:right w:val="single" w:sz="4" w:space="0" w:color="E1D602" w:themeColor="accent1"/>
          <w:insideH w:val="nil"/>
          <w:insideV w:val="nil"/>
        </w:tcBorders>
        <w:shd w:val="clear" w:color="auto" w:fill="E1D602" w:themeFill="accent1"/>
      </w:tcPr>
    </w:tblStylePr>
    <w:tblStylePr w:type="lastRow">
      <w:rPr>
        <w:b/>
        <w:bCs/>
      </w:rPr>
      <w:tblPr/>
      <w:tcPr>
        <w:tcBorders>
          <w:top w:val="double" w:sz="4" w:space="0" w:color="E1D602" w:themeColor="accent1"/>
        </w:tcBorders>
      </w:tcPr>
    </w:tblStylePr>
    <w:tblStylePr w:type="firstCol">
      <w:rPr>
        <w:b/>
        <w:bCs/>
      </w:rPr>
    </w:tblStylePr>
    <w:tblStylePr w:type="lastCol">
      <w:rPr>
        <w:b/>
        <w:bCs/>
      </w:rPr>
    </w:tblStylePr>
    <w:tblStylePr w:type="band1Vert">
      <w:tblPr/>
      <w:tcPr>
        <w:shd w:val="clear" w:color="auto" w:fill="FEFBC6" w:themeFill="accent1" w:themeFillTint="33"/>
      </w:tcPr>
    </w:tblStylePr>
    <w:tblStylePr w:type="band1Horz">
      <w:tblPr/>
      <w:tcPr>
        <w:shd w:val="clear" w:color="auto" w:fill="FEFBC6" w:themeFill="accent1" w:themeFillTint="33"/>
      </w:tcPr>
    </w:tblStylePr>
  </w:style>
  <w:style w:type="table" w:styleId="GridTable4-Accent3">
    <w:name w:val="Grid Table 4 Accent 3"/>
    <w:basedOn w:val="TableNormal"/>
    <w:uiPriority w:val="49"/>
    <w:rsid w:val="0079711F"/>
    <w:tblPr>
      <w:tblStyleRowBandSize w:val="1"/>
      <w:tblStyleColBandSize w:val="1"/>
      <w:tblBorders>
        <w:top w:val="single" w:sz="4" w:space="0" w:color="AE8AC9" w:themeColor="accent3" w:themeTint="99"/>
        <w:left w:val="single" w:sz="4" w:space="0" w:color="AE8AC9" w:themeColor="accent3" w:themeTint="99"/>
        <w:bottom w:val="single" w:sz="4" w:space="0" w:color="AE8AC9" w:themeColor="accent3" w:themeTint="99"/>
        <w:right w:val="single" w:sz="4" w:space="0" w:color="AE8AC9" w:themeColor="accent3" w:themeTint="99"/>
        <w:insideH w:val="single" w:sz="4" w:space="0" w:color="AE8AC9" w:themeColor="accent3" w:themeTint="99"/>
        <w:insideV w:val="single" w:sz="4" w:space="0" w:color="AE8AC9" w:themeColor="accent3" w:themeTint="99"/>
      </w:tblBorders>
    </w:tblPr>
    <w:tblStylePr w:type="firstRow">
      <w:rPr>
        <w:b/>
        <w:bCs/>
        <w:color w:val="FFFFFF" w:themeColor="background1"/>
      </w:rPr>
      <w:tblPr/>
      <w:tcPr>
        <w:tcBorders>
          <w:top w:val="single" w:sz="4" w:space="0" w:color="77479C" w:themeColor="accent3"/>
          <w:left w:val="single" w:sz="4" w:space="0" w:color="77479C" w:themeColor="accent3"/>
          <w:bottom w:val="single" w:sz="4" w:space="0" w:color="77479C" w:themeColor="accent3"/>
          <w:right w:val="single" w:sz="4" w:space="0" w:color="77479C" w:themeColor="accent3"/>
          <w:insideH w:val="nil"/>
          <w:insideV w:val="nil"/>
        </w:tcBorders>
        <w:shd w:val="clear" w:color="auto" w:fill="77479C" w:themeFill="accent3"/>
      </w:tcPr>
    </w:tblStylePr>
    <w:tblStylePr w:type="lastRow">
      <w:rPr>
        <w:b/>
        <w:bCs/>
      </w:rPr>
      <w:tblPr/>
      <w:tcPr>
        <w:tcBorders>
          <w:top w:val="double" w:sz="4" w:space="0" w:color="77479C" w:themeColor="accent3"/>
        </w:tcBorders>
      </w:tcPr>
    </w:tblStylePr>
    <w:tblStylePr w:type="firstCol">
      <w:rPr>
        <w:b/>
        <w:bCs/>
      </w:rPr>
    </w:tblStylePr>
    <w:tblStylePr w:type="lastCol">
      <w:rPr>
        <w:b/>
        <w:bCs/>
      </w:rPr>
    </w:tblStylePr>
    <w:tblStylePr w:type="band1Vert">
      <w:tblPr/>
      <w:tcPr>
        <w:shd w:val="clear" w:color="auto" w:fill="E4D8ED" w:themeFill="accent3" w:themeFillTint="33"/>
      </w:tcPr>
    </w:tblStylePr>
    <w:tblStylePr w:type="band1Horz">
      <w:tblPr/>
      <w:tcPr>
        <w:shd w:val="clear" w:color="auto" w:fill="E4D8ED" w:themeFill="accent3" w:themeFillTint="33"/>
      </w:tcPr>
    </w:tblStylePr>
  </w:style>
  <w:style w:type="paragraph" w:styleId="FootnoteText">
    <w:name w:val="footnote text"/>
    <w:basedOn w:val="Normal"/>
    <w:link w:val="FootnoteTextChar"/>
    <w:semiHidden/>
    <w:unhideWhenUsed/>
    <w:rsid w:val="00C24C61"/>
    <w:rPr>
      <w:sz w:val="20"/>
      <w:szCs w:val="20"/>
    </w:rPr>
  </w:style>
  <w:style w:type="character" w:customStyle="1" w:styleId="FootnoteTextChar">
    <w:name w:val="Footnote Text Char"/>
    <w:basedOn w:val="DefaultParagraphFont"/>
    <w:link w:val="FootnoteText"/>
    <w:semiHidden/>
    <w:rsid w:val="00C24C61"/>
    <w:rPr>
      <w:rFonts w:ascii="Arial" w:hAnsi="Arial"/>
      <w:color w:val="262626"/>
      <w:lang w:val="en-US" w:eastAsia="en-US"/>
    </w:rPr>
  </w:style>
  <w:style w:type="character" w:styleId="FootnoteReference">
    <w:name w:val="footnote reference"/>
    <w:basedOn w:val="DefaultParagraphFont"/>
    <w:semiHidden/>
    <w:unhideWhenUsed/>
    <w:rsid w:val="00C24C61"/>
    <w:rPr>
      <w:vertAlign w:val="superscript"/>
    </w:rPr>
  </w:style>
  <w:style w:type="character" w:styleId="UnresolvedMention">
    <w:name w:val="Unresolved Mention"/>
    <w:basedOn w:val="DefaultParagraphFont"/>
    <w:uiPriority w:val="99"/>
    <w:semiHidden/>
    <w:unhideWhenUsed/>
    <w:rsid w:val="00C24C61"/>
    <w:rPr>
      <w:color w:val="808080"/>
      <w:shd w:val="clear" w:color="auto" w:fill="E6E6E6"/>
    </w:rPr>
  </w:style>
  <w:style w:type="character" w:customStyle="1" w:styleId="Heading7Char">
    <w:name w:val="Heading 7 Char"/>
    <w:basedOn w:val="DefaultParagraphFont"/>
    <w:link w:val="Heading7"/>
    <w:uiPriority w:val="9"/>
    <w:semiHidden/>
    <w:rsid w:val="006E7AE7"/>
    <w:rPr>
      <w:rFonts w:ascii="Cambria" w:eastAsia="MS Gothic" w:hAnsi="Cambria"/>
      <w:i/>
      <w:iCs/>
      <w:color w:val="404040"/>
      <w:sz w:val="22"/>
      <w:szCs w:val="24"/>
      <w:lang w:eastAsia="en-US"/>
    </w:rPr>
  </w:style>
  <w:style w:type="character" w:customStyle="1" w:styleId="Heading8Char">
    <w:name w:val="Heading 8 Char"/>
    <w:basedOn w:val="DefaultParagraphFont"/>
    <w:link w:val="Heading8"/>
    <w:uiPriority w:val="9"/>
    <w:semiHidden/>
    <w:rsid w:val="006E7AE7"/>
    <w:rPr>
      <w:rFonts w:ascii="Cambria" w:eastAsia="MS Gothic" w:hAnsi="Cambria"/>
      <w:color w:val="404040"/>
      <w:lang w:eastAsia="en-US"/>
    </w:rPr>
  </w:style>
  <w:style w:type="character" w:customStyle="1" w:styleId="Heading9Char">
    <w:name w:val="Heading 9 Char"/>
    <w:basedOn w:val="DefaultParagraphFont"/>
    <w:link w:val="Heading9"/>
    <w:uiPriority w:val="9"/>
    <w:semiHidden/>
    <w:rsid w:val="006E7AE7"/>
    <w:rPr>
      <w:rFonts w:ascii="Cambria" w:eastAsia="MS Gothic" w:hAnsi="Cambria"/>
      <w:i/>
      <w:iCs/>
      <w:color w:val="404040"/>
      <w:lang w:eastAsia="en-US"/>
    </w:rPr>
  </w:style>
  <w:style w:type="character" w:styleId="CommentReference">
    <w:name w:val="annotation reference"/>
    <w:basedOn w:val="DefaultParagraphFont"/>
    <w:uiPriority w:val="99"/>
    <w:semiHidden/>
    <w:unhideWhenUsed/>
    <w:rsid w:val="006E7AE7"/>
    <w:rPr>
      <w:sz w:val="16"/>
      <w:szCs w:val="16"/>
    </w:rPr>
  </w:style>
  <w:style w:type="paragraph" w:styleId="CommentText">
    <w:name w:val="annotation text"/>
    <w:basedOn w:val="Normal"/>
    <w:link w:val="CommentTextChar"/>
    <w:uiPriority w:val="99"/>
    <w:unhideWhenUsed/>
    <w:rsid w:val="006E7AE7"/>
    <w:pPr>
      <w:spacing w:after="240"/>
    </w:pPr>
    <w:rPr>
      <w:rFonts w:ascii="Times New Roman" w:eastAsia="Times New Roman" w:hAnsi="Times New Roman"/>
      <w:color w:val="auto"/>
      <w:sz w:val="20"/>
      <w:szCs w:val="20"/>
      <w:lang w:val="en-GB"/>
    </w:rPr>
  </w:style>
  <w:style w:type="character" w:customStyle="1" w:styleId="CommentTextChar">
    <w:name w:val="Comment Text Char"/>
    <w:basedOn w:val="DefaultParagraphFont"/>
    <w:link w:val="CommentText"/>
    <w:uiPriority w:val="99"/>
    <w:rsid w:val="006E7AE7"/>
    <w:rPr>
      <w:rFonts w:ascii="Times New Roman" w:eastAsia="Times New Roman" w:hAnsi="Times New Roman"/>
      <w:lang w:eastAsia="en-US"/>
    </w:rPr>
  </w:style>
  <w:style w:type="paragraph" w:styleId="BodyTextIndent2">
    <w:name w:val="Body Text Indent 2"/>
    <w:basedOn w:val="Normal"/>
    <w:link w:val="BodyTextIndent2Char"/>
    <w:rsid w:val="006E7AE7"/>
    <w:pPr>
      <w:spacing w:after="60"/>
      <w:ind w:left="360"/>
    </w:pPr>
    <w:rPr>
      <w:rFonts w:ascii="Times New Roman" w:eastAsia="Times New Roman" w:hAnsi="Times New Roman"/>
      <w:color w:val="auto"/>
      <w:sz w:val="20"/>
      <w:lang w:val="en-GB"/>
    </w:rPr>
  </w:style>
  <w:style w:type="character" w:customStyle="1" w:styleId="BodyTextIndent2Char">
    <w:name w:val="Body Text Indent 2 Char"/>
    <w:basedOn w:val="DefaultParagraphFont"/>
    <w:link w:val="BodyTextIndent2"/>
    <w:rsid w:val="006E7AE7"/>
    <w:rPr>
      <w:rFonts w:ascii="Times New Roman" w:eastAsia="Times New Roman" w:hAnsi="Times New Roman"/>
      <w:szCs w:val="24"/>
      <w:lang w:eastAsia="en-US"/>
    </w:rPr>
  </w:style>
  <w:style w:type="paragraph" w:styleId="BodyTextIndent3">
    <w:name w:val="Body Text Indent 3"/>
    <w:basedOn w:val="Normal"/>
    <w:link w:val="BodyTextIndent3Char"/>
    <w:rsid w:val="006E7AE7"/>
    <w:pPr>
      <w:spacing w:after="60"/>
      <w:ind w:left="72"/>
    </w:pPr>
    <w:rPr>
      <w:rFonts w:ascii="Times New Roman" w:eastAsia="Times New Roman" w:hAnsi="Times New Roman"/>
      <w:color w:val="auto"/>
      <w:sz w:val="20"/>
      <w:lang w:val="en-GB"/>
    </w:rPr>
  </w:style>
  <w:style w:type="character" w:customStyle="1" w:styleId="BodyTextIndent3Char">
    <w:name w:val="Body Text Indent 3 Char"/>
    <w:basedOn w:val="DefaultParagraphFont"/>
    <w:link w:val="BodyTextIndent3"/>
    <w:rsid w:val="006E7AE7"/>
    <w:rPr>
      <w:rFonts w:ascii="Times New Roman" w:eastAsia="Times New Roman" w:hAnsi="Times New Roman"/>
      <w:szCs w:val="24"/>
      <w:lang w:eastAsia="en-US"/>
    </w:rPr>
  </w:style>
  <w:style w:type="paragraph" w:customStyle="1" w:styleId="table">
    <w:name w:val="table"/>
    <w:basedOn w:val="Normal"/>
    <w:rsid w:val="006E7AE7"/>
    <w:pPr>
      <w:spacing w:after="260"/>
    </w:pPr>
    <w:rPr>
      <w:rFonts w:ascii="Times New Roman" w:eastAsia="Times New Roman" w:hAnsi="Times New Roman"/>
      <w:color w:val="auto"/>
      <w:lang w:val="en-GB"/>
    </w:rPr>
  </w:style>
  <w:style w:type="paragraph" w:styleId="ListBullet">
    <w:name w:val="List Bullet"/>
    <w:basedOn w:val="Normal"/>
    <w:autoRedefine/>
    <w:rsid w:val="006E7AE7"/>
    <w:pPr>
      <w:spacing w:after="240"/>
    </w:pPr>
    <w:rPr>
      <w:rFonts w:eastAsia="Times New Roman" w:cs="Arial"/>
      <w:color w:val="auto"/>
      <w:sz w:val="24"/>
      <w:lang w:val="en-GB"/>
    </w:rPr>
  </w:style>
  <w:style w:type="paragraph" w:customStyle="1" w:styleId="StyleBibliographySpacingNotBold">
    <w:name w:val="Style Bibliography Spacing + Not Bold"/>
    <w:basedOn w:val="Normal"/>
    <w:autoRedefine/>
    <w:rsid w:val="006E7AE7"/>
    <w:pPr>
      <w:widowControl w:val="0"/>
      <w:adjustRightInd w:val="0"/>
      <w:spacing w:after="240"/>
      <w:textAlignment w:val="baseline"/>
    </w:pPr>
    <w:rPr>
      <w:rFonts w:eastAsia="Times New Roman" w:cs="Arial"/>
      <w:color w:val="auto"/>
      <w:lang w:val="en-GB"/>
    </w:rPr>
  </w:style>
  <w:style w:type="character" w:styleId="Emphasis">
    <w:name w:val="Emphasis"/>
    <w:qFormat/>
    <w:rsid w:val="006E7AE7"/>
    <w:rPr>
      <w:i/>
      <w:iCs/>
    </w:rPr>
  </w:style>
  <w:style w:type="paragraph" w:styleId="BodyText0">
    <w:name w:val="Body Text"/>
    <w:basedOn w:val="Normal"/>
    <w:link w:val="BodyTextChar"/>
    <w:rsid w:val="006E7AE7"/>
    <w:pPr>
      <w:spacing w:after="120"/>
    </w:pPr>
    <w:rPr>
      <w:rFonts w:ascii="Times New Roman" w:eastAsia="Times New Roman" w:hAnsi="Times New Roman"/>
      <w:color w:val="auto"/>
      <w:lang w:val="en-GB"/>
    </w:rPr>
  </w:style>
  <w:style w:type="character" w:customStyle="1" w:styleId="BodyTextChar">
    <w:name w:val="Body Text Char"/>
    <w:basedOn w:val="DefaultParagraphFont"/>
    <w:link w:val="BodyText0"/>
    <w:rsid w:val="006E7AE7"/>
    <w:rPr>
      <w:rFonts w:ascii="Times New Roman" w:eastAsia="Times New Roman" w:hAnsi="Times New Roman"/>
      <w:sz w:val="22"/>
      <w:szCs w:val="24"/>
      <w:lang w:eastAsia="en-US"/>
    </w:rPr>
  </w:style>
  <w:style w:type="character" w:customStyle="1" w:styleId="CommentSubjectChar">
    <w:name w:val="Comment Subject Char"/>
    <w:basedOn w:val="CommentTextChar"/>
    <w:link w:val="CommentSubject"/>
    <w:uiPriority w:val="99"/>
    <w:semiHidden/>
    <w:rsid w:val="006E7AE7"/>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6E7AE7"/>
    <w:rPr>
      <w:b/>
      <w:bCs/>
    </w:rPr>
  </w:style>
  <w:style w:type="character" w:customStyle="1" w:styleId="CommentSubjectChar1">
    <w:name w:val="Comment Subject Char1"/>
    <w:basedOn w:val="CommentTextChar"/>
    <w:uiPriority w:val="99"/>
    <w:semiHidden/>
    <w:rsid w:val="006E7AE7"/>
    <w:rPr>
      <w:rFonts w:ascii="Times New Roman" w:eastAsia="Times New Roman" w:hAnsi="Times New Roman"/>
      <w:b/>
      <w:bCs/>
      <w:lang w:eastAsia="en-US"/>
    </w:rPr>
  </w:style>
  <w:style w:type="paragraph" w:customStyle="1" w:styleId="Default">
    <w:name w:val="Default"/>
    <w:rsid w:val="006E7AE7"/>
    <w:pPr>
      <w:widowControl w:val="0"/>
      <w:autoSpaceDE w:val="0"/>
      <w:autoSpaceDN w:val="0"/>
      <w:adjustRightInd w:val="0"/>
    </w:pPr>
    <w:rPr>
      <w:rFonts w:ascii="Myriad Pro" w:eastAsia="Times New Roman" w:hAnsi="Myriad Pro" w:cs="Myriad Pro"/>
      <w:color w:val="000000"/>
      <w:sz w:val="24"/>
      <w:szCs w:val="24"/>
    </w:rPr>
  </w:style>
  <w:style w:type="paragraph" w:styleId="PlainText">
    <w:name w:val="Plain Text"/>
    <w:basedOn w:val="Normal"/>
    <w:link w:val="PlainTextChar"/>
    <w:uiPriority w:val="99"/>
    <w:unhideWhenUsed/>
    <w:rsid w:val="006E7AE7"/>
    <w:rPr>
      <w:rFonts w:eastAsia="Calibri"/>
      <w:color w:val="auto"/>
      <w:szCs w:val="21"/>
      <w:lang w:val="en-GB"/>
    </w:rPr>
  </w:style>
  <w:style w:type="character" w:customStyle="1" w:styleId="PlainTextChar">
    <w:name w:val="Plain Text Char"/>
    <w:basedOn w:val="DefaultParagraphFont"/>
    <w:link w:val="PlainText"/>
    <w:uiPriority w:val="99"/>
    <w:rsid w:val="006E7AE7"/>
    <w:rPr>
      <w:rFonts w:ascii="Arial" w:eastAsia="Calibri" w:hAnsi="Arial"/>
      <w:sz w:val="22"/>
      <w:szCs w:val="21"/>
      <w:lang w:eastAsia="en-US"/>
    </w:rPr>
  </w:style>
  <w:style w:type="character" w:styleId="FollowedHyperlink">
    <w:name w:val="FollowedHyperlink"/>
    <w:basedOn w:val="DefaultParagraphFont"/>
    <w:uiPriority w:val="99"/>
    <w:semiHidden/>
    <w:unhideWhenUsed/>
    <w:rsid w:val="006E7AE7"/>
    <w:rPr>
      <w:color w:val="77479C" w:themeColor="followedHyperlink"/>
      <w:u w:val="single"/>
    </w:rPr>
  </w:style>
  <w:style w:type="character" w:styleId="Mention">
    <w:name w:val="Mention"/>
    <w:basedOn w:val="DefaultParagraphFont"/>
    <w:uiPriority w:val="99"/>
    <w:semiHidden/>
    <w:unhideWhenUsed/>
    <w:rsid w:val="006E7A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526599198">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mprovement.nhs.uk/uploads/documents/NHSI_RCA_Sector_Report_-_final.pdf" TargetMode="External"/><Relationship Id="rId3" Type="http://schemas.openxmlformats.org/officeDocument/2006/relationships/hyperlink" Target="https://www.gov.uk/government/publications/nhs-injury-cost-recovery-scheme" TargetMode="External"/><Relationship Id="rId7" Type="http://schemas.openxmlformats.org/officeDocument/2006/relationships/hyperlink" Target="https://improvement.nhs.uk/resources/approved-costing-guidance/" TargetMode="External"/><Relationship Id="rId2" Type="http://schemas.openxmlformats.org/officeDocument/2006/relationships/hyperlink" Target="https://improvement.nhs.uk/resources/review-audits-nhs-foundation-trusts/" TargetMode="External"/><Relationship Id="rId1" Type="http://schemas.openxmlformats.org/officeDocument/2006/relationships/hyperlink" Target="https://digital.nhs.uk/organisation-data-service" TargetMode="External"/><Relationship Id="rId6" Type="http://schemas.openxmlformats.org/officeDocument/2006/relationships/hyperlink" Target="https://improvement.nhs.uk/uploads/documents/Guidance_on_the_market_forces_factor_caqqjIe.pdf%20" TargetMode="External"/><Relationship Id="rId5" Type="http://schemas.openxmlformats.org/officeDocument/2006/relationships/hyperlink" Target="https://www.gov.uk/government/uploads/system/uploads/attachment_data/file/640425/NHS_Funds_held_on_Trust_FINAL.pdf" TargetMode="External"/><Relationship Id="rId4" Type="http://schemas.openxmlformats.org/officeDocument/2006/relationships/hyperlink" Target="https://www.gov.uk/government/collections/department-of-health-group-accounting-guida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2016 V1">
      <a:dk1>
        <a:sysClr val="windowText" lastClr="000000"/>
      </a:dk1>
      <a:lt1>
        <a:sysClr val="window" lastClr="FFFFFF"/>
      </a:lt1>
      <a:dk2>
        <a:srgbClr val="FF6600"/>
      </a:dk2>
      <a:lt2>
        <a:srgbClr val="595857"/>
      </a:lt2>
      <a:accent1>
        <a:srgbClr val="E1D602"/>
      </a:accent1>
      <a:accent2>
        <a:srgbClr val="D01E3D"/>
      </a:accent2>
      <a:accent3>
        <a:srgbClr val="77479C"/>
      </a:accent3>
      <a:accent4>
        <a:srgbClr val="00BAE3"/>
      </a:accent4>
      <a:accent5>
        <a:srgbClr val="D13F97"/>
      </a:accent5>
      <a:accent6>
        <a:srgbClr val="71BF44"/>
      </a:accent6>
      <a:hlink>
        <a:srgbClr val="FF6600"/>
      </a:hlink>
      <a:folHlink>
        <a:srgbClr val="77479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A5AE2518DC2448CC02111FAD0BACC" ma:contentTypeVersion="6" ma:contentTypeDescription="Create a new document." ma:contentTypeScope="" ma:versionID="88a9e2c29735ffa9f395164c7ed872a3">
  <xsd:schema xmlns:xsd="http://www.w3.org/2001/XMLSchema" xmlns:xs="http://www.w3.org/2001/XMLSchema" xmlns:p="http://schemas.microsoft.com/office/2006/metadata/properties" xmlns:ns2="cbe73c67-d520-4759-b27a-f133e8ff6731" xmlns:ns3="63366415-cadd-4af9-81fb-dd8f908a677e" targetNamespace="http://schemas.microsoft.com/office/2006/metadata/properties" ma:root="true" ma:fieldsID="3568ef0b827bb69cee53ec0160b91f34" ns2:_="" ns3:_="">
    <xsd:import namespace="cbe73c67-d520-4759-b27a-f133e8ff6731"/>
    <xsd:import namespace="63366415-cadd-4af9-81fb-dd8f908a6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73c67-d520-4759-b27a-f133e8ff67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66415-cadd-4af9-81fb-dd8f908a67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7B5B-0B42-4307-8CEF-03FD9A6F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73c67-d520-4759-b27a-f133e8ff6731"/>
    <ds:schemaRef ds:uri="63366415-cadd-4af9-81fb-dd8f908a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3.xml><?xml version="1.0" encoding="utf-8"?>
<ds:datastoreItem xmlns:ds="http://schemas.openxmlformats.org/officeDocument/2006/customXml" ds:itemID="{E3649D18-0F32-4BEB-920F-01CE59530A3D}">
  <ds:schemaRefs>
    <ds:schemaRef ds:uri="http://purl.org/dc/elements/1.1/"/>
    <ds:schemaRef ds:uri="http://schemas.microsoft.com/office/2006/metadata/properties"/>
    <ds:schemaRef ds:uri="63366415-cadd-4af9-81fb-dd8f908a677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be73c67-d520-4759-b27a-f133e8ff6731"/>
    <ds:schemaRef ds:uri="http://www.w3.org/XML/1998/namespace"/>
  </ds:schemaRefs>
</ds:datastoreItem>
</file>

<file path=customXml/itemProps4.xml><?xml version="1.0" encoding="utf-8"?>
<ds:datastoreItem xmlns:ds="http://schemas.openxmlformats.org/officeDocument/2006/customXml" ds:itemID="{D53A0946-56F2-4037-AB65-15FD5A4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9267</Words>
  <Characters>52823</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Epigram</Company>
  <LinksUpToDate>false</LinksUpToDate>
  <CharactersWithSpaces>61967</CharactersWithSpaces>
  <SharedDoc>false</SharedDoc>
  <HLinks>
    <vt:vector size="6" baseType="variant">
      <vt:variant>
        <vt:i4>1900636</vt:i4>
      </vt:variant>
      <vt:variant>
        <vt:i4>0</vt:i4>
      </vt:variant>
      <vt:variant>
        <vt:i4>0</vt:i4>
      </vt:variant>
      <vt:variant>
        <vt:i4>5</vt:i4>
      </vt:variant>
      <vt:variant>
        <vt:lpwstr>https://www.hfma.org.uk/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Walker</dc:creator>
  <cp:keywords/>
  <dc:description/>
  <cp:lastModifiedBy>Sheridan Mossley</cp:lastModifiedBy>
  <cp:revision>2</cp:revision>
  <cp:lastPrinted>2016-11-02T10:51:00Z</cp:lastPrinted>
  <dcterms:created xsi:type="dcterms:W3CDTF">2017-11-14T11:32:00Z</dcterms:created>
  <dcterms:modified xsi:type="dcterms:W3CDTF">2017-11-14T11:32:00Z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0x010100530A5AE2518DC2448CC02111FAD0BACC</vt:lpwstr>
  </property>
</Properties>
</file>