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273AA8" w14:textId="77777777" w:rsidR="006237ED" w:rsidRDefault="006237ED" w:rsidP="00515116">
      <w:pPr>
        <w:pStyle w:val="MainHeading32pt"/>
        <w:rPr>
          <w:color w:val="595857"/>
        </w:rPr>
      </w:pPr>
    </w:p>
    <w:p w14:paraId="46A2F0C0" w14:textId="77777777" w:rsidR="006237ED" w:rsidRDefault="006237ED" w:rsidP="00515116">
      <w:pPr>
        <w:pStyle w:val="MainHeading32pt"/>
        <w:rPr>
          <w:color w:val="595857"/>
        </w:rPr>
      </w:pPr>
    </w:p>
    <w:p w14:paraId="7A2B2C4E" w14:textId="77777777" w:rsidR="006237ED" w:rsidRDefault="006237ED" w:rsidP="00515116">
      <w:pPr>
        <w:pStyle w:val="MainHeading32pt"/>
        <w:rPr>
          <w:color w:val="595857"/>
        </w:rPr>
      </w:pPr>
    </w:p>
    <w:p w14:paraId="3CDA3909" w14:textId="77777777" w:rsidR="006237ED" w:rsidRDefault="006237ED" w:rsidP="00515116">
      <w:pPr>
        <w:pStyle w:val="MainHeading32pt"/>
        <w:rPr>
          <w:color w:val="595857"/>
        </w:rPr>
      </w:pPr>
    </w:p>
    <w:p w14:paraId="741AB8A5" w14:textId="77777777" w:rsidR="006237ED" w:rsidRDefault="006237ED" w:rsidP="00515116">
      <w:pPr>
        <w:pStyle w:val="MainHeading32pt"/>
        <w:rPr>
          <w:color w:val="595857"/>
        </w:rPr>
      </w:pPr>
    </w:p>
    <w:p w14:paraId="6D84FF34" w14:textId="77777777" w:rsidR="009836ED" w:rsidRDefault="009836ED" w:rsidP="009836ED">
      <w:pPr>
        <w:rPr>
          <w:b/>
          <w:bCs/>
          <w:sz w:val="88"/>
          <w:szCs w:val="88"/>
        </w:rPr>
      </w:pPr>
    </w:p>
    <w:p w14:paraId="68DF5B60" w14:textId="2B368876" w:rsidR="009836ED" w:rsidRPr="007731A8" w:rsidRDefault="000C17E4" w:rsidP="009836ED">
      <w:pPr>
        <w:rPr>
          <w:b/>
          <w:bCs/>
          <w:sz w:val="88"/>
          <w:szCs w:val="88"/>
        </w:rPr>
      </w:pPr>
      <w:r>
        <w:rPr>
          <w:b/>
          <w:bCs/>
          <w:sz w:val="88"/>
          <w:szCs w:val="88"/>
        </w:rPr>
        <w:t xml:space="preserve">Example NHS charity annual report and accounts </w:t>
      </w:r>
    </w:p>
    <w:p w14:paraId="5BC14F9C" w14:textId="2A81F1EF" w:rsidR="009836ED" w:rsidRPr="007731A8" w:rsidRDefault="004E78D7" w:rsidP="009836ED">
      <w:pPr>
        <w:rPr>
          <w:sz w:val="60"/>
          <w:szCs w:val="60"/>
        </w:rPr>
      </w:pPr>
      <w:r>
        <w:rPr>
          <w:sz w:val="60"/>
          <w:szCs w:val="60"/>
        </w:rPr>
        <w:t>202</w:t>
      </w:r>
      <w:r w:rsidR="00CC74FC">
        <w:rPr>
          <w:sz w:val="60"/>
          <w:szCs w:val="60"/>
        </w:rPr>
        <w:t>3</w:t>
      </w:r>
      <w:r>
        <w:rPr>
          <w:sz w:val="60"/>
          <w:szCs w:val="60"/>
        </w:rPr>
        <w:t>/2</w:t>
      </w:r>
      <w:r w:rsidR="00CC74FC">
        <w:rPr>
          <w:sz w:val="60"/>
          <w:szCs w:val="60"/>
        </w:rPr>
        <w:t>4</w:t>
      </w:r>
    </w:p>
    <w:p w14:paraId="6A9931A7" w14:textId="431F9409" w:rsidR="00AD28A4" w:rsidRDefault="00AD28A4"/>
    <w:p w14:paraId="0AEFCD72" w14:textId="77777777" w:rsidR="007D6D41" w:rsidRDefault="007D6D41" w:rsidP="00EB3036">
      <w:pPr>
        <w:pStyle w:val="Heading20pt"/>
      </w:pPr>
    </w:p>
    <w:p w14:paraId="14559037" w14:textId="77777777" w:rsidR="004A4238" w:rsidRDefault="004A4238" w:rsidP="00737B96">
      <w:pPr>
        <w:pStyle w:val="Heading20pt"/>
      </w:pPr>
    </w:p>
    <w:p w14:paraId="22DDD612" w14:textId="77777777" w:rsidR="004A4238" w:rsidRDefault="004A4238" w:rsidP="00737B96">
      <w:pPr>
        <w:pStyle w:val="Heading20pt"/>
      </w:pPr>
    </w:p>
    <w:p w14:paraId="0CC31ECC" w14:textId="77777777" w:rsidR="004A4238" w:rsidRDefault="004A4238" w:rsidP="00737B96">
      <w:pPr>
        <w:pStyle w:val="Heading20pt"/>
      </w:pPr>
    </w:p>
    <w:p w14:paraId="728CCD36" w14:textId="77777777" w:rsidR="009836ED" w:rsidRDefault="009836ED">
      <w:pPr>
        <w:rPr>
          <w:rFonts w:cs="Arial-BoldMT"/>
          <w:b/>
          <w:bCs/>
          <w:color w:val="64AFE1" w:themeColor="accent2"/>
          <w:sz w:val="40"/>
          <w:szCs w:val="40"/>
          <w:lang w:val="en-GB"/>
        </w:rPr>
      </w:pPr>
      <w:r>
        <w:br w:type="page"/>
      </w:r>
    </w:p>
    <w:p w14:paraId="19D0242F" w14:textId="223F542B" w:rsidR="00737B96" w:rsidRPr="00737B96" w:rsidRDefault="00447E10" w:rsidP="00737B96">
      <w:pPr>
        <w:pStyle w:val="Heading20pt"/>
      </w:pPr>
      <w:r>
        <w:lastRenderedPageBreak/>
        <w:t>Introduction</w:t>
      </w:r>
    </w:p>
    <w:p w14:paraId="110C40D4" w14:textId="367308F2" w:rsidR="00D82F1F" w:rsidRDefault="00D82F1F" w:rsidP="008369BA">
      <w:pPr>
        <w:pStyle w:val="Strapline14pt"/>
      </w:pPr>
      <w:r>
        <w:t>In January 2016, the HFMA published an example NHS charity annual report and accounts to assist members with the preparation of their annual report and accounts in accordance with the</w:t>
      </w:r>
      <w:r w:rsidR="0024431E">
        <w:t>,</w:t>
      </w:r>
      <w:r>
        <w:t xml:space="preserve"> </w:t>
      </w:r>
      <w:r w:rsidR="00236287">
        <w:t>then new</w:t>
      </w:r>
      <w:r w:rsidR="0024431E">
        <w:t>,</w:t>
      </w:r>
      <w:r w:rsidR="00236287">
        <w:t xml:space="preserve"> </w:t>
      </w:r>
      <w:r w:rsidR="00AD4833" w:rsidRPr="00AD4833">
        <w:rPr>
          <w:i/>
          <w:iCs/>
        </w:rPr>
        <w:t>S</w:t>
      </w:r>
      <w:r w:rsidR="00236287" w:rsidRPr="00AD4833">
        <w:rPr>
          <w:i/>
          <w:iCs/>
        </w:rPr>
        <w:t>tatement of recommended practice</w:t>
      </w:r>
      <w:r w:rsidR="00AD4833" w:rsidRPr="00AD4833">
        <w:rPr>
          <w:i/>
          <w:iCs/>
        </w:rPr>
        <w:t xml:space="preserve"> </w:t>
      </w:r>
      <w:r w:rsidR="009635EF" w:rsidRPr="00AD4833">
        <w:rPr>
          <w:i/>
          <w:iCs/>
        </w:rPr>
        <w:t>applicable</w:t>
      </w:r>
      <w:r w:rsidR="00AD4833" w:rsidRPr="00AD4833">
        <w:rPr>
          <w:i/>
          <w:iCs/>
        </w:rPr>
        <w:t xml:space="preserve"> to charities</w:t>
      </w:r>
      <w:r w:rsidR="00AD4833">
        <w:t xml:space="preserve"> (</w:t>
      </w:r>
      <w:r>
        <w:t>SORP</w:t>
      </w:r>
      <w:r w:rsidR="00AD4833">
        <w:t>)</w:t>
      </w:r>
      <w:r>
        <w:t>. The example is updated each year to take account of any changes in financial reporting guidance – this is the latest version of those accounts.</w:t>
      </w:r>
    </w:p>
    <w:p w14:paraId="10A00CC2" w14:textId="32917B68" w:rsidR="001A011A" w:rsidRDefault="001A011A" w:rsidP="008369BA">
      <w:pPr>
        <w:pStyle w:val="Strapline14pt"/>
      </w:pPr>
      <w:r w:rsidRPr="00BB5C81">
        <w:t xml:space="preserve">Key changes to the annual report and accounts </w:t>
      </w:r>
      <w:r w:rsidR="008369BA">
        <w:t>from the 202</w:t>
      </w:r>
      <w:r w:rsidR="009530F9">
        <w:t>2</w:t>
      </w:r>
      <w:r w:rsidR="008369BA">
        <w:t>/</w:t>
      </w:r>
      <w:r w:rsidR="00CA5458">
        <w:t>23</w:t>
      </w:r>
      <w:r w:rsidR="006B2E9F">
        <w:t xml:space="preserve"> </w:t>
      </w:r>
      <w:r w:rsidR="008369BA">
        <w:t xml:space="preserve">version </w:t>
      </w:r>
      <w:r w:rsidRPr="00BB5C81">
        <w:t xml:space="preserve">are highlighted in </w:t>
      </w:r>
      <w:r w:rsidRPr="00BB5C81">
        <w:rPr>
          <w:b/>
          <w:bCs/>
          <w:i/>
          <w:iCs/>
        </w:rPr>
        <w:t>bold, italic.</w:t>
      </w:r>
    </w:p>
    <w:p w14:paraId="28FB5170" w14:textId="451349A6" w:rsidR="00CD376B" w:rsidRDefault="00CD376B" w:rsidP="00CD376B">
      <w:pPr>
        <w:pStyle w:val="Heading1"/>
      </w:pPr>
      <w:bookmarkStart w:id="0" w:name="_Hlk163807064"/>
      <w:r>
        <w:t>Accounting requirements for 202</w:t>
      </w:r>
      <w:r w:rsidR="00CA5458">
        <w:t>3</w:t>
      </w:r>
      <w:r>
        <w:t>/2</w:t>
      </w:r>
      <w:r w:rsidR="00CA5458">
        <w:t>4</w:t>
      </w:r>
    </w:p>
    <w:bookmarkEnd w:id="0"/>
    <w:p w14:paraId="4C700D47" w14:textId="6902A5AB" w:rsidR="00CD376B" w:rsidRDefault="00AD4833" w:rsidP="00CD376B">
      <w:pPr>
        <w:pStyle w:val="Bodytext"/>
      </w:pPr>
      <w:r>
        <w:t>Charit</w:t>
      </w:r>
      <w:r w:rsidR="00FD61F2">
        <w:t xml:space="preserve">ies with gross income of </w:t>
      </w:r>
      <w:r w:rsidR="00265673">
        <w:t>over £250,000</w:t>
      </w:r>
      <w:r w:rsidR="00EC3564">
        <w:rPr>
          <w:rStyle w:val="FootnoteReference"/>
        </w:rPr>
        <w:footnoteReference w:id="2"/>
      </w:r>
      <w:r w:rsidR="00265673">
        <w:t xml:space="preserve"> in the financial year must prepare their accounts </w:t>
      </w:r>
      <w:r w:rsidR="00CD376B">
        <w:t xml:space="preserve">in accordance with the second edition of the </w:t>
      </w:r>
      <w:r w:rsidR="00CD376B">
        <w:rPr>
          <w:i/>
        </w:rPr>
        <w:t>Statement of recommended p</w:t>
      </w:r>
      <w:r w:rsidR="00CD376B" w:rsidRPr="00DD5CB8">
        <w:rPr>
          <w:i/>
        </w:rPr>
        <w:t>ractice applicable to charities preparing their accounts in accordance with the Financial Reporting Standard applicable in the UK and Republic of Ireland (FRS 102)</w:t>
      </w:r>
      <w:r w:rsidR="00CD376B">
        <w:t xml:space="preserve"> (SORP FRS 102)</w:t>
      </w:r>
      <w:r w:rsidR="00CD376B">
        <w:rPr>
          <w:rStyle w:val="FootnoteReference"/>
        </w:rPr>
        <w:footnoteReference w:id="3"/>
      </w:r>
      <w:r w:rsidR="00CD376B">
        <w:t xml:space="preserve">. </w:t>
      </w:r>
    </w:p>
    <w:p w14:paraId="21F8D61E" w14:textId="77777777" w:rsidR="0036114D" w:rsidRDefault="00CD376B" w:rsidP="00CD376B">
      <w:pPr>
        <w:pStyle w:val="Bodytext"/>
      </w:pPr>
      <w:r w:rsidRPr="00F41C0E">
        <w:t xml:space="preserve">There are no changes to </w:t>
      </w:r>
      <w:r w:rsidR="00E847BF">
        <w:t>FRS 102</w:t>
      </w:r>
      <w:r w:rsidR="00E847BF">
        <w:rPr>
          <w:rStyle w:val="FootnoteReference"/>
        </w:rPr>
        <w:footnoteReference w:id="4"/>
      </w:r>
      <w:r w:rsidR="00E847BF">
        <w:t xml:space="preserve"> or the </w:t>
      </w:r>
      <w:r w:rsidRPr="00F41C0E">
        <w:t>SORP FRS 102</w:t>
      </w:r>
      <w:r w:rsidR="00966514">
        <w:t xml:space="preserve"> for </w:t>
      </w:r>
      <w:r w:rsidR="00444B9F">
        <w:t>2023/24</w:t>
      </w:r>
      <w:r w:rsidR="00523E0A">
        <w:t>.</w:t>
      </w:r>
      <w:r w:rsidR="006735F2">
        <w:t xml:space="preserve"> </w:t>
      </w:r>
    </w:p>
    <w:p w14:paraId="77F927B9" w14:textId="77777777" w:rsidR="00732D0B" w:rsidRPr="00732D0B" w:rsidRDefault="00732D0B" w:rsidP="00732D0B">
      <w:pPr>
        <w:pStyle w:val="Bodytext"/>
      </w:pPr>
      <w:r w:rsidRPr="00732D0B">
        <w:t xml:space="preserve">The key message of the 2023/24 annual report and accounts remains that these should tell the story of the charity’s year. </w:t>
      </w:r>
    </w:p>
    <w:p w14:paraId="7AA95194" w14:textId="77777777" w:rsidR="00BB5C81" w:rsidRPr="00BB5C81" w:rsidRDefault="00BB5C81" w:rsidP="00BB5C81">
      <w:pPr>
        <w:pStyle w:val="Heading2"/>
      </w:pPr>
      <w:r w:rsidRPr="00BB5C81">
        <w:t>Other guidance</w:t>
      </w:r>
    </w:p>
    <w:p w14:paraId="4CAB890F" w14:textId="77777777" w:rsidR="00BB5C81" w:rsidRPr="00BB5C81" w:rsidRDefault="00BB5C81" w:rsidP="00BB5C81">
      <w:pPr>
        <w:pStyle w:val="Bodytext"/>
      </w:pPr>
      <w:r w:rsidRPr="00BB5C81">
        <w:t xml:space="preserve">Additional guidance on implementation of the SORP FRS 102 is provided in </w:t>
      </w:r>
      <w:r w:rsidRPr="00BB5C81">
        <w:rPr>
          <w:i/>
          <w:iCs/>
        </w:rPr>
        <w:t>Information sheets</w:t>
      </w:r>
      <w:r w:rsidRPr="00BB5C81">
        <w:t xml:space="preserve"> published on the SORP microsite</w:t>
      </w:r>
      <w:r w:rsidRPr="00BB5C81">
        <w:rPr>
          <w:vertAlign w:val="superscript"/>
        </w:rPr>
        <w:footnoteReference w:id="5"/>
      </w:r>
      <w:r w:rsidRPr="00BB5C81">
        <w:t>:</w:t>
      </w:r>
    </w:p>
    <w:p w14:paraId="6BB5ECAC" w14:textId="18EF8D57" w:rsidR="00BB5C81" w:rsidRPr="00BB5C81" w:rsidRDefault="00000000" w:rsidP="00BB5C81">
      <w:pPr>
        <w:pStyle w:val="Bullet"/>
        <w:numPr>
          <w:ilvl w:val="0"/>
          <w:numId w:val="37"/>
        </w:numPr>
      </w:pPr>
      <w:hyperlink r:id="rId11" w:history="1">
        <w:r w:rsidR="00BB5C81" w:rsidRPr="00BB5C81">
          <w:rPr>
            <w:rStyle w:val="Hyperlink"/>
            <w:i/>
            <w:iCs/>
          </w:rPr>
          <w:t>Suggested solutions for implementation issues</w:t>
        </w:r>
      </w:hyperlink>
      <w:r w:rsidR="00BB5C81" w:rsidRPr="00BB5C81">
        <w:rPr>
          <w:i/>
          <w:iCs/>
        </w:rPr>
        <w:t xml:space="preserve"> </w:t>
      </w:r>
      <w:r w:rsidR="00BB5C81" w:rsidRPr="00BB5C81">
        <w:t>(issued April 2017)</w:t>
      </w:r>
    </w:p>
    <w:p w14:paraId="3D4575B9" w14:textId="0087020F" w:rsidR="00BB5C81" w:rsidRPr="00BB5C81" w:rsidRDefault="00000000" w:rsidP="00BB5C81">
      <w:pPr>
        <w:pStyle w:val="Bullet"/>
        <w:numPr>
          <w:ilvl w:val="0"/>
          <w:numId w:val="37"/>
        </w:numPr>
      </w:pPr>
      <w:hyperlink r:id="rId12" w:history="1">
        <w:r w:rsidR="00BB5C81" w:rsidRPr="00BB5C81">
          <w:rPr>
            <w:rStyle w:val="Hyperlink"/>
            <w:i/>
            <w:iCs/>
          </w:rPr>
          <w:t>Accounting for gift aid payments made by a subsidiary to its parent charity where no legal obligation to make the payment exists</w:t>
        </w:r>
      </w:hyperlink>
      <w:r w:rsidR="00BB5C81" w:rsidRPr="00BB5C81">
        <w:rPr>
          <w:i/>
          <w:iCs/>
        </w:rPr>
        <w:t xml:space="preserve"> </w:t>
      </w:r>
      <w:r w:rsidR="00BB5C81" w:rsidRPr="00BB5C81">
        <w:t>(issued January 2019)</w:t>
      </w:r>
    </w:p>
    <w:p w14:paraId="2CC22222" w14:textId="5666AB0D" w:rsidR="00BB5C81" w:rsidRPr="00BB5C81" w:rsidRDefault="00000000" w:rsidP="00BB5C81">
      <w:pPr>
        <w:pStyle w:val="Bullet"/>
        <w:numPr>
          <w:ilvl w:val="0"/>
          <w:numId w:val="37"/>
        </w:numPr>
      </w:pPr>
      <w:hyperlink r:id="rId13" w:history="1">
        <w:r w:rsidR="00BB5C81" w:rsidRPr="00BB5C81">
          <w:rPr>
            <w:rStyle w:val="Hyperlink"/>
            <w:i/>
            <w:iCs/>
          </w:rPr>
          <w:t>The Companies (Miscellaneous Reporting) Regulations 2018 and UK Company Charities</w:t>
        </w:r>
      </w:hyperlink>
      <w:r w:rsidR="00BB5C81" w:rsidRPr="00BB5C81">
        <w:rPr>
          <w:i/>
          <w:iCs/>
        </w:rPr>
        <w:t xml:space="preserve"> </w:t>
      </w:r>
      <w:r w:rsidR="00BB5C81" w:rsidRPr="00BB5C81">
        <w:t>(issued September 2019)</w:t>
      </w:r>
    </w:p>
    <w:p w14:paraId="2EA449B8" w14:textId="3BBCF501" w:rsidR="00BB5C81" w:rsidRPr="00BB5C81" w:rsidRDefault="00000000" w:rsidP="00BB5C81">
      <w:pPr>
        <w:pStyle w:val="Bullet"/>
        <w:numPr>
          <w:ilvl w:val="0"/>
          <w:numId w:val="37"/>
        </w:numPr>
      </w:pPr>
      <w:hyperlink r:id="rId14" w:history="1">
        <w:r w:rsidR="00BB5C81" w:rsidRPr="00BB5C81">
          <w:rPr>
            <w:rStyle w:val="Hyperlink"/>
            <w:i/>
            <w:iCs/>
          </w:rPr>
          <w:t>Amendments to FRS 102 – multi employer defined benefit plans</w:t>
        </w:r>
      </w:hyperlink>
      <w:r w:rsidR="00BB5C81" w:rsidRPr="00BB5C81">
        <w:rPr>
          <w:i/>
          <w:iCs/>
        </w:rPr>
        <w:t xml:space="preserve"> </w:t>
      </w:r>
      <w:r w:rsidR="00BB5C81" w:rsidRPr="00BB5C81">
        <w:t>(issued November 2019)</w:t>
      </w:r>
    </w:p>
    <w:p w14:paraId="6FACE9BD" w14:textId="5B100027" w:rsidR="00BB5C81" w:rsidRDefault="00000000" w:rsidP="00BB5C81">
      <w:pPr>
        <w:pStyle w:val="Bullet"/>
        <w:numPr>
          <w:ilvl w:val="0"/>
          <w:numId w:val="37"/>
        </w:numPr>
      </w:pPr>
      <w:hyperlink r:id="rId15" w:history="1">
        <w:r w:rsidR="00BB5C81" w:rsidRPr="00BB5C81">
          <w:rPr>
            <w:rStyle w:val="Hyperlink"/>
            <w:i/>
            <w:iCs/>
          </w:rPr>
          <w:t>The Companies (Directors’ Report) and Limited Liability Partnerships (Energy and Carbon Report) Regulations 2018, as applied to charitable companies</w:t>
        </w:r>
      </w:hyperlink>
      <w:r w:rsidR="00BB5C81" w:rsidRPr="00BB5C81">
        <w:rPr>
          <w:i/>
          <w:iCs/>
        </w:rPr>
        <w:t xml:space="preserve"> </w:t>
      </w:r>
      <w:r w:rsidR="00BB5C81" w:rsidRPr="00BB5C81">
        <w:t>(issued June 2020, updated September 2020)</w:t>
      </w:r>
    </w:p>
    <w:p w14:paraId="0C1B201F" w14:textId="0FE2BB60" w:rsidR="003A1A48" w:rsidRPr="00BB5C81" w:rsidRDefault="00000000" w:rsidP="00BB5C81">
      <w:pPr>
        <w:pStyle w:val="Bullet"/>
        <w:numPr>
          <w:ilvl w:val="0"/>
          <w:numId w:val="37"/>
        </w:numPr>
      </w:pPr>
      <w:hyperlink r:id="rId16" w:history="1">
        <w:r w:rsidR="00A37B52" w:rsidRPr="00A37B52">
          <w:rPr>
            <w:rStyle w:val="Hyperlink"/>
            <w:i/>
            <w:iCs/>
          </w:rPr>
          <w:t>Irish charities - merger accounting and Republic of Ireland company law</w:t>
        </w:r>
      </w:hyperlink>
      <w:r w:rsidR="00BE6781">
        <w:t xml:space="preserve"> (published June 2020)</w:t>
      </w:r>
    </w:p>
    <w:p w14:paraId="578FE5F4" w14:textId="67863FCB" w:rsidR="00BB5C81" w:rsidRDefault="00BB5C81" w:rsidP="00BB5C81">
      <w:pPr>
        <w:pStyle w:val="Bodytext"/>
      </w:pPr>
      <w:r w:rsidRPr="00BB5C81">
        <w:t>These do not amend the SORP FRS 102 but add clarification and guidance. It is unlikely that any will be applicable to NHS charities</w:t>
      </w:r>
      <w:r w:rsidR="0077785C">
        <w:t>.</w:t>
      </w:r>
    </w:p>
    <w:p w14:paraId="4D679728" w14:textId="4BD3EF00" w:rsidR="00593B75" w:rsidRPr="00593B75" w:rsidRDefault="003260E0" w:rsidP="006664B1">
      <w:pPr>
        <w:pStyle w:val="Heading1"/>
      </w:pPr>
      <w:r>
        <w:t xml:space="preserve">Future </w:t>
      </w:r>
      <w:r w:rsidR="00EE08A9">
        <w:t>r</w:t>
      </w:r>
      <w:r>
        <w:t>equirements</w:t>
      </w:r>
    </w:p>
    <w:p w14:paraId="66A13D56" w14:textId="7C232DC1" w:rsidR="00593B75" w:rsidRPr="002027DF" w:rsidRDefault="003260E0" w:rsidP="00BB5C81">
      <w:pPr>
        <w:pStyle w:val="Bodytext"/>
        <w:rPr>
          <w:b/>
          <w:bCs/>
        </w:rPr>
      </w:pPr>
      <w:r w:rsidRPr="002027DF">
        <w:rPr>
          <w:b/>
          <w:bCs/>
          <w:i/>
          <w:iCs/>
        </w:rPr>
        <w:t xml:space="preserve">The Financial Reporting Council (FRC) has now </w:t>
      </w:r>
      <w:r w:rsidR="00BF51C3" w:rsidRPr="00DB4FD7">
        <w:rPr>
          <w:b/>
          <w:bCs/>
          <w:i/>
          <w:iCs/>
        </w:rPr>
        <w:t>finalised their</w:t>
      </w:r>
      <w:r w:rsidRPr="002027DF">
        <w:rPr>
          <w:b/>
          <w:bCs/>
          <w:i/>
          <w:iCs/>
        </w:rPr>
        <w:t xml:space="preserve"> period review</w:t>
      </w:r>
      <w:r w:rsidRPr="002027DF">
        <w:rPr>
          <w:b/>
          <w:bCs/>
          <w:i/>
          <w:iCs/>
          <w:vertAlign w:val="superscript"/>
        </w:rPr>
        <w:footnoteReference w:id="6"/>
      </w:r>
      <w:r w:rsidRPr="002027DF">
        <w:rPr>
          <w:b/>
          <w:bCs/>
          <w:i/>
          <w:iCs/>
        </w:rPr>
        <w:t xml:space="preserve">, and </w:t>
      </w:r>
      <w:r w:rsidR="00BF51C3" w:rsidRPr="00DB4FD7">
        <w:rPr>
          <w:b/>
          <w:bCs/>
          <w:i/>
          <w:iCs/>
        </w:rPr>
        <w:t xml:space="preserve">published a </w:t>
      </w:r>
      <w:r w:rsidRPr="00BE2E4B">
        <w:rPr>
          <w:b/>
          <w:bCs/>
          <w:i/>
          <w:iCs/>
        </w:rPr>
        <w:t xml:space="preserve">new FRS 102 </w:t>
      </w:r>
      <w:r w:rsidR="003A791A" w:rsidRPr="00BE2E4B">
        <w:rPr>
          <w:b/>
          <w:bCs/>
          <w:i/>
          <w:iCs/>
        </w:rPr>
        <w:t xml:space="preserve">that </w:t>
      </w:r>
      <w:r w:rsidRPr="00A1116B">
        <w:rPr>
          <w:b/>
          <w:bCs/>
          <w:i/>
          <w:iCs/>
        </w:rPr>
        <w:t>will be applicable to financial periods starting on or after 1 January 2026. The</w:t>
      </w:r>
      <w:r w:rsidR="003A791A" w:rsidRPr="00BE2E4B">
        <w:rPr>
          <w:b/>
          <w:bCs/>
          <w:i/>
          <w:iCs/>
        </w:rPr>
        <w:t xml:space="preserve"> </w:t>
      </w:r>
      <w:r w:rsidRPr="00BE2E4B">
        <w:rPr>
          <w:b/>
          <w:bCs/>
          <w:i/>
          <w:iCs/>
        </w:rPr>
        <w:t xml:space="preserve">SORP </w:t>
      </w:r>
      <w:r w:rsidR="003A791A" w:rsidRPr="002027DF">
        <w:rPr>
          <w:b/>
          <w:bCs/>
          <w:i/>
          <w:iCs/>
        </w:rPr>
        <w:t>will be updated to refle</w:t>
      </w:r>
      <w:r w:rsidR="002C4776">
        <w:rPr>
          <w:b/>
          <w:bCs/>
          <w:i/>
          <w:iCs/>
        </w:rPr>
        <w:t>c</w:t>
      </w:r>
      <w:r w:rsidR="003A791A" w:rsidRPr="002027DF">
        <w:rPr>
          <w:b/>
          <w:bCs/>
          <w:i/>
          <w:iCs/>
        </w:rPr>
        <w:t>t the new standard’s requirements</w:t>
      </w:r>
      <w:r w:rsidRPr="002027DF">
        <w:rPr>
          <w:b/>
          <w:bCs/>
          <w:i/>
          <w:iCs/>
        </w:rPr>
        <w:t xml:space="preserve">, with publication </w:t>
      </w:r>
      <w:r w:rsidRPr="002027DF">
        <w:rPr>
          <w:b/>
          <w:bCs/>
          <w:i/>
          <w:iCs/>
        </w:rPr>
        <w:lastRenderedPageBreak/>
        <w:t>anticipated</w:t>
      </w:r>
      <w:r w:rsidRPr="002027DF">
        <w:rPr>
          <w:b/>
          <w:bCs/>
          <w:i/>
          <w:iCs/>
          <w:vertAlign w:val="superscript"/>
        </w:rPr>
        <w:footnoteReference w:id="7"/>
      </w:r>
      <w:r w:rsidRPr="002027DF">
        <w:rPr>
          <w:b/>
          <w:bCs/>
          <w:i/>
          <w:iCs/>
        </w:rPr>
        <w:t xml:space="preserve"> for 2025</w:t>
      </w:r>
      <w:r w:rsidR="00283C70" w:rsidRPr="00545FAA">
        <w:rPr>
          <w:b/>
          <w:bCs/>
          <w:i/>
          <w:iCs/>
        </w:rPr>
        <w:t xml:space="preserve">. The new SORP will </w:t>
      </w:r>
      <w:r w:rsidRPr="002027DF">
        <w:rPr>
          <w:b/>
          <w:bCs/>
          <w:i/>
          <w:iCs/>
        </w:rPr>
        <w:t xml:space="preserve">apply to NHS charity accounts </w:t>
      </w:r>
      <w:r w:rsidR="00283C70" w:rsidRPr="002027DF">
        <w:rPr>
          <w:b/>
          <w:bCs/>
          <w:i/>
          <w:iCs/>
        </w:rPr>
        <w:t>from</w:t>
      </w:r>
      <w:r w:rsidRPr="002027DF">
        <w:rPr>
          <w:b/>
          <w:bCs/>
          <w:i/>
          <w:iCs/>
        </w:rPr>
        <w:t xml:space="preserve"> 2026/27 onwards. </w:t>
      </w:r>
    </w:p>
    <w:p w14:paraId="09B5EADA" w14:textId="77777777" w:rsidR="00D47D47" w:rsidRPr="006644A8" w:rsidRDefault="00D47D47" w:rsidP="00D47D47">
      <w:pPr>
        <w:pStyle w:val="Heading1"/>
      </w:pPr>
      <w:r w:rsidRPr="006644A8">
        <w:t>Example trustee a</w:t>
      </w:r>
      <w:r>
        <w:t>n</w:t>
      </w:r>
      <w:r w:rsidRPr="006644A8">
        <w:t>nual report and accounts:</w:t>
      </w:r>
      <w:r>
        <w:t xml:space="preserve"> On the Mend NHS</w:t>
      </w:r>
      <w:r w:rsidRPr="006644A8">
        <w:t xml:space="preserve"> Charit</w:t>
      </w:r>
      <w:r>
        <w:t>y</w:t>
      </w:r>
    </w:p>
    <w:p w14:paraId="22FF66AB" w14:textId="77777777" w:rsidR="00D47D47" w:rsidRPr="00D408DC" w:rsidRDefault="00D47D47" w:rsidP="00D47D47">
      <w:pPr>
        <w:pStyle w:val="Heading2"/>
      </w:pPr>
      <w:r w:rsidRPr="00D408DC">
        <w:t>Background</w:t>
      </w:r>
    </w:p>
    <w:p w14:paraId="3539D0A7" w14:textId="77777777" w:rsidR="00D47D47" w:rsidRDefault="00D47D47" w:rsidP="00D47D47">
      <w:pPr>
        <w:pStyle w:val="Bodytext"/>
      </w:pPr>
      <w:r>
        <w:t>T</w:t>
      </w:r>
      <w:r w:rsidRPr="00622CAD">
        <w:t>h</w:t>
      </w:r>
      <w:r>
        <w:t>e</w:t>
      </w:r>
      <w:r w:rsidRPr="00622CAD">
        <w:t xml:space="preserve"> </w:t>
      </w:r>
      <w:r>
        <w:t xml:space="preserve">example annual report and accounts </w:t>
      </w:r>
      <w:r w:rsidRPr="00622CAD">
        <w:t>has been developed by the HFMA under the guidance and direction of its Charitable Funds Special Interest Group.</w:t>
      </w:r>
      <w:r>
        <w:t xml:space="preserve"> </w:t>
      </w:r>
    </w:p>
    <w:p w14:paraId="7E842969" w14:textId="77777777" w:rsidR="00952788" w:rsidRDefault="00D47D47" w:rsidP="00D47D47">
      <w:pPr>
        <w:pStyle w:val="Bodytext"/>
        <w:rPr>
          <w:rFonts w:cs="Arial"/>
        </w:rPr>
      </w:pPr>
      <w:r>
        <w:t>The example was originally based on t</w:t>
      </w:r>
      <w:r w:rsidRPr="00E03AA1">
        <w:rPr>
          <w:rFonts w:cs="Arial"/>
        </w:rPr>
        <w:t>he Sandpor</w:t>
      </w:r>
      <w:r>
        <w:rPr>
          <w:rFonts w:cs="Arial"/>
        </w:rPr>
        <w:t>t Children’s Hospital Charities</w:t>
      </w:r>
      <w:r w:rsidRPr="00E03AA1">
        <w:rPr>
          <w:rFonts w:cs="Arial"/>
        </w:rPr>
        <w:t xml:space="preserve"> example </w:t>
      </w:r>
      <w:r>
        <w:rPr>
          <w:rFonts w:cs="Arial"/>
        </w:rPr>
        <w:t xml:space="preserve">trustee annual report and </w:t>
      </w:r>
      <w:r w:rsidRPr="00E03AA1">
        <w:rPr>
          <w:rFonts w:cs="Arial"/>
        </w:rPr>
        <w:t xml:space="preserve">accounts </w:t>
      </w:r>
      <w:r>
        <w:rPr>
          <w:rFonts w:cs="Arial"/>
        </w:rPr>
        <w:t xml:space="preserve">published by the </w:t>
      </w:r>
      <w:r w:rsidRPr="00E03AA1">
        <w:rPr>
          <w:rFonts w:cs="Arial"/>
        </w:rPr>
        <w:t xml:space="preserve">Charity Commission </w:t>
      </w:r>
      <w:r>
        <w:rPr>
          <w:rFonts w:cs="Arial"/>
        </w:rPr>
        <w:t xml:space="preserve">for England and Wales </w:t>
      </w:r>
      <w:r w:rsidRPr="00E03AA1">
        <w:rPr>
          <w:rFonts w:cs="Arial"/>
        </w:rPr>
        <w:t xml:space="preserve">to assist with the preparation of NHS charity annual reports and accounts in accordance with </w:t>
      </w:r>
      <w:r>
        <w:rPr>
          <w:rFonts w:cs="Arial"/>
        </w:rPr>
        <w:t xml:space="preserve">the SORP published in 2005. </w:t>
      </w:r>
    </w:p>
    <w:p w14:paraId="3B126DD0" w14:textId="0C28BC2A" w:rsidR="00D47D47" w:rsidRPr="006D2242" w:rsidRDefault="00952788" w:rsidP="00D47D47">
      <w:pPr>
        <w:pStyle w:val="Bodytext"/>
        <w:rPr>
          <w:rFonts w:cs="Arial"/>
        </w:rPr>
      </w:pPr>
      <w:r>
        <w:rPr>
          <w:rFonts w:cs="Arial"/>
        </w:rPr>
        <w:t>Th</w:t>
      </w:r>
      <w:r w:rsidR="00D9599F">
        <w:rPr>
          <w:rFonts w:cs="Arial"/>
        </w:rPr>
        <w:t>is</w:t>
      </w:r>
      <w:r>
        <w:rPr>
          <w:rFonts w:cs="Arial"/>
        </w:rPr>
        <w:t xml:space="preserve"> example has been revised </w:t>
      </w:r>
      <w:r w:rsidR="00D9599F">
        <w:rPr>
          <w:rFonts w:cs="Arial"/>
        </w:rPr>
        <w:t>annually</w:t>
      </w:r>
      <w:r w:rsidR="003F411D">
        <w:rPr>
          <w:rFonts w:cs="Arial"/>
        </w:rPr>
        <w:t xml:space="preserve"> </w:t>
      </w:r>
      <w:r w:rsidR="00BF66AD" w:rsidRPr="00FB5FC3">
        <w:rPr>
          <w:rFonts w:cs="Arial"/>
        </w:rPr>
        <w:t>and</w:t>
      </w:r>
      <w:r w:rsidR="003F411D">
        <w:rPr>
          <w:rFonts w:cs="Arial"/>
        </w:rPr>
        <w:t>,</w:t>
      </w:r>
      <w:r w:rsidR="00BF66AD" w:rsidRPr="00FB5FC3">
        <w:rPr>
          <w:rFonts w:cs="Arial"/>
        </w:rPr>
        <w:t xml:space="preserve"> since</w:t>
      </w:r>
      <w:r w:rsidR="00193338" w:rsidRPr="00193338">
        <w:rPr>
          <w:rFonts w:cs="Arial"/>
        </w:rPr>
        <w:t xml:space="preserve"> </w:t>
      </w:r>
      <w:r w:rsidR="00BF66AD" w:rsidRPr="00FB5FC3">
        <w:rPr>
          <w:rFonts w:cs="Arial"/>
        </w:rPr>
        <w:t>t</w:t>
      </w:r>
      <w:r w:rsidRPr="00FB5FC3">
        <w:rPr>
          <w:rFonts w:cs="Arial"/>
        </w:rPr>
        <w:t>he</w:t>
      </w:r>
      <w:r w:rsidR="00FB5FC3">
        <w:rPr>
          <w:rFonts w:cs="Arial"/>
        </w:rPr>
        <w:t xml:space="preserve"> </w:t>
      </w:r>
      <w:r w:rsidRPr="006D2242">
        <w:rPr>
          <w:rFonts w:cs="Arial"/>
        </w:rPr>
        <w:t>202</w:t>
      </w:r>
      <w:r w:rsidR="002B651E" w:rsidRPr="006D2242">
        <w:rPr>
          <w:rFonts w:cs="Arial"/>
        </w:rPr>
        <w:t>2</w:t>
      </w:r>
      <w:r w:rsidRPr="006D2242">
        <w:rPr>
          <w:rFonts w:cs="Arial"/>
        </w:rPr>
        <w:t>/2</w:t>
      </w:r>
      <w:r w:rsidR="002B651E" w:rsidRPr="006D2242">
        <w:rPr>
          <w:rFonts w:cs="Arial"/>
        </w:rPr>
        <w:t>3</w:t>
      </w:r>
      <w:r w:rsidRPr="006D2242">
        <w:rPr>
          <w:rFonts w:cs="Arial"/>
        </w:rPr>
        <w:t xml:space="preserve"> update</w:t>
      </w:r>
      <w:r w:rsidR="003F411D">
        <w:rPr>
          <w:rFonts w:cs="Arial"/>
        </w:rPr>
        <w:t>,</w:t>
      </w:r>
      <w:r w:rsidRPr="006D2242">
        <w:rPr>
          <w:rFonts w:cs="Arial"/>
        </w:rPr>
        <w:t xml:space="preserve"> reflects the </w:t>
      </w:r>
      <w:r w:rsidR="002B651E" w:rsidRPr="006D2242">
        <w:rPr>
          <w:rFonts w:cs="Arial"/>
        </w:rPr>
        <w:t>return to relative normality</w:t>
      </w:r>
      <w:r w:rsidR="006D2242">
        <w:rPr>
          <w:rFonts w:cs="Arial"/>
        </w:rPr>
        <w:t xml:space="preserve"> after the impact of the Covid-19 </w:t>
      </w:r>
      <w:r w:rsidR="000763E4">
        <w:rPr>
          <w:rFonts w:cs="Arial"/>
        </w:rPr>
        <w:t>p</w:t>
      </w:r>
      <w:r w:rsidR="006D2242">
        <w:rPr>
          <w:rFonts w:cs="Arial"/>
        </w:rPr>
        <w:t xml:space="preserve">andemic </w:t>
      </w:r>
      <w:r w:rsidR="00EF7696">
        <w:rPr>
          <w:rFonts w:cs="Arial"/>
        </w:rPr>
        <w:t>on NHS charities.</w:t>
      </w:r>
    </w:p>
    <w:p w14:paraId="4D0B872C" w14:textId="77777777" w:rsidR="00D47D47" w:rsidRDefault="00D47D47" w:rsidP="00D47D47">
      <w:pPr>
        <w:pStyle w:val="Bodytext"/>
      </w:pPr>
      <w:r w:rsidRPr="000F4FC9">
        <w:t xml:space="preserve">It is </w:t>
      </w:r>
      <w:r>
        <w:t xml:space="preserve">the </w:t>
      </w:r>
      <w:r w:rsidRPr="000F4FC9">
        <w:t xml:space="preserve">responsibility </w:t>
      </w:r>
      <w:r>
        <w:t xml:space="preserve">of </w:t>
      </w:r>
      <w:r w:rsidRPr="000F4FC9">
        <w:t xml:space="preserve">each NHS </w:t>
      </w:r>
      <w:r>
        <w:t>charity’s trustee(s) to determine</w:t>
      </w:r>
      <w:r w:rsidRPr="000F4FC9">
        <w:t xml:space="preserve"> appropriate accounting treatment</w:t>
      </w:r>
      <w:r>
        <w:t xml:space="preserve">s and disclosures </w:t>
      </w:r>
      <w:r w:rsidRPr="000F4FC9">
        <w:t xml:space="preserve">based on their circumstances and to </w:t>
      </w:r>
      <w:r>
        <w:t xml:space="preserve">reach agreement </w:t>
      </w:r>
      <w:r w:rsidRPr="000F4FC9">
        <w:t>with their auditors.</w:t>
      </w:r>
    </w:p>
    <w:p w14:paraId="4E4D8F2E" w14:textId="77777777" w:rsidR="00D47D47" w:rsidRPr="000F4FC9" w:rsidRDefault="00D47D47" w:rsidP="00D47D47">
      <w:pPr>
        <w:pStyle w:val="Bodytext"/>
      </w:pPr>
      <w:r w:rsidRPr="000F4FC9">
        <w:t>This guid</w:t>
      </w:r>
      <w:r>
        <w:t xml:space="preserve">ance </w:t>
      </w:r>
      <w:r w:rsidRPr="000F4FC9">
        <w:t>is intended to be of interest and help to NHS organisations in England</w:t>
      </w:r>
      <w:r>
        <w:t xml:space="preserve"> and Wales</w:t>
      </w:r>
      <w:r w:rsidRPr="000F4FC9">
        <w:t>.</w:t>
      </w:r>
      <w:r>
        <w:t xml:space="preserve"> </w:t>
      </w:r>
      <w:r w:rsidRPr="000F4FC9">
        <w:t>However, NHS organisations in Scotland and Northern Ireland may find its contents useful</w:t>
      </w:r>
      <w:r>
        <w:t xml:space="preserve"> as SORP FRS 102 also applies there</w:t>
      </w:r>
      <w:r w:rsidRPr="000F4FC9">
        <w:t xml:space="preserve">. </w:t>
      </w:r>
    </w:p>
    <w:p w14:paraId="107ABCA4" w14:textId="1F3A4CDC" w:rsidR="00D47D47" w:rsidRPr="007938DD" w:rsidRDefault="00D47D47" w:rsidP="00D47D47">
      <w:pPr>
        <w:pStyle w:val="Bodytext"/>
        <w:rPr>
          <w:strike/>
        </w:rPr>
      </w:pPr>
      <w:r w:rsidRPr="000F4FC9">
        <w:t>We always welcome feedback on our</w:t>
      </w:r>
      <w:r>
        <w:t xml:space="preserve"> guidance – if you have any comments</w:t>
      </w:r>
      <w:r w:rsidRPr="000F4FC9">
        <w:t xml:space="preserve">, please contact </w:t>
      </w:r>
      <w:r w:rsidR="000F2503">
        <w:rPr>
          <w:rStyle w:val="Hyperlink"/>
          <w:rFonts w:eastAsiaTheme="majorEastAsia" w:cs="Arial"/>
          <w:szCs w:val="22"/>
          <w:u w:val="none"/>
        </w:rPr>
        <w:t>policy</w:t>
      </w:r>
      <w:r w:rsidR="007938DD" w:rsidRPr="007F3FD8">
        <w:rPr>
          <w:rStyle w:val="Hyperlink"/>
          <w:rFonts w:eastAsiaTheme="majorEastAsia" w:cs="Arial"/>
          <w:szCs w:val="22"/>
          <w:u w:val="none"/>
        </w:rPr>
        <w:t>@hfma.org.uk</w:t>
      </w:r>
      <w:r w:rsidR="00A97FE1">
        <w:rPr>
          <w:rStyle w:val="Hyperlink"/>
          <w:rFonts w:eastAsiaTheme="majorEastAsia" w:cs="Arial"/>
          <w:szCs w:val="22"/>
          <w:u w:val="none"/>
        </w:rPr>
        <w:t>.</w:t>
      </w:r>
    </w:p>
    <w:p w14:paraId="4FA3ACC1" w14:textId="77777777" w:rsidR="00D47D47" w:rsidRDefault="00D47D47" w:rsidP="00D47D47">
      <w:pPr>
        <w:pStyle w:val="Heading2"/>
      </w:pPr>
      <w:r>
        <w:t>The example trustee annual report and accounts</w:t>
      </w:r>
    </w:p>
    <w:p w14:paraId="55274566" w14:textId="4ED2B6E9" w:rsidR="00D47D47" w:rsidRDefault="00D47D47" w:rsidP="00D47D47">
      <w:pPr>
        <w:pStyle w:val="Bodytext"/>
        <w:keepNext/>
        <w:rPr>
          <w:b/>
        </w:rPr>
      </w:pPr>
      <w:r w:rsidRPr="00E03AA1">
        <w:t xml:space="preserve">The </w:t>
      </w:r>
      <w:r>
        <w:t>On the Mend NHS Charity</w:t>
      </w:r>
      <w:r w:rsidRPr="00E03AA1">
        <w:t xml:space="preserve"> (</w:t>
      </w:r>
      <w:r>
        <w:t>OtM</w:t>
      </w:r>
      <w:r w:rsidRPr="00E03AA1">
        <w:t xml:space="preserve">) example </w:t>
      </w:r>
      <w:r>
        <w:t xml:space="preserve">trustee annual report and </w:t>
      </w:r>
      <w:r w:rsidRPr="00E03AA1">
        <w:t xml:space="preserve">accounts </w:t>
      </w:r>
      <w:r>
        <w:t xml:space="preserve">have been prepared to comply with the SORP </w:t>
      </w:r>
      <w:r w:rsidR="002B651E">
        <w:t xml:space="preserve">FRS </w:t>
      </w:r>
      <w:r>
        <w:t xml:space="preserve">102. </w:t>
      </w:r>
    </w:p>
    <w:p w14:paraId="5E9E395D" w14:textId="77777777" w:rsidR="00D47D47" w:rsidRPr="00E03AA1" w:rsidRDefault="00D47D47" w:rsidP="00D47D47">
      <w:pPr>
        <w:pStyle w:val="Bodytext"/>
      </w:pPr>
      <w:r w:rsidRPr="00E03AA1">
        <w:t xml:space="preserve">The modules of </w:t>
      </w:r>
      <w:r>
        <w:t>SORP FRS 102</w:t>
      </w:r>
      <w:r w:rsidRPr="00E03AA1">
        <w:t xml:space="preserve"> which have been referred to in preparing this document are listed below.</w:t>
      </w:r>
      <w:r>
        <w:t xml:space="preserve"> Where it is helpful, the example includes best practice examples – in other words it goes beyond the minimum requirements as set out in the SORP.</w:t>
      </w:r>
    </w:p>
    <w:p w14:paraId="770B806B" w14:textId="77777777" w:rsidR="00D47D47" w:rsidRDefault="00D47D47" w:rsidP="00D47D47">
      <w:pPr>
        <w:pStyle w:val="Bodytext"/>
      </w:pPr>
      <w:r>
        <w:t xml:space="preserve">Reference to the applicable part of the SORP FRS 102 is </w:t>
      </w:r>
      <w:r w:rsidRPr="00E03AA1">
        <w:t>described in boxes</w:t>
      </w:r>
      <w:r>
        <w:t xml:space="preserve"> </w:t>
      </w:r>
      <w:r w:rsidRPr="009E5233">
        <w:t>which precede the paragraph or note</w:t>
      </w:r>
      <w:r>
        <w:t xml:space="preserve"> to</w:t>
      </w:r>
      <w:r w:rsidRPr="009E5233">
        <w:t xml:space="preserve"> which </w:t>
      </w:r>
      <w:r>
        <w:t xml:space="preserve">they relate. </w:t>
      </w:r>
    </w:p>
    <w:p w14:paraId="0F4A8EB2" w14:textId="22F0F354" w:rsidR="00D47D47" w:rsidRPr="00E03AA1" w:rsidRDefault="00D47D47" w:rsidP="00D47D47">
      <w:pPr>
        <w:pStyle w:val="Bodytext"/>
      </w:pPr>
      <w:r>
        <w:t>OtM</w:t>
      </w:r>
      <w:r w:rsidRPr="00E03AA1">
        <w:t xml:space="preserve"> meets the criteria for</w:t>
      </w:r>
      <w:r>
        <w:t xml:space="preserve"> a</w:t>
      </w:r>
      <w:r w:rsidRPr="00E03AA1">
        <w:t xml:space="preserve"> </w:t>
      </w:r>
      <w:r>
        <w:t>‘</w:t>
      </w:r>
      <w:r w:rsidRPr="00E03AA1">
        <w:t>large</w:t>
      </w:r>
      <w:r>
        <w:t>r</w:t>
      </w:r>
      <w:r w:rsidRPr="00E03AA1">
        <w:t xml:space="preserve"> charity</w:t>
      </w:r>
      <w:r>
        <w:t>’</w:t>
      </w:r>
      <w:r w:rsidRPr="00E03AA1">
        <w:t xml:space="preserve"> as its income exceeds £</w:t>
      </w:r>
      <w:r>
        <w:t>500,000</w:t>
      </w:r>
      <w:r w:rsidRPr="00E03AA1">
        <w:rPr>
          <w:rStyle w:val="FootnoteReference"/>
          <w:rFonts w:cs="Arial"/>
          <w:szCs w:val="22"/>
        </w:rPr>
        <w:footnoteReference w:id="8"/>
      </w:r>
      <w:r w:rsidRPr="00E03AA1">
        <w:t>.</w:t>
      </w:r>
      <w:r>
        <w:t xml:space="preserve"> </w:t>
      </w:r>
      <w:r w:rsidRPr="00E03AA1">
        <w:t>Therefore, it must meet some reporting requirements that charities below this threshold do not.</w:t>
      </w:r>
      <w:r>
        <w:t xml:space="preserve"> </w:t>
      </w:r>
      <w:r w:rsidRPr="00E03AA1">
        <w:t xml:space="preserve">Where the </w:t>
      </w:r>
      <w:r>
        <w:t>SORP FRS 102</w:t>
      </w:r>
      <w:r w:rsidRPr="00E03AA1">
        <w:t>’s requirements only apply to large</w:t>
      </w:r>
      <w:r>
        <w:t>r</w:t>
      </w:r>
      <w:r w:rsidRPr="00E03AA1">
        <w:t xml:space="preserve"> charities the text in boxes makes it clear. </w:t>
      </w:r>
    </w:p>
    <w:p w14:paraId="3A510606" w14:textId="77777777" w:rsidR="00D47D47" w:rsidRDefault="00D47D47" w:rsidP="00D47D47">
      <w:pPr>
        <w:pStyle w:val="Bodytext"/>
      </w:pPr>
      <w:r>
        <w:t>All the paragraphs of the annual report are numbered. These have been added simply to make references from the SORP FRS 102 to the example annual report clearer. The format of the annual report including headings, paragraph numbering and style of reporting is for each charity’s trustee(s) to determine.</w:t>
      </w:r>
    </w:p>
    <w:p w14:paraId="6A56AD19" w14:textId="21B5D361" w:rsidR="006C0F85" w:rsidRDefault="0013015B" w:rsidP="00187F0F">
      <w:pPr>
        <w:pStyle w:val="Heading2"/>
      </w:pPr>
      <w:r>
        <w:t>B</w:t>
      </w:r>
      <w:r w:rsidR="006C0F85">
        <w:t>ackground to the NHS charity</w:t>
      </w:r>
    </w:p>
    <w:p w14:paraId="1A3B97D6" w14:textId="15B1B929" w:rsidR="006C0F85" w:rsidRDefault="00E5007B" w:rsidP="006C0F85">
      <w:pPr>
        <w:pStyle w:val="Bodytext"/>
        <w:rPr>
          <w:rFonts w:cs="Arial"/>
        </w:rPr>
      </w:pPr>
      <w:r>
        <w:rPr>
          <w:rFonts w:cs="Arial"/>
        </w:rPr>
        <w:t>OtM</w:t>
      </w:r>
      <w:r w:rsidR="00873CB2">
        <w:rPr>
          <w:rFonts w:cs="Arial"/>
        </w:rPr>
        <w:t xml:space="preserve">’s </w:t>
      </w:r>
      <w:r w:rsidR="006C0F85">
        <w:rPr>
          <w:rFonts w:cs="Arial"/>
        </w:rPr>
        <w:t xml:space="preserve">corporate trustee is an acute NHS provider that undertakes some specialised services as well as running a district general hospital – Healthville Hospital NHS Foundation Trust (HHFT). </w:t>
      </w:r>
    </w:p>
    <w:p w14:paraId="7B3CBAF7" w14:textId="025B813C" w:rsidR="006C0F85" w:rsidRDefault="006C0F85" w:rsidP="006C0F85">
      <w:pPr>
        <w:pStyle w:val="Bodytext"/>
        <w:rPr>
          <w:rFonts w:cs="Arial"/>
        </w:rPr>
      </w:pPr>
      <w:r>
        <w:rPr>
          <w:rFonts w:cs="Arial"/>
        </w:rPr>
        <w:t xml:space="preserve">HHFT is part of the Healthville </w:t>
      </w:r>
      <w:r w:rsidR="00251C95">
        <w:rPr>
          <w:rFonts w:cs="Arial"/>
        </w:rPr>
        <w:t>integrated care partnership (IC</w:t>
      </w:r>
      <w:r w:rsidR="00B31A17">
        <w:rPr>
          <w:rFonts w:cs="Arial"/>
        </w:rPr>
        <w:t>P</w:t>
      </w:r>
      <w:r>
        <w:rPr>
          <w:rFonts w:cs="Arial"/>
        </w:rPr>
        <w:t>), the other members are:</w:t>
      </w:r>
    </w:p>
    <w:p w14:paraId="2498E424" w14:textId="5A9ADEA0" w:rsidR="00B31A17" w:rsidRDefault="00B31A17" w:rsidP="00187F0F">
      <w:pPr>
        <w:pStyle w:val="Bullet"/>
      </w:pPr>
      <w:r>
        <w:t>Healthville Integrated Care Body (ICB)</w:t>
      </w:r>
    </w:p>
    <w:p w14:paraId="63DD87D8" w14:textId="3B3CBFDA" w:rsidR="006C0F85" w:rsidRPr="00187F0F" w:rsidRDefault="006C0F85" w:rsidP="00187F0F">
      <w:pPr>
        <w:pStyle w:val="Bullet"/>
      </w:pPr>
      <w:r w:rsidRPr="00187F0F">
        <w:t xml:space="preserve">Healthville Mental Health Trust (HMHT) </w:t>
      </w:r>
    </w:p>
    <w:p w14:paraId="44B15BE2" w14:textId="77777777" w:rsidR="006C0F85" w:rsidRPr="00187F0F" w:rsidRDefault="006C0F85" w:rsidP="00187F0F">
      <w:pPr>
        <w:pStyle w:val="Bullet"/>
      </w:pPr>
      <w:r w:rsidRPr="00187F0F">
        <w:t>Healthville Community NHS Foundation Trust (HCFT)</w:t>
      </w:r>
    </w:p>
    <w:p w14:paraId="30DC650A" w14:textId="77777777" w:rsidR="006C0F85" w:rsidRDefault="006C0F85" w:rsidP="00187F0F">
      <w:pPr>
        <w:pStyle w:val="Bullet"/>
      </w:pPr>
      <w:r w:rsidRPr="00187F0F">
        <w:t>Healthville</w:t>
      </w:r>
      <w:r>
        <w:t xml:space="preserve"> Unitary Authority. </w:t>
      </w:r>
    </w:p>
    <w:p w14:paraId="121D06A7" w14:textId="77777777" w:rsidR="006C0F85" w:rsidRDefault="006C0F85" w:rsidP="006C0F85">
      <w:pPr>
        <w:pStyle w:val="Bodytext"/>
        <w:rPr>
          <w:rFonts w:cs="Arial"/>
        </w:rPr>
      </w:pPr>
      <w:r>
        <w:rPr>
          <w:rFonts w:cs="Arial"/>
        </w:rPr>
        <w:lastRenderedPageBreak/>
        <w:t>All are co-terminus.</w:t>
      </w:r>
    </w:p>
    <w:p w14:paraId="349D0274" w14:textId="5B96D148" w:rsidR="006C0F85" w:rsidRPr="00187F0F" w:rsidRDefault="006C0F85" w:rsidP="00DF7DA5">
      <w:pPr>
        <w:pStyle w:val="Bodytext"/>
        <w:rPr>
          <w:rFonts w:cs="Arial"/>
        </w:rPr>
      </w:pPr>
      <w:r w:rsidRPr="00187F0F">
        <w:rPr>
          <w:rFonts w:cs="Arial"/>
        </w:rPr>
        <w:t>The mental health provider is a corporate trustee of its own NHS charity, but the community trust has never had an associated NHS charity</w:t>
      </w:r>
      <w:r w:rsidR="003B76D7">
        <w:rPr>
          <w:rFonts w:cs="Arial"/>
        </w:rPr>
        <w:t xml:space="preserve">. In 2020/21, </w:t>
      </w:r>
      <w:r w:rsidRPr="00187F0F">
        <w:rPr>
          <w:rFonts w:cs="Arial"/>
        </w:rPr>
        <w:t>the stage 1 grant from NHS Charities Together for the community trust was paid to On the Mend NHS Charity.</w:t>
      </w:r>
      <w:r w:rsidR="00E13D3D">
        <w:rPr>
          <w:rFonts w:cs="Arial"/>
        </w:rPr>
        <w:t xml:space="preserve"> OtM changed its objectives to include the </w:t>
      </w:r>
      <w:r w:rsidR="00E13D3D" w:rsidRPr="00411067">
        <w:rPr>
          <w:rFonts w:cs="Arial"/>
        </w:rPr>
        <w:t xml:space="preserve">community trust (see paragraph </w:t>
      </w:r>
      <w:r w:rsidR="00411067" w:rsidRPr="00411067">
        <w:rPr>
          <w:rFonts w:cs="Arial"/>
        </w:rPr>
        <w:t>1</w:t>
      </w:r>
      <w:r w:rsidR="00552AC7">
        <w:rPr>
          <w:rFonts w:cs="Arial"/>
        </w:rPr>
        <w:t>0</w:t>
      </w:r>
      <w:r w:rsidR="004537B0" w:rsidRPr="00411067">
        <w:rPr>
          <w:rFonts w:cs="Arial"/>
        </w:rPr>
        <w:t>)</w:t>
      </w:r>
      <w:r w:rsidR="004537B0">
        <w:rPr>
          <w:rFonts w:cs="Arial"/>
        </w:rPr>
        <w:t xml:space="preserve"> but there was no requirement to </w:t>
      </w:r>
      <w:r w:rsidRPr="00187F0F">
        <w:rPr>
          <w:rFonts w:cs="Arial"/>
        </w:rPr>
        <w:t>change OtM’s governing documents because the charity’s objects are:</w:t>
      </w:r>
    </w:p>
    <w:p w14:paraId="0673FDC7" w14:textId="77777777" w:rsidR="006C0F85" w:rsidRDefault="006C0F85" w:rsidP="006C0F85">
      <w:pPr>
        <w:pStyle w:val="Bodytext"/>
        <w:ind w:left="720"/>
        <w:rPr>
          <w:rFonts w:cs="Arial"/>
        </w:rPr>
      </w:pPr>
      <w:r w:rsidRPr="00187F0F">
        <w:rPr>
          <w:rFonts w:cs="Arial"/>
        </w:rPr>
        <w:t>‘The trustees shall hold the trust fund upon trust to apply the income, and at their discretion, so far as may be permissible, the capital, for any charitable purpose or purposes relating to the National Health Service (hereinafter referred to as ‘the objects’).’</w:t>
      </w:r>
    </w:p>
    <w:p w14:paraId="7157BC1C" w14:textId="0B78CF45" w:rsidR="003B76D7" w:rsidRDefault="008855EC" w:rsidP="003B76D7">
      <w:pPr>
        <w:pStyle w:val="Bodytext"/>
      </w:pPr>
      <w:r w:rsidRPr="00DD0571">
        <w:t>G</w:t>
      </w:r>
      <w:r w:rsidR="003B76D7" w:rsidRPr="00DD0571">
        <w:t>rant</w:t>
      </w:r>
      <w:r w:rsidRPr="00DD0571">
        <w:t xml:space="preserve">s specifically relating to community service are </w:t>
      </w:r>
      <w:r w:rsidR="003B76D7" w:rsidRPr="00DD0571">
        <w:t xml:space="preserve">held in a separate </w:t>
      </w:r>
      <w:r w:rsidR="0093527B" w:rsidRPr="00DD0571">
        <w:t>designated f</w:t>
      </w:r>
      <w:r w:rsidR="003B76D7" w:rsidRPr="00DD0571">
        <w:t xml:space="preserve">und for </w:t>
      </w:r>
      <w:r w:rsidR="009701A5" w:rsidRPr="00DD0571">
        <w:t>projects relating to the community trust.</w:t>
      </w:r>
      <w:r w:rsidR="004537B0">
        <w:t xml:space="preserve"> As the grant was made to OtM, it is the corporate trustee that is responsible for </w:t>
      </w:r>
      <w:r w:rsidR="00124CAC">
        <w:t>spending</w:t>
      </w:r>
      <w:r w:rsidR="004537B0">
        <w:t xml:space="preserve"> the grant appropriately</w:t>
      </w:r>
      <w:r w:rsidR="00124CAC">
        <w:t xml:space="preserve"> in accordance with the conditions attached to it. A</w:t>
      </w:r>
      <w:r w:rsidR="00A85622">
        <w:t>lthough this is done in consultation with the community trust’s board and staff</w:t>
      </w:r>
      <w:r w:rsidR="00124CAC">
        <w:t xml:space="preserve">, </w:t>
      </w:r>
      <w:r w:rsidR="000745F9">
        <w:t xml:space="preserve">OtM retains responsibility – on this basis it has been concluded that </w:t>
      </w:r>
      <w:r w:rsidR="00A85622">
        <w:t xml:space="preserve">OtM is acting as a principle in this case rather than an agent. </w:t>
      </w:r>
    </w:p>
    <w:p w14:paraId="05D3202A" w14:textId="46AF5FDC" w:rsidR="000745F9" w:rsidRPr="00021532" w:rsidRDefault="000745F9" w:rsidP="003B76D7">
      <w:pPr>
        <w:pStyle w:val="Bodytext"/>
      </w:pPr>
      <w:r w:rsidRPr="00021532">
        <w:t>If</w:t>
      </w:r>
      <w:r w:rsidR="00C743D2" w:rsidRPr="00021532">
        <w:t xml:space="preserve"> OtM was administering the funds on behalf of the community trust</w:t>
      </w:r>
      <w:r w:rsidR="002D0423" w:rsidRPr="00021532">
        <w:t xml:space="preserve">, with no </w:t>
      </w:r>
      <w:r w:rsidR="008837CA" w:rsidRPr="00021532">
        <w:t>discretion</w:t>
      </w:r>
      <w:r w:rsidR="002D0423" w:rsidRPr="00021532">
        <w:t xml:space="preserve"> on how the funds should be used,</w:t>
      </w:r>
      <w:r w:rsidR="00C743D2" w:rsidRPr="00021532">
        <w:t xml:space="preserve"> then it would be acting as an agent. Agency or custodian arrangements should be accounted for in accordance with </w:t>
      </w:r>
      <w:r w:rsidR="00B1005F" w:rsidRPr="00021532">
        <w:t>module 19 of the SORP FRS 1</w:t>
      </w:r>
      <w:r w:rsidR="008837CA" w:rsidRPr="00021532">
        <w:t>0</w:t>
      </w:r>
      <w:r w:rsidR="00B1005F" w:rsidRPr="00021532">
        <w:t xml:space="preserve">2. </w:t>
      </w:r>
    </w:p>
    <w:p w14:paraId="2ADB6268" w14:textId="543A3B59" w:rsidR="006C0F85" w:rsidRDefault="006C0F85" w:rsidP="009701A5">
      <w:pPr>
        <w:pStyle w:val="Heading2"/>
      </w:pPr>
      <w:r>
        <w:t xml:space="preserve">Updates to the </w:t>
      </w:r>
      <w:r w:rsidR="009E0DBC">
        <w:t>2023/24</w:t>
      </w:r>
      <w:r>
        <w:t xml:space="preserve"> annual report and accounts</w:t>
      </w:r>
    </w:p>
    <w:p w14:paraId="6EE67CF4" w14:textId="339F89A1" w:rsidR="001275DF" w:rsidRPr="00EC085D" w:rsidRDefault="00FA2554" w:rsidP="00BB66B4">
      <w:pPr>
        <w:pStyle w:val="Bodytext"/>
        <w:rPr>
          <w:i/>
          <w:iCs/>
        </w:rPr>
      </w:pPr>
      <w:r>
        <w:rPr>
          <w:b/>
          <w:bCs/>
          <w:i/>
          <w:iCs/>
        </w:rPr>
        <w:t xml:space="preserve">As it is </w:t>
      </w:r>
      <w:r w:rsidR="00465F05">
        <w:rPr>
          <w:b/>
          <w:bCs/>
          <w:i/>
          <w:iCs/>
        </w:rPr>
        <w:t>four years since the start of the pandemic</w:t>
      </w:r>
      <w:r w:rsidR="00465F05" w:rsidRPr="00325103">
        <w:rPr>
          <w:b/>
          <w:bCs/>
          <w:i/>
          <w:iCs/>
        </w:rPr>
        <w:t xml:space="preserve">, </w:t>
      </w:r>
      <w:r w:rsidR="00C56DB3" w:rsidRPr="00325103">
        <w:rPr>
          <w:b/>
          <w:bCs/>
          <w:i/>
          <w:iCs/>
        </w:rPr>
        <w:t>t</w:t>
      </w:r>
      <w:r w:rsidR="00EC1B15" w:rsidRPr="00325103">
        <w:rPr>
          <w:b/>
          <w:bCs/>
          <w:i/>
          <w:iCs/>
        </w:rPr>
        <w:t>he immediate impact of the pandemic is no longer reflected in the prior period comparatives and the accounts reflect the post-pandemic reality.</w:t>
      </w:r>
      <w:r w:rsidR="00EC1B15" w:rsidRPr="00EC085D">
        <w:rPr>
          <w:i/>
          <w:iCs/>
        </w:rPr>
        <w:t xml:space="preserve"> </w:t>
      </w:r>
    </w:p>
    <w:p w14:paraId="79D807CB" w14:textId="77777777" w:rsidR="006C0F85" w:rsidRPr="004C3F44" w:rsidRDefault="006C0F85" w:rsidP="006C0F85">
      <w:pPr>
        <w:pStyle w:val="Bodytext"/>
      </w:pPr>
      <w:r w:rsidRPr="00F41C0E">
        <w:t xml:space="preserve">Key changes </w:t>
      </w:r>
      <w:r>
        <w:t xml:space="preserve">to accounting and reporting </w:t>
      </w:r>
      <w:r w:rsidRPr="00F41C0E">
        <w:t xml:space="preserve">are highlighted in the text boxes explaining the SORP 102 requirements in </w:t>
      </w:r>
      <w:r w:rsidRPr="00F41C0E">
        <w:rPr>
          <w:b/>
          <w:bCs/>
          <w:i/>
          <w:iCs/>
        </w:rPr>
        <w:t>bold, italic</w:t>
      </w:r>
      <w:r w:rsidRPr="00F41C0E">
        <w:t>.</w:t>
      </w:r>
    </w:p>
    <w:p w14:paraId="6FB002DC" w14:textId="77777777" w:rsidR="006C0F85" w:rsidRPr="00E03AA1" w:rsidRDefault="006C0F85" w:rsidP="006C0F85">
      <w:pPr>
        <w:pStyle w:val="Heading2"/>
      </w:pPr>
      <w:r w:rsidRPr="00E03AA1">
        <w:t xml:space="preserve">Background to </w:t>
      </w:r>
      <w:r>
        <w:t>OtM</w:t>
      </w:r>
    </w:p>
    <w:p w14:paraId="4E6AA589" w14:textId="77777777" w:rsidR="006C0F85" w:rsidRDefault="006C0F85" w:rsidP="006C0F85">
      <w:pPr>
        <w:pStyle w:val="Bodytext"/>
        <w:rPr>
          <w:b/>
        </w:rPr>
      </w:pPr>
      <w:r>
        <w:t>OtM has a corporate trustee – Healthville Hospital NHS Foundation Trust (HHFT)</w:t>
      </w:r>
      <w:r>
        <w:rPr>
          <w:b/>
        </w:rPr>
        <w:t xml:space="preserve">. </w:t>
      </w:r>
    </w:p>
    <w:p w14:paraId="6C5D5D19" w14:textId="77777777" w:rsidR="006C0F85" w:rsidRPr="00E03AA1" w:rsidRDefault="006C0F85" w:rsidP="006C0F85">
      <w:pPr>
        <w:pStyle w:val="Bodytext"/>
      </w:pPr>
      <w:r w:rsidRPr="00E03AA1">
        <w:t xml:space="preserve">The registration comprises a group of charities administered by the </w:t>
      </w:r>
      <w:r>
        <w:t xml:space="preserve">corporate </w:t>
      </w:r>
      <w:r w:rsidRPr="00E03AA1">
        <w:t>trustee and registered under a ‘group registration’. The charity is an active fundraiser and</w:t>
      </w:r>
      <w:r>
        <w:t xml:space="preserve"> produces its </w:t>
      </w:r>
      <w:r w:rsidRPr="00E03AA1">
        <w:t xml:space="preserve">annual report </w:t>
      </w:r>
      <w:r>
        <w:t>as</w:t>
      </w:r>
      <w:r w:rsidRPr="00E03AA1">
        <w:t xml:space="preserve"> a dual-purpose document </w:t>
      </w:r>
      <w:r>
        <w:t xml:space="preserve">to meet the requirements of the SORP FRS 102 but also to be used as part of the fundraising document. This means that </w:t>
      </w:r>
      <w:r w:rsidRPr="00E03AA1">
        <w:t xml:space="preserve">the </w:t>
      </w:r>
      <w:r>
        <w:t xml:space="preserve">trustee’s </w:t>
      </w:r>
      <w:r w:rsidRPr="00E03AA1">
        <w:t>annual report c</w:t>
      </w:r>
      <w:r>
        <w:t xml:space="preserve">an </w:t>
      </w:r>
      <w:r w:rsidRPr="00E03AA1">
        <w:t>be distributed with the accounts or as a free-standing document.</w:t>
      </w:r>
      <w:r>
        <w:t xml:space="preserve"> Therefore, the charity includes</w:t>
      </w:r>
      <w:r w:rsidRPr="00E03AA1">
        <w:t xml:space="preserve"> summary financial statements in its annual report.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8"/>
      </w:tblGrid>
      <w:tr w:rsidR="006C0F85" w:rsidRPr="00E03AA1" w14:paraId="2BB59DD8" w14:textId="77777777" w:rsidTr="00EC1B15">
        <w:tc>
          <w:tcPr>
            <w:tcW w:w="5000" w:type="pct"/>
            <w:shd w:val="clear" w:color="auto" w:fill="auto"/>
          </w:tcPr>
          <w:p w14:paraId="54C96A3D" w14:textId="77777777" w:rsidR="006C0F85" w:rsidRPr="00E03AA1" w:rsidRDefault="006C0F85" w:rsidP="00EC1B15">
            <w:pPr>
              <w:pStyle w:val="Bodytext"/>
            </w:pPr>
            <w:r w:rsidRPr="00E03AA1">
              <w:t xml:space="preserve">The </w:t>
            </w:r>
            <w:r>
              <w:t>SORP FRS 102</w:t>
            </w:r>
            <w:r w:rsidRPr="00E03AA1">
              <w:t xml:space="preserve"> </w:t>
            </w:r>
            <w:r>
              <w:t xml:space="preserve">does </w:t>
            </w:r>
            <w:r w:rsidRPr="00E03AA1">
              <w:t>no</w:t>
            </w:r>
            <w:r>
              <w:t xml:space="preserve">t </w:t>
            </w:r>
            <w:r w:rsidRPr="00E03AA1">
              <w:t>provide any guidance on summary financial statements</w:t>
            </w:r>
            <w:r>
              <w:t xml:space="preserve">. </w:t>
            </w:r>
            <w:r w:rsidRPr="00E03AA1">
              <w:t>Paragraph 13 of the</w:t>
            </w:r>
            <w:r w:rsidRPr="00E03AA1">
              <w:rPr>
                <w:i/>
              </w:rPr>
              <w:t xml:space="preserve"> scope and application</w:t>
            </w:r>
            <w:r w:rsidRPr="00E03AA1">
              <w:t xml:space="preserve"> section at the start of the </w:t>
            </w:r>
            <w:r>
              <w:t xml:space="preserve">SORP FRS 102 </w:t>
            </w:r>
            <w:r w:rsidRPr="00E03AA1">
              <w:t>states:</w:t>
            </w:r>
          </w:p>
          <w:p w14:paraId="4DFD7E33" w14:textId="77777777" w:rsidR="006C0F85" w:rsidRPr="00E03AA1" w:rsidRDefault="006C0F85" w:rsidP="00EC1B15">
            <w:pPr>
              <w:pStyle w:val="Bodytext"/>
            </w:pPr>
            <w:r>
              <w:t>’</w:t>
            </w:r>
            <w:r w:rsidRPr="00E03AA1">
              <w:t>The report and accounts should not be viewed simply as a statutory requirement or a technical exercise. The report and accounts, when read together, should help users of the information to understand what the charity is set up to do, the resources available to it, how these resources have been used and what has been achieved as a result of its activities.</w:t>
            </w:r>
            <w:r>
              <w:t>’</w:t>
            </w:r>
          </w:p>
          <w:p w14:paraId="10DF54C7" w14:textId="77777777" w:rsidR="006C0F85" w:rsidRDefault="006C0F85" w:rsidP="00EC1B15">
            <w:pPr>
              <w:pStyle w:val="Bodytext"/>
            </w:pPr>
            <w:r w:rsidRPr="00E03AA1">
              <w:t>It is expected that the annual report and accounts will be distributed as a single document, but the summary financial information is included in th</w:t>
            </w:r>
            <w:r>
              <w:t>is</w:t>
            </w:r>
            <w:r w:rsidRPr="00E03AA1">
              <w:t xml:space="preserve"> annual report so that if it is read in isolation it makes sense to the reader.</w:t>
            </w:r>
          </w:p>
          <w:p w14:paraId="62C41F7F" w14:textId="77777777" w:rsidR="006C0F85" w:rsidRPr="00E03AA1" w:rsidRDefault="006C0F85" w:rsidP="00EC1B15">
            <w:pPr>
              <w:pStyle w:val="Bodytext"/>
            </w:pPr>
            <w:r w:rsidRPr="00E03AA1">
              <w:t xml:space="preserve">In some places, this example will therefore exceed the requirements of the </w:t>
            </w:r>
            <w:r>
              <w:t>SORP FRS 102.</w:t>
            </w:r>
          </w:p>
          <w:p w14:paraId="18F936BD" w14:textId="77777777" w:rsidR="006C0F85" w:rsidRPr="00E03AA1" w:rsidRDefault="006C0F85" w:rsidP="00EC1B15">
            <w:pPr>
              <w:pStyle w:val="Bodytext"/>
            </w:pPr>
            <w:r w:rsidRPr="00E03AA1">
              <w:t xml:space="preserve">All charities </w:t>
            </w:r>
            <w:r>
              <w:t>above the receipts and payments threshold</w:t>
            </w:r>
            <w:r>
              <w:rPr>
                <w:rStyle w:val="FootnoteReference"/>
              </w:rPr>
              <w:footnoteReference w:id="9"/>
            </w:r>
            <w:r>
              <w:t xml:space="preserve"> </w:t>
            </w:r>
            <w:r w:rsidRPr="00E03AA1">
              <w:t xml:space="preserve">will have to meet the requirements of the </w:t>
            </w:r>
            <w:r>
              <w:t>SORP FRS 102</w:t>
            </w:r>
            <w:r w:rsidRPr="00E03AA1">
              <w:t xml:space="preserve"> but they also have the option of providing additional information if they think that it will assist the reader of their report and accounts. </w:t>
            </w:r>
          </w:p>
        </w:tc>
      </w:tr>
    </w:tbl>
    <w:p w14:paraId="3A9382D2" w14:textId="179F5BBE" w:rsidR="00744A4D" w:rsidRDefault="00744A4D">
      <w:pPr>
        <w:sectPr w:rsidR="00744A4D" w:rsidSect="00237BC5">
          <w:headerReference w:type="even" r:id="rId17"/>
          <w:headerReference w:type="default" r:id="rId18"/>
          <w:footerReference w:type="even" r:id="rId19"/>
          <w:footerReference w:type="default" r:id="rId20"/>
          <w:headerReference w:type="first" r:id="rId21"/>
          <w:footerReference w:type="first" r:id="rId22"/>
          <w:pgSz w:w="11900" w:h="16840"/>
          <w:pgMar w:top="1134" w:right="1021" w:bottom="720" w:left="1021" w:header="720" w:footer="737" w:gutter="0"/>
          <w:cols w:space="720"/>
          <w:titlePg/>
          <w:docGrid w:linePitch="360"/>
        </w:sectPr>
      </w:pPr>
    </w:p>
    <w:p w14:paraId="0CC6A8E5" w14:textId="77777777" w:rsidR="00D52853" w:rsidRPr="006644A8" w:rsidRDefault="00D52853" w:rsidP="00D52853">
      <w:pPr>
        <w:pStyle w:val="Heading1"/>
      </w:pPr>
      <w:r w:rsidRPr="006644A8">
        <w:lastRenderedPageBreak/>
        <w:t xml:space="preserve">Foreword by the Chairman of </w:t>
      </w:r>
      <w:r>
        <w:t>charitable funds committee</w:t>
      </w:r>
      <w:r w:rsidRPr="006644A8">
        <w:t xml:space="preserve"> of the </w:t>
      </w:r>
      <w:r>
        <w:t>On the Mend NHS Charity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6"/>
      </w:tblGrid>
      <w:tr w:rsidR="00D52853" w:rsidRPr="006644A8" w14:paraId="7E61FE79" w14:textId="77777777" w:rsidTr="00EC1B15">
        <w:tc>
          <w:tcPr>
            <w:tcW w:w="5000" w:type="pct"/>
            <w:shd w:val="clear" w:color="auto" w:fill="auto"/>
          </w:tcPr>
          <w:p w14:paraId="3C4A0300" w14:textId="77777777" w:rsidR="00D52853" w:rsidRPr="00C86548" w:rsidRDefault="00D52853" w:rsidP="00EC1B15">
            <w:pPr>
              <w:pStyle w:val="Bodytext"/>
              <w:rPr>
                <w:b/>
                <w:bCs/>
                <w:i/>
                <w:iCs/>
              </w:rPr>
            </w:pPr>
            <w:r w:rsidRPr="006644A8">
              <w:t xml:space="preserve">There is no requirement in the </w:t>
            </w:r>
            <w:r>
              <w:t>SORP FRS 102</w:t>
            </w:r>
            <w:r w:rsidRPr="006644A8">
              <w:t xml:space="preserve"> to include a foreword to the trustee’s annual report.</w:t>
            </w:r>
            <w:r>
              <w:t xml:space="preserve"> </w:t>
            </w:r>
            <w:r w:rsidRPr="006644A8">
              <w:t>This is a decision made by</w:t>
            </w:r>
            <w:r>
              <w:t xml:space="preserve"> the charitable funds committee that manages the OtM.</w:t>
            </w:r>
          </w:p>
        </w:tc>
      </w:tr>
    </w:tbl>
    <w:p w14:paraId="0CB9FBBE" w14:textId="77777777" w:rsidR="00D52853" w:rsidRDefault="00D52853" w:rsidP="00D52853">
      <w:pPr>
        <w:pStyle w:val="Bodytext"/>
        <w:numPr>
          <w:ilvl w:val="0"/>
          <w:numId w:val="38"/>
        </w:numPr>
        <w:sectPr w:rsidR="00D52853" w:rsidSect="00237BC5">
          <w:headerReference w:type="first" r:id="rId23"/>
          <w:footerReference w:type="first" r:id="rId24"/>
          <w:pgSz w:w="16840" w:h="11900" w:orient="landscape"/>
          <w:pgMar w:top="1021" w:right="1134" w:bottom="1021" w:left="720" w:header="720" w:footer="737" w:gutter="0"/>
          <w:cols w:space="720"/>
          <w:titlePg/>
          <w:docGrid w:linePitch="360"/>
        </w:sectPr>
      </w:pPr>
      <w:bookmarkStart w:id="1" w:name="_Ref521260992"/>
    </w:p>
    <w:p w14:paraId="3FB4ECB4" w14:textId="6B8CCF49" w:rsidR="00D52853" w:rsidRPr="006644A8" w:rsidRDefault="00D52853" w:rsidP="00D52853">
      <w:pPr>
        <w:pStyle w:val="Bodytext"/>
        <w:numPr>
          <w:ilvl w:val="0"/>
          <w:numId w:val="38"/>
        </w:numPr>
      </w:pPr>
      <w:r w:rsidRPr="006644A8">
        <w:t xml:space="preserve">Welcome to our annual report for </w:t>
      </w:r>
      <w:r w:rsidR="003E542E">
        <w:t>2023/24</w:t>
      </w:r>
      <w:r w:rsidRPr="006644A8">
        <w:t>.</w:t>
      </w:r>
      <w:r>
        <w:t xml:space="preserve"> </w:t>
      </w:r>
      <w:r w:rsidRPr="006644A8">
        <w:t xml:space="preserve">We are a </w:t>
      </w:r>
      <w:r>
        <w:t xml:space="preserve">charity </w:t>
      </w:r>
      <w:r w:rsidR="00FB6E53">
        <w:t xml:space="preserve">that </w:t>
      </w:r>
      <w:r w:rsidRPr="006644A8">
        <w:t>work</w:t>
      </w:r>
      <w:r w:rsidR="00FB6E53">
        <w:t>s</w:t>
      </w:r>
      <w:r w:rsidRPr="006644A8">
        <w:t xml:space="preserve"> for the benefit of NHS patients and their families from </w:t>
      </w:r>
      <w:r>
        <w:t>Healthville</w:t>
      </w:r>
      <w:r w:rsidRPr="006644A8">
        <w:t xml:space="preserve"> and the surrounding area</w:t>
      </w:r>
      <w:r>
        <w:t xml:space="preserve"> whether they are </w:t>
      </w:r>
      <w:r w:rsidR="00C06778">
        <w:t>Healthville</w:t>
      </w:r>
      <w:r w:rsidR="00C06778" w:rsidRPr="006644A8">
        <w:t xml:space="preserve"> Hospital NHS Foundation Trust </w:t>
      </w:r>
      <w:r w:rsidR="00C06778">
        <w:t>(</w:t>
      </w:r>
      <w:r>
        <w:t>HHFT</w:t>
      </w:r>
      <w:r w:rsidR="00C06778">
        <w:t>)</w:t>
      </w:r>
      <w:r>
        <w:t>’s patients or not</w:t>
      </w:r>
      <w:r w:rsidRPr="006644A8">
        <w:t>.</w:t>
      </w:r>
      <w:bookmarkEnd w:id="1"/>
      <w:r w:rsidR="00FB6E53">
        <w:t xml:space="preserve"> We work </w:t>
      </w:r>
      <w:r w:rsidR="00C87CEB">
        <w:t xml:space="preserve">closely with all the NHS bodies in the area, not just our </w:t>
      </w:r>
      <w:r w:rsidR="00C06778">
        <w:t>corporate tr</w:t>
      </w:r>
      <w:r w:rsidR="00C87CEB" w:rsidRPr="006644A8">
        <w:t>ustee (</w:t>
      </w:r>
      <w:r w:rsidR="00C87CEB">
        <w:t>HHFT</w:t>
      </w:r>
      <w:r w:rsidR="00C87CEB" w:rsidRPr="006644A8">
        <w:t>)</w:t>
      </w:r>
      <w:r w:rsidR="00C06778">
        <w:t>.</w:t>
      </w:r>
    </w:p>
    <w:p w14:paraId="1AE98C63" w14:textId="544C6558" w:rsidR="00D52853" w:rsidRPr="00CA516A" w:rsidRDefault="00D52853" w:rsidP="00D52853">
      <w:pPr>
        <w:pStyle w:val="Bodytext"/>
        <w:numPr>
          <w:ilvl w:val="0"/>
          <w:numId w:val="38"/>
        </w:numPr>
        <w:rPr>
          <w:b/>
          <w:bCs/>
          <w:i/>
          <w:iCs/>
        </w:rPr>
      </w:pPr>
      <w:r w:rsidRPr="00BB66B4">
        <w:t xml:space="preserve">We exist to provide resources and facilities to meet the needs of our </w:t>
      </w:r>
      <w:r w:rsidR="002C08FB">
        <w:t xml:space="preserve">NHS partners’ </w:t>
      </w:r>
      <w:r w:rsidRPr="00072AAF">
        <w:t>patients and their families.</w:t>
      </w:r>
      <w:r w:rsidRPr="00CA516A">
        <w:rPr>
          <w:b/>
          <w:bCs/>
          <w:i/>
          <w:iCs/>
        </w:rPr>
        <w:t xml:space="preserve"> </w:t>
      </w:r>
    </w:p>
    <w:p w14:paraId="0B85D95B" w14:textId="77AB0B13" w:rsidR="00D52853" w:rsidRPr="004D418C" w:rsidRDefault="00D52853" w:rsidP="00D52853">
      <w:pPr>
        <w:pStyle w:val="Bodytext"/>
        <w:numPr>
          <w:ilvl w:val="0"/>
          <w:numId w:val="38"/>
        </w:numPr>
      </w:pPr>
      <w:r w:rsidRPr="008F10D0">
        <w:t xml:space="preserve">Key </w:t>
      </w:r>
      <w:r w:rsidRPr="004D418C">
        <w:t>highlights of our year</w:t>
      </w:r>
      <w:r w:rsidR="00CA516A" w:rsidRPr="004D418C">
        <w:t xml:space="preserve"> include</w:t>
      </w:r>
      <w:r w:rsidRPr="004D418C">
        <w:t>:</w:t>
      </w:r>
    </w:p>
    <w:p w14:paraId="29B9A43C" w14:textId="53088884" w:rsidR="00F73C05" w:rsidRDefault="00BA2593" w:rsidP="00F86AF8">
      <w:pPr>
        <w:pStyle w:val="Bullet"/>
        <w:rPr>
          <w:b/>
          <w:bCs/>
          <w:i/>
          <w:iCs/>
        </w:rPr>
      </w:pPr>
      <w:r>
        <w:rPr>
          <w:b/>
          <w:bCs/>
          <w:i/>
          <w:iCs/>
        </w:rPr>
        <w:t xml:space="preserve">exceeding our funding target for the paediatric burns and trauma centre by </w:t>
      </w:r>
      <w:r w:rsidR="00200E3E">
        <w:rPr>
          <w:b/>
          <w:bCs/>
          <w:i/>
          <w:iCs/>
        </w:rPr>
        <w:t>£</w:t>
      </w:r>
      <w:r w:rsidR="00FD1F7F">
        <w:rPr>
          <w:b/>
          <w:bCs/>
          <w:i/>
          <w:iCs/>
        </w:rPr>
        <w:t>1</w:t>
      </w:r>
      <w:r w:rsidR="00200E3E">
        <w:rPr>
          <w:b/>
          <w:bCs/>
          <w:i/>
          <w:iCs/>
        </w:rPr>
        <w:t>98</w:t>
      </w:r>
      <w:r w:rsidR="004363FD">
        <w:rPr>
          <w:b/>
          <w:bCs/>
          <w:i/>
          <w:iCs/>
        </w:rPr>
        <w:t>,</w:t>
      </w:r>
      <w:r w:rsidR="00200E3E">
        <w:rPr>
          <w:b/>
          <w:bCs/>
          <w:i/>
          <w:iCs/>
        </w:rPr>
        <w:t>0</w:t>
      </w:r>
      <w:r w:rsidR="004363FD">
        <w:rPr>
          <w:b/>
          <w:bCs/>
          <w:i/>
          <w:iCs/>
        </w:rPr>
        <w:t>00</w:t>
      </w:r>
      <w:r w:rsidR="00D733AC">
        <w:rPr>
          <w:b/>
          <w:bCs/>
          <w:i/>
          <w:iCs/>
        </w:rPr>
        <w:t xml:space="preserve">, which will allow us to be even more ambitious with the </w:t>
      </w:r>
      <w:r w:rsidR="00A57414">
        <w:rPr>
          <w:b/>
          <w:bCs/>
          <w:i/>
          <w:iCs/>
        </w:rPr>
        <w:t xml:space="preserve">new centre, and make the centre more homely for those young people and their families </w:t>
      </w:r>
      <w:r w:rsidR="005866AE">
        <w:rPr>
          <w:b/>
          <w:bCs/>
          <w:i/>
          <w:iCs/>
        </w:rPr>
        <w:t>who use the centre</w:t>
      </w:r>
    </w:p>
    <w:p w14:paraId="18AF26BF" w14:textId="4CDF3443" w:rsidR="00F86AF8" w:rsidRPr="00F86AF8" w:rsidRDefault="005D4731" w:rsidP="00F86AF8">
      <w:pPr>
        <w:pStyle w:val="Bullet"/>
        <w:rPr>
          <w:b/>
          <w:bCs/>
          <w:i/>
          <w:iCs/>
        </w:rPr>
      </w:pPr>
      <w:r w:rsidRPr="004D418C">
        <w:rPr>
          <w:b/>
          <w:bCs/>
          <w:i/>
          <w:iCs/>
        </w:rPr>
        <w:t xml:space="preserve">receiving a </w:t>
      </w:r>
      <w:r w:rsidR="0051639E" w:rsidRPr="004D418C">
        <w:rPr>
          <w:b/>
          <w:bCs/>
          <w:i/>
          <w:iCs/>
        </w:rPr>
        <w:t xml:space="preserve">£20,000 </w:t>
      </w:r>
      <w:r w:rsidR="00187EDB">
        <w:rPr>
          <w:b/>
          <w:bCs/>
          <w:i/>
          <w:iCs/>
        </w:rPr>
        <w:t xml:space="preserve">research </w:t>
      </w:r>
      <w:r w:rsidRPr="004D418C">
        <w:rPr>
          <w:b/>
          <w:bCs/>
          <w:i/>
          <w:iCs/>
        </w:rPr>
        <w:t>grant from</w:t>
      </w:r>
      <w:r w:rsidR="00E44D5F">
        <w:rPr>
          <w:b/>
          <w:bCs/>
          <w:i/>
          <w:iCs/>
        </w:rPr>
        <w:t xml:space="preserve"> </w:t>
      </w:r>
      <w:r w:rsidR="008C1BAD">
        <w:rPr>
          <w:b/>
          <w:bCs/>
          <w:i/>
          <w:iCs/>
        </w:rPr>
        <w:t>Wellcome</w:t>
      </w:r>
      <w:r w:rsidR="00F86AF8">
        <w:rPr>
          <w:b/>
          <w:bCs/>
          <w:i/>
          <w:iCs/>
        </w:rPr>
        <w:t xml:space="preserve"> which will </w:t>
      </w:r>
      <w:r w:rsidR="004D0635">
        <w:rPr>
          <w:b/>
          <w:bCs/>
          <w:i/>
          <w:iCs/>
        </w:rPr>
        <w:t xml:space="preserve">support us in </w:t>
      </w:r>
      <w:r w:rsidR="00691450">
        <w:rPr>
          <w:b/>
          <w:bCs/>
          <w:i/>
          <w:iCs/>
        </w:rPr>
        <w:t xml:space="preserve">evaluating the impact of </w:t>
      </w:r>
      <w:r w:rsidR="00F20277">
        <w:rPr>
          <w:b/>
          <w:bCs/>
          <w:i/>
          <w:iCs/>
        </w:rPr>
        <w:t xml:space="preserve">offering </w:t>
      </w:r>
      <w:r w:rsidR="004601E9">
        <w:rPr>
          <w:b/>
          <w:bCs/>
          <w:i/>
          <w:iCs/>
        </w:rPr>
        <w:t xml:space="preserve">debt, housing and benefits advice in conjunction with </w:t>
      </w:r>
      <w:r w:rsidR="00DC087E">
        <w:rPr>
          <w:b/>
          <w:bCs/>
          <w:i/>
          <w:iCs/>
        </w:rPr>
        <w:t>Citizens Advice</w:t>
      </w:r>
      <w:r w:rsidR="00ED49A1">
        <w:rPr>
          <w:b/>
          <w:bCs/>
          <w:i/>
          <w:iCs/>
        </w:rPr>
        <w:t xml:space="preserve">, to parents of children who have </w:t>
      </w:r>
      <w:r w:rsidR="00D72FEC">
        <w:rPr>
          <w:b/>
          <w:bCs/>
          <w:i/>
          <w:iCs/>
        </w:rPr>
        <w:t>been admitted twice</w:t>
      </w:r>
      <w:r w:rsidR="00ED49A1">
        <w:rPr>
          <w:b/>
          <w:bCs/>
          <w:i/>
          <w:iCs/>
        </w:rPr>
        <w:t xml:space="preserve"> in </w:t>
      </w:r>
      <w:r w:rsidR="00D04131">
        <w:rPr>
          <w:b/>
          <w:bCs/>
          <w:i/>
          <w:iCs/>
        </w:rPr>
        <w:t xml:space="preserve">a </w:t>
      </w:r>
      <w:r w:rsidR="00046EE9">
        <w:rPr>
          <w:b/>
          <w:bCs/>
          <w:i/>
          <w:iCs/>
        </w:rPr>
        <w:t>twelve-month</w:t>
      </w:r>
      <w:r w:rsidR="00D04131">
        <w:rPr>
          <w:b/>
          <w:bCs/>
          <w:i/>
          <w:iCs/>
        </w:rPr>
        <w:t xml:space="preserve"> period</w:t>
      </w:r>
      <w:r w:rsidR="00ED49A1">
        <w:rPr>
          <w:b/>
          <w:bCs/>
          <w:i/>
          <w:iCs/>
        </w:rPr>
        <w:t xml:space="preserve"> </w:t>
      </w:r>
      <w:r w:rsidR="001532B8">
        <w:rPr>
          <w:b/>
          <w:bCs/>
          <w:i/>
          <w:iCs/>
        </w:rPr>
        <w:t xml:space="preserve">for respiratory conditions </w:t>
      </w:r>
      <w:r w:rsidR="001C58A5">
        <w:rPr>
          <w:b/>
          <w:bCs/>
          <w:i/>
          <w:iCs/>
        </w:rPr>
        <w:t xml:space="preserve">believed to be </w:t>
      </w:r>
      <w:r w:rsidR="001532B8">
        <w:rPr>
          <w:b/>
          <w:bCs/>
          <w:i/>
          <w:iCs/>
        </w:rPr>
        <w:t>linked to damp</w:t>
      </w:r>
      <w:r w:rsidR="004D62DE">
        <w:rPr>
          <w:b/>
          <w:bCs/>
          <w:i/>
          <w:iCs/>
        </w:rPr>
        <w:t xml:space="preserve"> or mouldy housing</w:t>
      </w:r>
    </w:p>
    <w:p w14:paraId="093EA453" w14:textId="0F81AEDC" w:rsidR="003A0DB9" w:rsidRDefault="00FA6F1E" w:rsidP="00C915FD">
      <w:pPr>
        <w:pStyle w:val="Bullet"/>
        <w:rPr>
          <w:b/>
          <w:bCs/>
          <w:i/>
          <w:iCs/>
        </w:rPr>
      </w:pPr>
      <w:r>
        <w:rPr>
          <w:b/>
          <w:bCs/>
          <w:i/>
          <w:iCs/>
        </w:rPr>
        <w:t>m</w:t>
      </w:r>
      <w:r w:rsidR="00EB05E7">
        <w:rPr>
          <w:b/>
          <w:bCs/>
          <w:i/>
          <w:iCs/>
        </w:rPr>
        <w:t xml:space="preserve">onthly </w:t>
      </w:r>
      <w:r w:rsidR="00C4349B">
        <w:rPr>
          <w:b/>
          <w:bCs/>
          <w:i/>
          <w:iCs/>
        </w:rPr>
        <w:t xml:space="preserve">On The Mend </w:t>
      </w:r>
      <w:r w:rsidR="00607641">
        <w:rPr>
          <w:b/>
          <w:bCs/>
          <w:i/>
          <w:iCs/>
        </w:rPr>
        <w:t>features on Healthville Radio</w:t>
      </w:r>
      <w:r w:rsidR="00B2262F">
        <w:rPr>
          <w:b/>
          <w:bCs/>
          <w:i/>
          <w:iCs/>
        </w:rPr>
        <w:t xml:space="preserve"> </w:t>
      </w:r>
      <w:r w:rsidR="00C4349B">
        <w:rPr>
          <w:b/>
          <w:bCs/>
          <w:i/>
          <w:iCs/>
        </w:rPr>
        <w:t>as part of the Local Hero</w:t>
      </w:r>
      <w:r w:rsidR="003C6404">
        <w:rPr>
          <w:b/>
          <w:bCs/>
          <w:i/>
          <w:iCs/>
        </w:rPr>
        <w:t>e</w:t>
      </w:r>
      <w:r w:rsidR="00C4349B">
        <w:rPr>
          <w:b/>
          <w:bCs/>
          <w:i/>
          <w:iCs/>
        </w:rPr>
        <w:t>s series</w:t>
      </w:r>
      <w:r w:rsidR="005C1846">
        <w:rPr>
          <w:b/>
          <w:bCs/>
          <w:i/>
          <w:iCs/>
        </w:rPr>
        <w:t xml:space="preserve">, </w:t>
      </w:r>
      <w:r w:rsidR="00B2262F">
        <w:rPr>
          <w:b/>
          <w:bCs/>
          <w:i/>
          <w:iCs/>
        </w:rPr>
        <w:t xml:space="preserve">which have allowed us to </w:t>
      </w:r>
      <w:r w:rsidR="003C6574">
        <w:rPr>
          <w:b/>
          <w:bCs/>
          <w:i/>
          <w:iCs/>
        </w:rPr>
        <w:t>share examples of how local donations have enhance</w:t>
      </w:r>
      <w:r w:rsidR="00BC26E5">
        <w:rPr>
          <w:b/>
          <w:bCs/>
          <w:i/>
          <w:iCs/>
        </w:rPr>
        <w:t>d</w:t>
      </w:r>
      <w:r w:rsidR="003C6574">
        <w:rPr>
          <w:b/>
          <w:bCs/>
          <w:i/>
          <w:iCs/>
        </w:rPr>
        <w:t xml:space="preserve"> care </w:t>
      </w:r>
      <w:r w:rsidR="00600E45">
        <w:rPr>
          <w:b/>
          <w:bCs/>
          <w:i/>
          <w:iCs/>
        </w:rPr>
        <w:t>for patients and their families, and some of the ways people have raised funds for us</w:t>
      </w:r>
      <w:r w:rsidR="00D36A6B">
        <w:rPr>
          <w:b/>
          <w:bCs/>
          <w:i/>
          <w:iCs/>
        </w:rPr>
        <w:t xml:space="preserve"> </w:t>
      </w:r>
      <w:r w:rsidR="00F86AF8">
        <w:rPr>
          <w:b/>
          <w:bCs/>
          <w:i/>
          <w:iCs/>
        </w:rPr>
        <w:t xml:space="preserve">further developing </w:t>
      </w:r>
      <w:r w:rsidR="00ED3149" w:rsidRPr="004D418C">
        <w:rPr>
          <w:b/>
          <w:bCs/>
          <w:i/>
          <w:iCs/>
        </w:rPr>
        <w:t>our fundraising activities</w:t>
      </w:r>
      <w:r w:rsidR="00C915FD">
        <w:rPr>
          <w:b/>
          <w:bCs/>
          <w:i/>
          <w:iCs/>
        </w:rPr>
        <w:t xml:space="preserve">   </w:t>
      </w:r>
    </w:p>
    <w:p w14:paraId="267D32CB" w14:textId="5BED1AFD" w:rsidR="00F25A97" w:rsidRDefault="00CF5FDD" w:rsidP="00C915FD">
      <w:pPr>
        <w:pStyle w:val="Bullet"/>
        <w:rPr>
          <w:b/>
          <w:bCs/>
          <w:i/>
          <w:iCs/>
        </w:rPr>
      </w:pPr>
      <w:r>
        <w:rPr>
          <w:b/>
          <w:bCs/>
          <w:i/>
          <w:iCs/>
        </w:rPr>
        <w:t xml:space="preserve">continuing to fund high quality research to develop therapies and treatment to help our patients </w:t>
      </w:r>
      <w:r w:rsidR="00701025">
        <w:rPr>
          <w:b/>
          <w:bCs/>
          <w:i/>
          <w:iCs/>
        </w:rPr>
        <w:t>in the future.</w:t>
      </w:r>
    </w:p>
    <w:p w14:paraId="7D11F796" w14:textId="77777777" w:rsidR="00366BFD" w:rsidRPr="004D418C" w:rsidRDefault="00366BFD" w:rsidP="00366BFD">
      <w:pPr>
        <w:pStyle w:val="Bullet"/>
        <w:numPr>
          <w:ilvl w:val="0"/>
          <w:numId w:val="0"/>
        </w:numPr>
        <w:ind w:left="357"/>
      </w:pPr>
    </w:p>
    <w:p w14:paraId="7FCCD4CC" w14:textId="77777777" w:rsidR="00D52853" w:rsidRPr="008F10D0" w:rsidRDefault="00D52853" w:rsidP="00D52853">
      <w:pPr>
        <w:pStyle w:val="Bodytext"/>
        <w:numPr>
          <w:ilvl w:val="0"/>
          <w:numId w:val="38"/>
        </w:numPr>
      </w:pPr>
      <w:r w:rsidRPr="004D418C">
        <w:t>Your d</w:t>
      </w:r>
      <w:r w:rsidRPr="00691A6A">
        <w:t xml:space="preserve">onations made this work possible, and your future donations are the key to our continued </w:t>
      </w:r>
      <w:r w:rsidRPr="00CD0FBB">
        <w:t xml:space="preserve">success. </w:t>
      </w:r>
    </w:p>
    <w:p w14:paraId="700CA5D2" w14:textId="606F6927" w:rsidR="00D52853" w:rsidRPr="008F10D0" w:rsidRDefault="00D52853" w:rsidP="00D52853">
      <w:pPr>
        <w:pStyle w:val="Bodytext"/>
        <w:numPr>
          <w:ilvl w:val="0"/>
          <w:numId w:val="38"/>
        </w:numPr>
      </w:pPr>
      <w:r w:rsidRPr="008F10D0">
        <w:t xml:space="preserve">This is my third report as Chair of the charitable funds committee, and I would like to thank </w:t>
      </w:r>
      <w:r>
        <w:t xml:space="preserve">everyone who has donated gifts or money this year as well as our staff who </w:t>
      </w:r>
      <w:r w:rsidR="00A975DE">
        <w:t xml:space="preserve">have worked so hard over the last two years. </w:t>
      </w:r>
    </w:p>
    <w:p w14:paraId="3042521D" w14:textId="6685A89D" w:rsidR="00D52853" w:rsidRPr="003A74D8" w:rsidRDefault="00A25E4B" w:rsidP="00D52853">
      <w:pPr>
        <w:pStyle w:val="Bodytext"/>
        <w:numPr>
          <w:ilvl w:val="0"/>
          <w:numId w:val="38"/>
        </w:numPr>
      </w:pPr>
      <w:r>
        <w:t>W</w:t>
      </w:r>
      <w:r w:rsidR="00D52853">
        <w:t xml:space="preserve">e will continue to focus on </w:t>
      </w:r>
      <w:r w:rsidR="00D52853" w:rsidRPr="008F10D0">
        <w:t>help</w:t>
      </w:r>
      <w:r w:rsidR="00D52853">
        <w:t>ing</w:t>
      </w:r>
      <w:r w:rsidR="00D52853" w:rsidRPr="008F10D0">
        <w:t xml:space="preserve"> </w:t>
      </w:r>
      <w:r w:rsidR="00D52853">
        <w:t>the population of Healthville to</w:t>
      </w:r>
      <w:r w:rsidR="00D52853" w:rsidRPr="003A74D8">
        <w:t xml:space="preserve"> live fulfilling and healthy lives. If you would like to </w:t>
      </w:r>
      <w:r w:rsidR="00D52853">
        <w:t>get involved</w:t>
      </w:r>
      <w:r w:rsidR="00D52853" w:rsidRPr="003A74D8">
        <w:t>, details about how to do this are at the end of this report. Please support us, every £ counts.</w:t>
      </w:r>
    </w:p>
    <w:p w14:paraId="55FB63ED" w14:textId="584D1AC5" w:rsidR="00C44425" w:rsidRDefault="00D52853">
      <w:pPr>
        <w:sectPr w:rsidR="00C44425" w:rsidSect="00237BC5">
          <w:type w:val="continuous"/>
          <w:pgSz w:w="16840" w:h="11900" w:orient="landscape"/>
          <w:pgMar w:top="1021" w:right="1134" w:bottom="1021" w:left="720" w:header="720" w:footer="737" w:gutter="0"/>
          <w:cols w:num="2" w:space="720"/>
          <w:titlePg/>
          <w:docGrid w:linePitch="360"/>
        </w:sectPr>
      </w:pPr>
      <w:r w:rsidRPr="003A74D8">
        <w:rPr>
          <w:rFonts w:ascii="Ink Free" w:hAnsi="Ink Free"/>
          <w:sz w:val="32"/>
          <w:szCs w:val="32"/>
        </w:rPr>
        <w:t xml:space="preserve">Josephine Maine </w:t>
      </w:r>
      <w:r w:rsidRPr="003A74D8">
        <w:rPr>
          <w:rFonts w:ascii="Ink Free" w:hAnsi="Ink Free"/>
          <w:sz w:val="32"/>
          <w:szCs w:val="32"/>
        </w:rPr>
        <w:tab/>
      </w:r>
      <w:r w:rsidRPr="003A74D8">
        <w:rPr>
          <w:rFonts w:ascii="Ink Free" w:hAnsi="Ink Free"/>
          <w:sz w:val="32"/>
          <w:szCs w:val="32"/>
        </w:rPr>
        <w:tab/>
      </w:r>
      <w:r w:rsidRPr="003A74D8">
        <w:rPr>
          <w:rFonts w:ascii="Ink Free" w:hAnsi="Ink Free"/>
          <w:sz w:val="32"/>
          <w:szCs w:val="32"/>
        </w:rPr>
        <w:tab/>
      </w:r>
      <w:r w:rsidRPr="003A74D8">
        <w:rPr>
          <w:rFonts w:ascii="Ink Free" w:hAnsi="Ink Free"/>
          <w:sz w:val="32"/>
          <w:szCs w:val="32"/>
        </w:rPr>
        <w:tab/>
      </w:r>
      <w:r w:rsidRPr="003A74D8">
        <w:t>30 June 202</w:t>
      </w:r>
      <w:r w:rsidR="00944A7B">
        <w:t>4</w:t>
      </w:r>
    </w:p>
    <w:p w14:paraId="440D1E7B" w14:textId="77777777" w:rsidR="00C020A1" w:rsidRDefault="00C020A1"/>
    <w:p w14:paraId="46CF0A4B" w14:textId="77777777" w:rsidR="00280C3A" w:rsidRDefault="00280C3A">
      <w:pPr>
        <w:sectPr w:rsidR="00280C3A" w:rsidSect="00237BC5">
          <w:type w:val="continuous"/>
          <w:pgSz w:w="16840" w:h="11900" w:orient="landscape"/>
          <w:pgMar w:top="1021" w:right="1134" w:bottom="1021" w:left="720" w:header="720" w:footer="737" w:gutter="0"/>
          <w:cols w:space="720"/>
          <w:titlePg/>
          <w:docGrid w:linePitch="360"/>
        </w:sectPr>
      </w:pPr>
    </w:p>
    <w:p w14:paraId="1190A8C6" w14:textId="77777777" w:rsidR="00CD3705" w:rsidRDefault="00CD3705" w:rsidP="00AC01D3">
      <w:pPr>
        <w:pStyle w:val="Heading2"/>
        <w:sectPr w:rsidR="00CD3705" w:rsidSect="00237BC5">
          <w:type w:val="continuous"/>
          <w:pgSz w:w="16840" w:h="11900" w:orient="landscape"/>
          <w:pgMar w:top="1021" w:right="1134" w:bottom="1021" w:left="720" w:header="720" w:footer="737" w:gutter="0"/>
          <w:cols w:num="2" w:space="720"/>
          <w:titlePg/>
          <w:docGrid w:linePitch="360"/>
        </w:sectPr>
      </w:pPr>
    </w:p>
    <w:p w14:paraId="22F13BBF" w14:textId="77777777" w:rsidR="000B1774" w:rsidRDefault="000B1774" w:rsidP="00AC01D3">
      <w:pPr>
        <w:pStyle w:val="Heading2"/>
      </w:pPr>
      <w:r w:rsidRPr="008F10D0">
        <w:lastRenderedPageBreak/>
        <w:t xml:space="preserve">Who </w:t>
      </w:r>
      <w:r>
        <w:t>w</w:t>
      </w:r>
      <w:r w:rsidRPr="008F10D0">
        <w:t xml:space="preserve">e </w:t>
      </w:r>
      <w:r>
        <w:t>a</w:t>
      </w:r>
      <w:r w:rsidRPr="008F10D0">
        <w:t>re</w:t>
      </w:r>
      <w:bookmarkStart w:id="2" w:name="_Ref67403162"/>
    </w:p>
    <w:p w14:paraId="1B8DE35C" w14:textId="79D9E850" w:rsidR="000B1774" w:rsidRPr="006644A8" w:rsidRDefault="000B1774" w:rsidP="000B1774">
      <w:pPr>
        <w:pStyle w:val="Bodytext"/>
        <w:numPr>
          <w:ilvl w:val="0"/>
          <w:numId w:val="38"/>
        </w:numPr>
      </w:pPr>
      <w:bookmarkStart w:id="3" w:name="_Ref67580135"/>
      <w:r w:rsidRPr="00F03743">
        <w:t>On the Mend NHS Cha</w:t>
      </w:r>
      <w:r>
        <w:t>rity</w:t>
      </w:r>
      <w:r w:rsidRPr="006644A8">
        <w:t xml:space="preserve"> (</w:t>
      </w:r>
      <w:r>
        <w:t>OtM</w:t>
      </w:r>
      <w:r w:rsidRPr="006644A8">
        <w:t xml:space="preserve">) is a registered charity (registered number 107XXX0). </w:t>
      </w:r>
      <w:r w:rsidRPr="00AC01D3">
        <w:t>We exist to raise funds and receive donations for the benefit of the NHS.</w:t>
      </w:r>
      <w:r w:rsidRPr="006644A8">
        <w:t xml:space="preserve"> By securing donations, legacies, and sponsorship, </w:t>
      </w:r>
      <w:r>
        <w:t>OtM</w:t>
      </w:r>
      <w:r w:rsidRPr="006644A8">
        <w:t xml:space="preserve"> can provide the ‘icing on the cake’ to make a real difference for </w:t>
      </w:r>
      <w:r>
        <w:t>patients</w:t>
      </w:r>
      <w:r w:rsidRPr="006644A8">
        <w:t>, their families and the staff who look after them.</w:t>
      </w:r>
      <w:bookmarkEnd w:id="2"/>
      <w:bookmarkEnd w:id="3"/>
      <w:r>
        <w:t xml:space="preserve"> </w:t>
      </w:r>
    </w:p>
    <w:p w14:paraId="2D57F326" w14:textId="20515CAE" w:rsidR="000B1774" w:rsidRPr="006644A8" w:rsidRDefault="000B1774" w:rsidP="000B1774">
      <w:pPr>
        <w:pStyle w:val="Bodytext"/>
        <w:numPr>
          <w:ilvl w:val="0"/>
          <w:numId w:val="38"/>
        </w:numPr>
      </w:pPr>
      <w:bookmarkStart w:id="4" w:name="_Ref494705259"/>
      <w:bookmarkStart w:id="5" w:name="_Ref164180879"/>
      <w:r>
        <w:t>Healthville</w:t>
      </w:r>
      <w:r w:rsidRPr="006644A8">
        <w:t xml:space="preserve"> Hospital is a centre of excellence for healthcare and our key partner in fulfilling our charitable aims.</w:t>
      </w:r>
      <w:bookmarkEnd w:id="4"/>
      <w:r>
        <w:t xml:space="preserve"> </w:t>
      </w:r>
      <w:r w:rsidR="00AC01D3">
        <w:t>HHFT</w:t>
      </w:r>
      <w:r w:rsidR="007A7CF4">
        <w:t xml:space="preserve"> p</w:t>
      </w:r>
      <w:r w:rsidR="00AC01D3" w:rsidRPr="006644A8">
        <w:t>rovid</w:t>
      </w:r>
      <w:r w:rsidR="007A7CF4">
        <w:t>es</w:t>
      </w:r>
      <w:r w:rsidR="00AC01D3" w:rsidRPr="006644A8">
        <w:t xml:space="preserve"> both general and specialist care for over 150,000 </w:t>
      </w:r>
      <w:r w:rsidR="00AC01D3">
        <w:t>patients</w:t>
      </w:r>
      <w:r w:rsidR="00AC01D3" w:rsidRPr="006644A8">
        <w:t xml:space="preserve"> each year</w:t>
      </w:r>
      <w:r w:rsidR="00E3699F">
        <w:t xml:space="preserve">. </w:t>
      </w:r>
      <w:r>
        <w:t>Healthville Community NHS Trust provides district nursing and health visiting to the residents of Healthville as well as the patients of Healthville Cottage Hospital.</w:t>
      </w:r>
      <w:bookmarkEnd w:id="5"/>
      <w:r>
        <w:t xml:space="preserve"> </w:t>
      </w:r>
    </w:p>
    <w:p w14:paraId="2217D186" w14:textId="77777777" w:rsidR="000B1774" w:rsidRPr="006644A8" w:rsidRDefault="000B1774" w:rsidP="000B1774">
      <w:pPr>
        <w:pStyle w:val="Bodytext"/>
        <w:numPr>
          <w:ilvl w:val="0"/>
          <w:numId w:val="38"/>
        </w:numPr>
      </w:pPr>
      <w:r w:rsidRPr="006644A8">
        <w:t>We would like you to support us in our crucial work so please read on and let us tell you more about ourselves, what we do, what we have achieved and how we go about spending the money given to us.</w:t>
      </w:r>
    </w:p>
    <w:p w14:paraId="06CDB78F" w14:textId="77777777" w:rsidR="000B1774" w:rsidRPr="007A7CF4" w:rsidRDefault="000B1774" w:rsidP="007A7CF4">
      <w:pPr>
        <w:pStyle w:val="Heading2"/>
      </w:pPr>
      <w:r w:rsidRPr="007A7CF4">
        <w:t xml:space="preserve">What we aim to do: our objectives and activities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3"/>
      </w:tblGrid>
      <w:tr w:rsidR="000B1774" w:rsidRPr="006644A8" w14:paraId="41ACFF3A" w14:textId="77777777" w:rsidTr="00EC1B15">
        <w:tc>
          <w:tcPr>
            <w:tcW w:w="9396" w:type="dxa"/>
            <w:shd w:val="clear" w:color="auto" w:fill="auto"/>
          </w:tcPr>
          <w:p w14:paraId="1D078D11" w14:textId="77777777" w:rsidR="000B1774" w:rsidRDefault="000B1774" w:rsidP="00EC1B15">
            <w:pPr>
              <w:pStyle w:val="Bodytext"/>
            </w:pPr>
            <w:r w:rsidRPr="006644A8">
              <w:t xml:space="preserve">Paragraph 1.17 of the </w:t>
            </w:r>
            <w:r>
              <w:t>SORP FRS 102</w:t>
            </w:r>
            <w:r w:rsidRPr="006644A8">
              <w:t xml:space="preserve"> requires that the charity provides a summary of:</w:t>
            </w:r>
          </w:p>
          <w:p w14:paraId="45BB8DC8" w14:textId="77777777" w:rsidR="000B1774" w:rsidRPr="00E3699F" w:rsidRDefault="000B1774" w:rsidP="00E3699F">
            <w:pPr>
              <w:pStyle w:val="Bullet"/>
            </w:pPr>
            <w:r w:rsidRPr="00E3699F">
              <w:t xml:space="preserve">the purpose of the charity as set out in the governing document and </w:t>
            </w:r>
          </w:p>
          <w:p w14:paraId="473B0BDF" w14:textId="77777777" w:rsidR="000B1774" w:rsidRDefault="000B1774" w:rsidP="00E3699F">
            <w:pPr>
              <w:pStyle w:val="Bullet"/>
            </w:pPr>
            <w:r w:rsidRPr="00E3699F">
              <w:t>the main</w:t>
            </w:r>
            <w:r w:rsidRPr="006644A8">
              <w:t xml:space="preserve"> activities undertaken in relation to those purposes.</w:t>
            </w:r>
          </w:p>
          <w:p w14:paraId="5AC1C7A3" w14:textId="77777777" w:rsidR="00FC7081" w:rsidRPr="006644A8" w:rsidRDefault="00FC7081" w:rsidP="00BF11CF">
            <w:pPr>
              <w:pStyle w:val="Bullet"/>
              <w:numPr>
                <w:ilvl w:val="0"/>
                <w:numId w:val="0"/>
              </w:numPr>
              <w:ind w:left="357"/>
            </w:pPr>
          </w:p>
          <w:p w14:paraId="3F43382A" w14:textId="4AEFDA56" w:rsidR="000B1774" w:rsidRDefault="000B1774" w:rsidP="00EC1B15">
            <w:pPr>
              <w:pStyle w:val="Bodytext"/>
            </w:pPr>
            <w:r w:rsidRPr="006644A8">
              <w:t xml:space="preserve">Paragraphs </w:t>
            </w:r>
            <w:r>
              <w:fldChar w:fldCharType="begin"/>
            </w:r>
            <w:r>
              <w:instrText xml:space="preserve"> REF _Ref431821726 \r \h </w:instrText>
            </w:r>
            <w:r>
              <w:fldChar w:fldCharType="separate"/>
            </w:r>
            <w:r w:rsidR="00E6322B">
              <w:t>10</w:t>
            </w:r>
            <w:r>
              <w:fldChar w:fldCharType="end"/>
            </w:r>
            <w:r w:rsidRPr="006644A8">
              <w:t xml:space="preserve"> to </w:t>
            </w:r>
            <w:r>
              <w:fldChar w:fldCharType="begin"/>
            </w:r>
            <w:r>
              <w:instrText xml:space="preserve"> REF _Ref40180820 \r \h </w:instrText>
            </w:r>
            <w:r>
              <w:fldChar w:fldCharType="separate"/>
            </w:r>
            <w:r w:rsidR="00E6322B">
              <w:t>12</w:t>
            </w:r>
            <w:r>
              <w:fldChar w:fldCharType="end"/>
            </w:r>
            <w:r w:rsidRPr="006644A8">
              <w:t xml:space="preserve"> of the annual report aim to do that.</w:t>
            </w:r>
          </w:p>
          <w:p w14:paraId="67533227" w14:textId="09540063" w:rsidR="006D09FC" w:rsidRDefault="00E3699F" w:rsidP="00366BFD">
            <w:pPr>
              <w:pStyle w:val="BodyTextitalic"/>
              <w:rPr>
                <w:i w:val="0"/>
                <w:iCs/>
              </w:rPr>
            </w:pPr>
            <w:r w:rsidRPr="00795E76">
              <w:rPr>
                <w:i w:val="0"/>
                <w:iCs/>
              </w:rPr>
              <w:t>P</w:t>
            </w:r>
            <w:r w:rsidR="000B1774" w:rsidRPr="00795E76">
              <w:rPr>
                <w:i w:val="0"/>
                <w:iCs/>
              </w:rPr>
              <w:t xml:space="preserve">aragraph </w:t>
            </w:r>
            <w:r w:rsidR="002B40CB">
              <w:rPr>
                <w:i w:val="0"/>
                <w:iCs/>
              </w:rPr>
              <w:t>8</w:t>
            </w:r>
            <w:r w:rsidR="002B40CB" w:rsidRPr="00795E76">
              <w:rPr>
                <w:i w:val="0"/>
                <w:iCs/>
              </w:rPr>
              <w:t xml:space="preserve"> </w:t>
            </w:r>
            <w:r w:rsidR="000B1774" w:rsidRPr="00795E76">
              <w:rPr>
                <w:i w:val="0"/>
                <w:iCs/>
              </w:rPr>
              <w:t xml:space="preserve">recognises the fact that the charity covers patients of the Community NHS Trust that </w:t>
            </w:r>
            <w:r w:rsidRPr="00795E76">
              <w:rPr>
                <w:i w:val="0"/>
                <w:iCs/>
              </w:rPr>
              <w:t>do</w:t>
            </w:r>
            <w:r w:rsidR="000B1774" w:rsidRPr="00795E76">
              <w:rPr>
                <w:i w:val="0"/>
                <w:iCs/>
              </w:rPr>
              <w:t xml:space="preserve">es not have its own charity. </w:t>
            </w:r>
          </w:p>
          <w:p w14:paraId="597A3E18" w14:textId="58E0A617" w:rsidR="000B1774" w:rsidRPr="00DF7023" w:rsidRDefault="000B1774" w:rsidP="00366BFD">
            <w:pPr>
              <w:pStyle w:val="BodyTextitalic"/>
              <w:rPr>
                <w:i w:val="0"/>
                <w:iCs/>
              </w:rPr>
            </w:pPr>
            <w:r w:rsidRPr="004F05F4">
              <w:rPr>
                <w:i w:val="0"/>
                <w:iCs/>
              </w:rPr>
              <w:t xml:space="preserve">The mission statement in paragraph </w:t>
            </w:r>
            <w:r w:rsidRPr="004F05F4">
              <w:rPr>
                <w:i w:val="0"/>
                <w:iCs/>
              </w:rPr>
              <w:fldChar w:fldCharType="begin"/>
            </w:r>
            <w:r w:rsidRPr="004F05F4">
              <w:rPr>
                <w:i w:val="0"/>
                <w:iCs/>
              </w:rPr>
              <w:instrText xml:space="preserve"> REF _Ref431821726 \r \h  \* MERGEFORMAT </w:instrText>
            </w:r>
            <w:r w:rsidRPr="004F05F4">
              <w:rPr>
                <w:i w:val="0"/>
                <w:iCs/>
              </w:rPr>
            </w:r>
            <w:r w:rsidRPr="004F05F4">
              <w:rPr>
                <w:i w:val="0"/>
                <w:iCs/>
              </w:rPr>
              <w:fldChar w:fldCharType="separate"/>
            </w:r>
            <w:r w:rsidR="00E6322B">
              <w:rPr>
                <w:i w:val="0"/>
                <w:iCs/>
              </w:rPr>
              <w:t>10</w:t>
            </w:r>
            <w:r w:rsidRPr="004F05F4">
              <w:rPr>
                <w:i w:val="0"/>
                <w:iCs/>
              </w:rPr>
              <w:fldChar w:fldCharType="end"/>
            </w:r>
            <w:r w:rsidRPr="004F05F4">
              <w:rPr>
                <w:i w:val="0"/>
                <w:iCs/>
              </w:rPr>
              <w:t xml:space="preserve"> also reflect</w:t>
            </w:r>
            <w:r w:rsidR="00795E76" w:rsidRPr="004F05F4">
              <w:rPr>
                <w:i w:val="0"/>
                <w:iCs/>
              </w:rPr>
              <w:t>s</w:t>
            </w:r>
            <w:r w:rsidRPr="004F05F4">
              <w:rPr>
                <w:i w:val="0"/>
                <w:iCs/>
              </w:rPr>
              <w:t xml:space="preserve"> th</w:t>
            </w:r>
            <w:r w:rsidR="00795E76" w:rsidRPr="004F05F4">
              <w:rPr>
                <w:i w:val="0"/>
                <w:iCs/>
              </w:rPr>
              <w:t xml:space="preserve">e </w:t>
            </w:r>
            <w:r w:rsidR="00AE6835">
              <w:rPr>
                <w:i w:val="0"/>
                <w:iCs/>
              </w:rPr>
              <w:t>charity’s</w:t>
            </w:r>
            <w:r w:rsidR="00AE6835" w:rsidRPr="00DF7023">
              <w:rPr>
                <w:i w:val="0"/>
                <w:iCs/>
              </w:rPr>
              <w:t xml:space="preserve"> </w:t>
            </w:r>
            <w:r w:rsidR="00C43A57" w:rsidRPr="00DF7023">
              <w:rPr>
                <w:i w:val="0"/>
                <w:iCs/>
              </w:rPr>
              <w:t>objective</w:t>
            </w:r>
            <w:r w:rsidRPr="00DF7023">
              <w:rPr>
                <w:i w:val="0"/>
                <w:iCs/>
              </w:rPr>
              <w:t>.</w:t>
            </w:r>
          </w:p>
        </w:tc>
      </w:tr>
    </w:tbl>
    <w:p w14:paraId="57F3ED38" w14:textId="77777777" w:rsidR="0066593E" w:rsidRDefault="0066593E" w:rsidP="009B00C6">
      <w:pPr>
        <w:pStyle w:val="TableTitle"/>
        <w:keepNext/>
      </w:pPr>
    </w:p>
    <w:p w14:paraId="24C82C1D" w14:textId="5D3BBDF9" w:rsidR="000B1774" w:rsidRPr="00731179" w:rsidRDefault="000B1774" w:rsidP="009B00C6">
      <w:pPr>
        <w:pStyle w:val="TableTitle"/>
        <w:keepNext/>
      </w:pPr>
      <w:r w:rsidRPr="00731179">
        <w:t xml:space="preserve">Our mission </w:t>
      </w:r>
    </w:p>
    <w:p w14:paraId="2E51186C" w14:textId="77777777" w:rsidR="000B1774" w:rsidRPr="006644A8" w:rsidRDefault="000B1774" w:rsidP="009B00C6">
      <w:pPr>
        <w:pStyle w:val="Bodytext"/>
        <w:keepNext/>
        <w:numPr>
          <w:ilvl w:val="0"/>
          <w:numId w:val="38"/>
        </w:numPr>
      </w:pPr>
      <w:bookmarkStart w:id="6" w:name="_Ref431821726"/>
      <w:r w:rsidRPr="006644A8">
        <w:t>By raising new money and careful management of our e</w:t>
      </w:r>
      <w:r>
        <w:t xml:space="preserve">xisting funds, OtM provides a public benefit by </w:t>
      </w:r>
      <w:r w:rsidRPr="006644A8">
        <w:t>mak</w:t>
      </w:r>
      <w:r>
        <w:t>ing</w:t>
      </w:r>
      <w:r w:rsidRPr="006644A8">
        <w:t xml:space="preserve"> grants to </w:t>
      </w:r>
      <w:r>
        <w:t>Healthville</w:t>
      </w:r>
      <w:r w:rsidRPr="006644A8">
        <w:t xml:space="preserve"> Hospital</w:t>
      </w:r>
      <w:r>
        <w:t>, Healthville Community NHS Trust</w:t>
      </w:r>
      <w:r w:rsidRPr="006644A8">
        <w:t xml:space="preserve"> and the </w:t>
      </w:r>
      <w:r>
        <w:t xml:space="preserve">other </w:t>
      </w:r>
      <w:r w:rsidRPr="006644A8">
        <w:t>organisations it works with in order:</w:t>
      </w:r>
      <w:bookmarkEnd w:id="6"/>
    </w:p>
    <w:p w14:paraId="7822B070" w14:textId="77777777" w:rsidR="000B1774" w:rsidRPr="006644A8" w:rsidRDefault="000B1774" w:rsidP="000B1774">
      <w:pPr>
        <w:pStyle w:val="Bodytext"/>
        <w:ind w:left="360"/>
        <w:rPr>
          <w:b/>
          <w:bCs/>
          <w:i/>
          <w:iCs/>
        </w:rPr>
      </w:pPr>
      <w:r w:rsidRPr="006644A8">
        <w:rPr>
          <w:b/>
          <w:bCs/>
        </w:rPr>
        <w:t>‘</w:t>
      </w:r>
      <w:bookmarkStart w:id="7" w:name="_Hlk163829447"/>
      <w:r w:rsidRPr="006644A8">
        <w:rPr>
          <w:b/>
          <w:bCs/>
        </w:rPr>
        <w:t xml:space="preserve">To serve the </w:t>
      </w:r>
      <w:r>
        <w:rPr>
          <w:b/>
          <w:bCs/>
        </w:rPr>
        <w:t xml:space="preserve">population of Healthville </w:t>
      </w:r>
      <w:r w:rsidRPr="006644A8">
        <w:rPr>
          <w:b/>
          <w:bCs/>
        </w:rPr>
        <w:t xml:space="preserve">by funding facilities, equipment and research and to support associated healthcare and complementary services for </w:t>
      </w:r>
      <w:r>
        <w:rPr>
          <w:b/>
          <w:bCs/>
        </w:rPr>
        <w:t>patients of the NHS in Healthville</w:t>
      </w:r>
      <w:bookmarkEnd w:id="7"/>
      <w:r w:rsidRPr="006644A8">
        <w:rPr>
          <w:b/>
          <w:bCs/>
        </w:rPr>
        <w:t>.’</w:t>
      </w:r>
    </w:p>
    <w:p w14:paraId="65D7A448" w14:textId="2308ADE8" w:rsidR="000B1774" w:rsidRPr="00472EB2" w:rsidRDefault="000B1774" w:rsidP="000B1774">
      <w:pPr>
        <w:pStyle w:val="Bodytext"/>
        <w:numPr>
          <w:ilvl w:val="0"/>
          <w:numId w:val="38"/>
        </w:numPr>
        <w:rPr>
          <w:i/>
        </w:rPr>
      </w:pPr>
      <w:bookmarkStart w:id="8" w:name="_Ref494698894"/>
      <w:r w:rsidRPr="006644A8">
        <w:t>Grants are made in accordance with charity law, our constitution and the wishes and directions of donors.</w:t>
      </w:r>
      <w:r>
        <w:t xml:space="preserve"> </w:t>
      </w:r>
      <w:r w:rsidRPr="006644A8">
        <w:t>In making grants, we endeavour to reflect the wishes of patients and staff by directing funds towards areas they tell us are most in need.</w:t>
      </w:r>
      <w:r>
        <w:t xml:space="preserve"> </w:t>
      </w:r>
      <w:r w:rsidRPr="006644A8">
        <w:t xml:space="preserve">During the year </w:t>
      </w:r>
      <w:r w:rsidR="005B42CC">
        <w:t>2023/34</w:t>
      </w:r>
      <w:r w:rsidRPr="006644A8">
        <w:t xml:space="preserve">, grants totalling </w:t>
      </w:r>
      <w:r w:rsidR="00242628">
        <w:t>£2.</w:t>
      </w:r>
      <w:r w:rsidR="00525EBE">
        <w:t xml:space="preserve">9m </w:t>
      </w:r>
      <w:r w:rsidRPr="006644A8">
        <w:t>were made.</w:t>
      </w:r>
      <w:r>
        <w:t xml:space="preserve"> When considering where to focus our attention our corporate trustee’s board and, particularly, the members of the charitable funds committee have </w:t>
      </w:r>
      <w:r w:rsidRPr="006644A8">
        <w:t>regard to the Charity Commission</w:t>
      </w:r>
      <w:r>
        <w:t xml:space="preserve"> for England and Wales</w:t>
      </w:r>
      <w:r w:rsidRPr="006644A8">
        <w:t>’s guidance on public benefit</w:t>
      </w:r>
      <w:r>
        <w:t xml:space="preserve"> and what this means for OtM</w:t>
      </w:r>
      <w:r w:rsidRPr="006644A8">
        <w:t>.</w:t>
      </w:r>
      <w:bookmarkEnd w:id="8"/>
    </w:p>
    <w:p w14:paraId="1CC65811" w14:textId="58F7AC9A" w:rsidR="000B1774" w:rsidRPr="006644A8" w:rsidRDefault="000B1774" w:rsidP="000B1774">
      <w:pPr>
        <w:pStyle w:val="Bodytext"/>
        <w:numPr>
          <w:ilvl w:val="0"/>
          <w:numId w:val="38"/>
        </w:numPr>
      </w:pPr>
      <w:bookmarkStart w:id="9" w:name="_Ref40180820"/>
      <w:r w:rsidRPr="006644A8">
        <w:t xml:space="preserve">Our plans are to continue to </w:t>
      </w:r>
      <w:r>
        <w:t>increase</w:t>
      </w:r>
      <w:r w:rsidRPr="006644A8">
        <w:t xml:space="preserve"> our level of fundraising to achieve our target </w:t>
      </w:r>
      <w:r w:rsidRPr="00273895">
        <w:t>of £</w:t>
      </w:r>
      <w:r w:rsidR="00547EAD" w:rsidRPr="00273895">
        <w:t>3</w:t>
      </w:r>
      <w:r w:rsidR="006173D9">
        <w:t>.75</w:t>
      </w:r>
      <w:r w:rsidRPr="00273895">
        <w:t>m a year which will help us work with our NHS partners to transform the health</w:t>
      </w:r>
      <w:r w:rsidRPr="006644A8">
        <w:t xml:space="preserve"> prospects for </w:t>
      </w:r>
      <w:r>
        <w:t>patients</w:t>
      </w:r>
      <w:r w:rsidRPr="006644A8">
        <w:t xml:space="preserve"> in our community.</w:t>
      </w:r>
      <w:bookmarkEnd w:id="9"/>
    </w:p>
    <w:p w14:paraId="6D6ED334" w14:textId="77777777" w:rsidR="000B1774" w:rsidRPr="006644A8" w:rsidRDefault="000B1774" w:rsidP="000B1774">
      <w:pPr>
        <w:pStyle w:val="Heading2"/>
      </w:pPr>
      <w:r w:rsidRPr="006644A8">
        <w:t>What we have achieved: highlights from the activities undertaken in the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3"/>
      </w:tblGrid>
      <w:tr w:rsidR="000B1774" w:rsidRPr="006644A8" w14:paraId="0519B14B" w14:textId="77777777" w:rsidTr="0A2A19DF">
        <w:tc>
          <w:tcPr>
            <w:tcW w:w="9848" w:type="dxa"/>
            <w:shd w:val="clear" w:color="auto" w:fill="auto"/>
          </w:tcPr>
          <w:p w14:paraId="4FA95D43" w14:textId="77777777" w:rsidR="000B1774" w:rsidRPr="001F5B70" w:rsidRDefault="000B1774" w:rsidP="00EC1B15">
            <w:pPr>
              <w:pStyle w:val="Bodytext"/>
            </w:pPr>
            <w:r w:rsidRPr="001F5B70">
              <w:t>In addition to the requirements of paragraph 1.17 of the SORP 102, charities in England and Wales</w:t>
            </w:r>
            <w:r>
              <w:rPr>
                <w:rStyle w:val="FootnoteReference"/>
              </w:rPr>
              <w:footnoteReference w:id="10"/>
            </w:r>
            <w:r w:rsidRPr="001F5B70">
              <w:t xml:space="preserve"> are required to meet the requirements of paragraph 1.18 of the SORP FRS 102 to:</w:t>
            </w:r>
          </w:p>
          <w:p w14:paraId="2F6BB86B" w14:textId="77777777" w:rsidR="000B1774" w:rsidRPr="00A3021F" w:rsidRDefault="000B1774" w:rsidP="00A3021F">
            <w:pPr>
              <w:pStyle w:val="Bullet"/>
            </w:pPr>
            <w:r w:rsidRPr="00A3021F">
              <w:t>explain the main activities undertaken to further the charity’s purpose for the public benefit</w:t>
            </w:r>
          </w:p>
          <w:p w14:paraId="528EBBFC" w14:textId="77777777" w:rsidR="000B1774" w:rsidRDefault="000B1774" w:rsidP="00A3021F">
            <w:pPr>
              <w:pStyle w:val="Bullet"/>
            </w:pPr>
            <w:r w:rsidRPr="00A3021F">
              <w:lastRenderedPageBreak/>
              <w:t>include in their report a statement confirming whether the trustees</w:t>
            </w:r>
            <w:r w:rsidRPr="001F5B70">
              <w:t xml:space="preserve"> have had regard to the Charity Commission in England and Wales’s guidance on public benefit</w:t>
            </w:r>
            <w:r w:rsidRPr="001F5B70">
              <w:rPr>
                <w:rStyle w:val="FootnoteReference"/>
              </w:rPr>
              <w:footnoteReference w:id="11"/>
            </w:r>
            <w:r w:rsidRPr="001F5B70">
              <w:t>.</w:t>
            </w:r>
          </w:p>
          <w:p w14:paraId="5676F262" w14:textId="77777777" w:rsidR="00C30BC2" w:rsidRPr="001F5B70" w:rsidRDefault="00C30BC2" w:rsidP="00C81591">
            <w:pPr>
              <w:pStyle w:val="Bullet"/>
              <w:numPr>
                <w:ilvl w:val="0"/>
                <w:numId w:val="0"/>
              </w:numPr>
              <w:ind w:left="357"/>
            </w:pPr>
          </w:p>
          <w:p w14:paraId="48CE8797" w14:textId="57B9C786" w:rsidR="000B1774" w:rsidRPr="001F5B70" w:rsidRDefault="000B1774" w:rsidP="00EC1B15">
            <w:pPr>
              <w:pStyle w:val="Bodytext"/>
            </w:pPr>
            <w:r w:rsidRPr="001F5B70">
              <w:t xml:space="preserve">Paragraphs </w:t>
            </w:r>
            <w:r w:rsidR="00043262">
              <w:t>13</w:t>
            </w:r>
            <w:r w:rsidR="00043262" w:rsidRPr="001F5B70">
              <w:t xml:space="preserve"> </w:t>
            </w:r>
            <w:r w:rsidRPr="001F5B70">
              <w:t xml:space="preserve">to </w:t>
            </w:r>
            <w:r w:rsidR="005953E5">
              <w:fldChar w:fldCharType="begin"/>
            </w:r>
            <w:r w:rsidR="005953E5">
              <w:instrText xml:space="preserve"> REF _Ref163038085 \r \h </w:instrText>
            </w:r>
            <w:r w:rsidR="005953E5">
              <w:fldChar w:fldCharType="separate"/>
            </w:r>
            <w:r w:rsidR="00E6322B">
              <w:t>16</w:t>
            </w:r>
            <w:r w:rsidR="005953E5">
              <w:fldChar w:fldCharType="end"/>
            </w:r>
            <w:r w:rsidR="009146C9">
              <w:t xml:space="preserve"> </w:t>
            </w:r>
            <w:r w:rsidRPr="001F5B70">
              <w:t>look at the main activities of the charity and try to explain:</w:t>
            </w:r>
          </w:p>
          <w:p w14:paraId="36348BEA" w14:textId="77777777" w:rsidR="000B1774" w:rsidRPr="00A3021F" w:rsidRDefault="000B1774" w:rsidP="00A3021F">
            <w:pPr>
              <w:pStyle w:val="Bullet"/>
            </w:pPr>
            <w:r w:rsidRPr="00A3021F">
              <w:t>what the charity’s objectives are</w:t>
            </w:r>
          </w:p>
          <w:p w14:paraId="18E8649B" w14:textId="77777777" w:rsidR="000B1774" w:rsidRPr="00A3021F" w:rsidRDefault="000B1774" w:rsidP="00A3021F">
            <w:pPr>
              <w:pStyle w:val="Bullet"/>
            </w:pPr>
            <w:r w:rsidRPr="00A3021F">
              <w:t>what the charity has done in the year and who its beneficiaries are</w:t>
            </w:r>
          </w:p>
          <w:p w14:paraId="2668448F" w14:textId="77777777" w:rsidR="000B1774" w:rsidRPr="00A3021F" w:rsidRDefault="000B1774" w:rsidP="00A3021F">
            <w:pPr>
              <w:pStyle w:val="Bullet"/>
            </w:pPr>
            <w:r w:rsidRPr="00A3021F">
              <w:t>the impact/ difference that the charity has made</w:t>
            </w:r>
          </w:p>
          <w:p w14:paraId="091AE8E9" w14:textId="6DAF4522" w:rsidR="000B1774" w:rsidRDefault="000B1774" w:rsidP="00A3021F">
            <w:pPr>
              <w:pStyle w:val="Bullet"/>
            </w:pPr>
            <w:r w:rsidRPr="00A3021F">
              <w:t>how it is different</w:t>
            </w:r>
            <w:r w:rsidRPr="001F5B70">
              <w:t xml:space="preserve"> from the services provided by the NHS</w:t>
            </w:r>
            <w:r w:rsidR="00373290">
              <w:t>.</w:t>
            </w:r>
          </w:p>
          <w:p w14:paraId="51B54E7B" w14:textId="77777777" w:rsidR="00373290" w:rsidRPr="001F5B70" w:rsidRDefault="00373290" w:rsidP="00C81591">
            <w:pPr>
              <w:pStyle w:val="Bullet"/>
              <w:numPr>
                <w:ilvl w:val="0"/>
                <w:numId w:val="0"/>
              </w:numPr>
              <w:ind w:left="357"/>
            </w:pPr>
          </w:p>
          <w:p w14:paraId="6865E6A5" w14:textId="04E1172C" w:rsidR="000B1774" w:rsidRPr="003A0417" w:rsidRDefault="000B1774" w:rsidP="00EC1B15">
            <w:pPr>
              <w:pStyle w:val="Bodytext"/>
            </w:pPr>
            <w:r w:rsidRPr="001F5B70">
              <w:t xml:space="preserve">Case studies show the benefit of the charity’s work for patients. </w:t>
            </w:r>
            <w:r w:rsidRPr="00950A26">
              <w:t>In the case of a grant making charity, the public benefit results from the receipt of the grant that allows the grant receiving body to make changes that have a public benefit</w:t>
            </w:r>
            <w:r w:rsidR="00373290">
              <w:t>.</w:t>
            </w:r>
            <w:r w:rsidRPr="003A0417">
              <w:t xml:space="preserve"> </w:t>
            </w:r>
          </w:p>
          <w:p w14:paraId="284E2408" w14:textId="77777777" w:rsidR="000B1774" w:rsidRPr="00950A26" w:rsidRDefault="000B1774" w:rsidP="00EC1B15">
            <w:pPr>
              <w:pStyle w:val="Bodytext"/>
            </w:pPr>
            <w:r w:rsidRPr="00950A26">
              <w:t>In 2018, the Charity Commission reviewed public benefit disclosures in 105 charity annual reports</w:t>
            </w:r>
            <w:r w:rsidRPr="00950A26">
              <w:rPr>
                <w:rStyle w:val="FootnoteReference"/>
              </w:rPr>
              <w:footnoteReference w:id="12"/>
            </w:r>
            <w:r w:rsidRPr="00950A26">
              <w:t>. It found that:</w:t>
            </w:r>
          </w:p>
          <w:p w14:paraId="58C90372" w14:textId="77777777" w:rsidR="000B1774" w:rsidRPr="00A3021F" w:rsidRDefault="000B1774" w:rsidP="00A3021F">
            <w:pPr>
              <w:pStyle w:val="Bullet"/>
            </w:pPr>
            <w:r w:rsidRPr="00A3021F">
              <w:t>52% of the annual reports reviewed demonstrated a clear understanding of the public benefit reporting requirement</w:t>
            </w:r>
          </w:p>
          <w:p w14:paraId="329623A0" w14:textId="77777777" w:rsidR="000B1774" w:rsidRPr="00A3021F" w:rsidRDefault="000B1774" w:rsidP="00A3021F">
            <w:pPr>
              <w:pStyle w:val="Bullet"/>
            </w:pPr>
            <w:r w:rsidRPr="00A3021F">
              <w:t xml:space="preserve">many charities did not report the activities that they undertake to improve the lives of their beneficiaries and make a difference </w:t>
            </w:r>
          </w:p>
          <w:p w14:paraId="44E18A97" w14:textId="1B321391" w:rsidR="000B1774" w:rsidRDefault="00A3021F" w:rsidP="00A3021F">
            <w:pPr>
              <w:pStyle w:val="Bullet"/>
            </w:pPr>
            <w:r>
              <w:t>o</w:t>
            </w:r>
            <w:r w:rsidR="000B1774" w:rsidRPr="00A3021F">
              <w:t>nly two thirds included the required statement that the trustees had considered the relevant guidance on public benefit reporting</w:t>
            </w:r>
            <w:r w:rsidR="000B1774" w:rsidRPr="00950A26">
              <w:t xml:space="preserve">. </w:t>
            </w:r>
          </w:p>
          <w:p w14:paraId="1C29082D" w14:textId="77777777" w:rsidR="00F24D4F" w:rsidRPr="00950A26" w:rsidRDefault="00F24D4F" w:rsidP="00FE2749">
            <w:pPr>
              <w:pStyle w:val="Bullet"/>
              <w:numPr>
                <w:ilvl w:val="0"/>
                <w:numId w:val="0"/>
              </w:numPr>
              <w:ind w:left="357"/>
            </w:pPr>
          </w:p>
          <w:p w14:paraId="1B8E980D" w14:textId="77777777" w:rsidR="000B1774" w:rsidRPr="003A0417" w:rsidRDefault="000B1774" w:rsidP="00EC1B15">
            <w:pPr>
              <w:pStyle w:val="Bodytext"/>
            </w:pPr>
            <w:r w:rsidRPr="00950A26">
              <w:t>The Charity Commission concluded that, ‘the trustees’ annual report is the key means by which the trustees of a charity are publicly accountable for the work that they have done to make a difference to the charity’s beneficiaries. Public benefit reporting encourages trustees to reflect on how well they are doing and to communicate this to their supporters, potential funders and the wider public.’</w:t>
            </w:r>
          </w:p>
          <w:p w14:paraId="486BF25B" w14:textId="757088E3" w:rsidR="000B1774" w:rsidRPr="001F5B70" w:rsidRDefault="000B1774" w:rsidP="00EC1B15">
            <w:pPr>
              <w:pStyle w:val="Bodytext"/>
            </w:pPr>
            <w:r w:rsidRPr="001F5B70">
              <w:t xml:space="preserve">The statement in paragraph </w:t>
            </w:r>
            <w:r>
              <w:fldChar w:fldCharType="begin"/>
            </w:r>
            <w:r>
              <w:instrText xml:space="preserve"> REF _Ref494698894 \r \h </w:instrText>
            </w:r>
            <w:r>
              <w:fldChar w:fldCharType="separate"/>
            </w:r>
            <w:r w:rsidR="00E6322B">
              <w:t>11</w:t>
            </w:r>
            <w:r>
              <w:fldChar w:fldCharType="end"/>
            </w:r>
            <w:r w:rsidR="00B42C53">
              <w:t xml:space="preserve">, and </w:t>
            </w:r>
            <w:r w:rsidR="009A128C">
              <w:t>paragraphs</w:t>
            </w:r>
            <w:r w:rsidR="00B42C53">
              <w:t xml:space="preserve"> </w:t>
            </w:r>
            <w:r w:rsidR="009A128C">
              <w:fldChar w:fldCharType="begin"/>
            </w:r>
            <w:r w:rsidR="009A128C">
              <w:instrText xml:space="preserve"> REF _Ref130281984 \r \h </w:instrText>
            </w:r>
            <w:r w:rsidR="009A128C">
              <w:fldChar w:fldCharType="separate"/>
            </w:r>
            <w:r w:rsidR="00E6322B">
              <w:t>74</w:t>
            </w:r>
            <w:r w:rsidR="009A128C">
              <w:fldChar w:fldCharType="end"/>
            </w:r>
            <w:r w:rsidR="009A128C">
              <w:t xml:space="preserve"> to </w:t>
            </w:r>
            <w:r w:rsidR="009A128C">
              <w:fldChar w:fldCharType="begin"/>
            </w:r>
            <w:r w:rsidR="009A128C">
              <w:instrText xml:space="preserve"> REF _Ref494703995 \r \h </w:instrText>
            </w:r>
            <w:r w:rsidR="009A128C">
              <w:fldChar w:fldCharType="separate"/>
            </w:r>
            <w:r w:rsidR="00E6322B">
              <w:t>75</w:t>
            </w:r>
            <w:r w:rsidR="009A128C">
              <w:fldChar w:fldCharType="end"/>
            </w:r>
            <w:r w:rsidR="009A128C">
              <w:t xml:space="preserve">, </w:t>
            </w:r>
            <w:r w:rsidRPr="001F5B70">
              <w:t>meets the requirement to confirm that the trustees have had regard to the public benefit guidance.</w:t>
            </w:r>
          </w:p>
          <w:p w14:paraId="7C9BEE80" w14:textId="62284354" w:rsidR="000B1774" w:rsidRPr="006532FE" w:rsidRDefault="000B1774" w:rsidP="00F846B4">
            <w:pPr>
              <w:pStyle w:val="Bodytext"/>
              <w:rPr>
                <w:b/>
                <w:iCs/>
              </w:rPr>
            </w:pPr>
            <w:r w:rsidRPr="001F5B70">
              <w:t>Paragraph</w:t>
            </w:r>
            <w:r w:rsidR="00E72822">
              <w:t>s</w:t>
            </w:r>
            <w:r w:rsidRPr="001F5B70">
              <w:t xml:space="preserve"> </w:t>
            </w:r>
            <w:r w:rsidR="00436BAC">
              <w:t>13</w:t>
            </w:r>
            <w:r w:rsidR="00E72822">
              <w:t xml:space="preserve"> and 14</w:t>
            </w:r>
            <w:r w:rsidRPr="001F5B70">
              <w:t xml:space="preserve"> also meet</w:t>
            </w:r>
            <w:r w:rsidR="00482E5A">
              <w:t xml:space="preserve"> </w:t>
            </w:r>
            <w:r w:rsidRPr="001F5B70">
              <w:t>the requirement of paragraph 1.20 of the SORP FRS 102 to contain a summary of the main achievements of the charity.</w:t>
            </w:r>
          </w:p>
        </w:tc>
      </w:tr>
    </w:tbl>
    <w:p w14:paraId="5D4381BA" w14:textId="77777777" w:rsidR="00F17541" w:rsidRDefault="00F17541" w:rsidP="00B668EE">
      <w:pPr>
        <w:pStyle w:val="Bodytext"/>
        <w:ind w:left="360"/>
      </w:pPr>
      <w:bookmarkStart w:id="10" w:name="_Ref130289924"/>
      <w:bookmarkStart w:id="11" w:name="_Ref431886297"/>
    </w:p>
    <w:p w14:paraId="6F5211E7" w14:textId="1BFACC93" w:rsidR="00087963" w:rsidRPr="00B668EE" w:rsidRDefault="000B1774" w:rsidP="00DE3A20">
      <w:pPr>
        <w:pStyle w:val="Bodytext"/>
        <w:numPr>
          <w:ilvl w:val="0"/>
          <w:numId w:val="38"/>
        </w:numPr>
        <w:rPr>
          <w:b/>
          <w:bCs/>
        </w:rPr>
      </w:pPr>
      <w:r w:rsidRPr="006644A8">
        <w:t xml:space="preserve">Our key aim is to serve the NHS patients of </w:t>
      </w:r>
      <w:r>
        <w:t>HHFT and Healthville Community NHS Trust</w:t>
      </w:r>
      <w:r w:rsidRPr="006644A8">
        <w:t xml:space="preserve"> for the public benefit. </w:t>
      </w:r>
      <w:r>
        <w:t>By funding research, services, and equipment we help the NHS bodies we work with provide care to their patients which goes beyond that which they are funded by the state to provide.</w:t>
      </w:r>
      <w:bookmarkEnd w:id="10"/>
      <w:r>
        <w:t xml:space="preserve"> </w:t>
      </w:r>
      <w:r w:rsidR="002D2D8F" w:rsidRPr="003159BC">
        <w:rPr>
          <w:b/>
          <w:bCs/>
          <w:i/>
          <w:iCs/>
          <w:lang w:val="en-US"/>
        </w:rPr>
        <w:t>Our role is not to replace or subsidise NHS healthcare</w:t>
      </w:r>
      <w:r w:rsidR="002D618A" w:rsidRPr="003159BC">
        <w:rPr>
          <w:b/>
          <w:bCs/>
          <w:i/>
          <w:iCs/>
          <w:lang w:val="en-US"/>
        </w:rPr>
        <w:t>, but to complement it</w:t>
      </w:r>
      <w:r w:rsidR="002D2D8F" w:rsidRPr="003159BC">
        <w:rPr>
          <w:b/>
          <w:bCs/>
          <w:i/>
          <w:iCs/>
          <w:lang w:val="en-US"/>
        </w:rPr>
        <w:t>.</w:t>
      </w:r>
    </w:p>
    <w:p w14:paraId="00026ADA" w14:textId="77777777" w:rsidR="00091002" w:rsidRPr="006644A8" w:rsidRDefault="00091002" w:rsidP="00091002">
      <w:pPr>
        <w:pStyle w:val="Bodytext"/>
        <w:numPr>
          <w:ilvl w:val="0"/>
          <w:numId w:val="38"/>
        </w:numPr>
      </w:pPr>
      <w:r w:rsidRPr="006644A8">
        <w:t xml:space="preserve">By working with the NHS, </w:t>
      </w:r>
      <w:r w:rsidRPr="003159BC">
        <w:rPr>
          <w:b/>
          <w:bCs/>
          <w:i/>
          <w:iCs/>
        </w:rPr>
        <w:t>we aim to enhance the patient experience for people irrespective of their ethnicity, beliefs, or personal or family circumstances</w:t>
      </w:r>
      <w:r w:rsidRPr="00B668EE">
        <w:rPr>
          <w:b/>
          <w:bCs/>
        </w:rPr>
        <w:t>.</w:t>
      </w:r>
      <w:r>
        <w:t xml:space="preserve"> </w:t>
      </w:r>
      <w:r w:rsidRPr="006644A8">
        <w:t xml:space="preserve">We put this aim into practice by helping the </w:t>
      </w:r>
      <w:r>
        <w:t>patients</w:t>
      </w:r>
      <w:r w:rsidRPr="006644A8">
        <w:t xml:space="preserve">, their families and carers, and visitors to the hospital by: </w:t>
      </w:r>
    </w:p>
    <w:p w14:paraId="106D563E" w14:textId="3CE6D4E0" w:rsidR="00CC22EB" w:rsidRPr="00860E48" w:rsidRDefault="00CC22EB" w:rsidP="00BA457A">
      <w:pPr>
        <w:pStyle w:val="Bullet"/>
      </w:pPr>
      <w:r w:rsidRPr="00860E48">
        <w:t xml:space="preserve">funding medical research to understand better the diseases affecting our patients today so that we can develop the </w:t>
      </w:r>
      <w:r>
        <w:t xml:space="preserve">treatments </w:t>
      </w:r>
      <w:r w:rsidRPr="00860E48">
        <w:t>and therapies of tomorrow</w:t>
      </w:r>
    </w:p>
    <w:p w14:paraId="4D923F98" w14:textId="0EFE13B8" w:rsidR="00CC22EB" w:rsidRPr="00860E48" w:rsidRDefault="00CC22EB" w:rsidP="00CC22EB">
      <w:pPr>
        <w:pStyle w:val="Bullet"/>
      </w:pPr>
      <w:r w:rsidRPr="00860E48">
        <w:t xml:space="preserve">enhancing the care our partner hospitals can offer through new equipment and building improvements to deliver better facilities </w:t>
      </w:r>
      <w:r w:rsidR="00B27C2D" w:rsidRPr="00AB7B9C">
        <w:rPr>
          <w:b/>
          <w:bCs/>
          <w:i/>
          <w:iCs/>
        </w:rPr>
        <w:t>and environments</w:t>
      </w:r>
    </w:p>
    <w:p w14:paraId="7E9E9776" w14:textId="77777777" w:rsidR="00CC22EB" w:rsidRPr="00860E48" w:rsidRDefault="00CC22EB" w:rsidP="00CC22EB">
      <w:pPr>
        <w:pStyle w:val="Bullet"/>
      </w:pPr>
      <w:r w:rsidRPr="00860E48">
        <w:t xml:space="preserve">investment in the people who work in the NHS in Healthville to create a caring environment for the patients receiving care, their families and visitors </w:t>
      </w:r>
    </w:p>
    <w:p w14:paraId="252583A1" w14:textId="77777777" w:rsidR="00CC22EB" w:rsidRDefault="00CC22EB" w:rsidP="00CC22EB">
      <w:pPr>
        <w:pStyle w:val="Bullet"/>
      </w:pPr>
      <w:r w:rsidRPr="00860E48">
        <w:t>providing</w:t>
      </w:r>
      <w:r w:rsidRPr="00731179">
        <w:t xml:space="preserve"> direct support to patients by way of information, networking support</w:t>
      </w:r>
      <w:r>
        <w:t xml:space="preserve"> and </w:t>
      </w:r>
      <w:r w:rsidRPr="00731179">
        <w:t>better facilities.</w:t>
      </w:r>
    </w:p>
    <w:bookmarkEnd w:id="11"/>
    <w:p w14:paraId="23C1EA63" w14:textId="629A8ECB" w:rsidR="00E34B96" w:rsidRPr="00442D78" w:rsidRDefault="00E34B96" w:rsidP="00E34B96">
      <w:pPr>
        <w:pStyle w:val="Bullet"/>
        <w:numPr>
          <w:ilvl w:val="0"/>
          <w:numId w:val="0"/>
        </w:num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3"/>
      </w:tblGrid>
      <w:tr w:rsidR="000B1774" w:rsidRPr="006644A8" w14:paraId="367270C3" w14:textId="77777777" w:rsidTr="00EC1B15">
        <w:tc>
          <w:tcPr>
            <w:tcW w:w="9396" w:type="dxa"/>
            <w:shd w:val="clear" w:color="auto" w:fill="auto"/>
          </w:tcPr>
          <w:p w14:paraId="1CBDB497" w14:textId="77777777" w:rsidR="000B1774" w:rsidRPr="00F354FA" w:rsidRDefault="000B1774" w:rsidP="00EC1B15">
            <w:pPr>
              <w:pStyle w:val="Bodytext"/>
            </w:pPr>
            <w:r w:rsidRPr="006644A8">
              <w:t xml:space="preserve">Paragraph 1.36 of the </w:t>
            </w:r>
            <w:r>
              <w:t>SORP FRS 102</w:t>
            </w:r>
            <w:r w:rsidRPr="006644A8">
              <w:t xml:space="preserve"> requires that larger charities </w:t>
            </w:r>
            <w:r w:rsidRPr="00F354FA">
              <w:t>provide an explanation of:</w:t>
            </w:r>
          </w:p>
          <w:p w14:paraId="34C5B63C" w14:textId="68E80260" w:rsidR="000B1774" w:rsidRPr="00F354FA" w:rsidRDefault="000B1774" w:rsidP="00F354FA">
            <w:pPr>
              <w:pStyle w:val="Bullet"/>
            </w:pPr>
            <w:r w:rsidRPr="00F354FA">
              <w:lastRenderedPageBreak/>
              <w:t xml:space="preserve">its aims, including details of the issues it seeks to tackle and the changes or differences it seeks to make through its activities (met in paragraphs </w:t>
            </w:r>
            <w:r w:rsidRPr="00F354FA">
              <w:fldChar w:fldCharType="begin"/>
            </w:r>
            <w:r w:rsidRPr="00F354FA">
              <w:instrText xml:space="preserve"> REF _Ref431821674 \r \h  \* MERGEFORMAT </w:instrText>
            </w:r>
            <w:r w:rsidRPr="00F354FA">
              <w:fldChar w:fldCharType="separate"/>
            </w:r>
            <w:r w:rsidR="00E6322B">
              <w:t>15</w:t>
            </w:r>
            <w:r w:rsidRPr="00F354FA">
              <w:fldChar w:fldCharType="end"/>
            </w:r>
            <w:r w:rsidRPr="00F354FA">
              <w:t xml:space="preserve"> to </w:t>
            </w:r>
            <w:r w:rsidR="00517634">
              <w:fldChar w:fldCharType="begin"/>
            </w:r>
            <w:r w:rsidR="00517634">
              <w:instrText xml:space="preserve"> REF _Ref130300808 \r \h </w:instrText>
            </w:r>
            <w:r w:rsidR="00517634">
              <w:fldChar w:fldCharType="separate"/>
            </w:r>
            <w:r w:rsidR="00E6322B">
              <w:t>25</w:t>
            </w:r>
            <w:r w:rsidR="00517634">
              <w:fldChar w:fldCharType="end"/>
            </w:r>
            <w:r w:rsidRPr="00F354FA">
              <w:t xml:space="preserve"> in the annual report) </w:t>
            </w:r>
          </w:p>
          <w:p w14:paraId="1FECEA2D" w14:textId="5F73C957" w:rsidR="000B1774" w:rsidRPr="00F354FA" w:rsidRDefault="000B1774" w:rsidP="00F354FA">
            <w:pPr>
              <w:pStyle w:val="Bullet"/>
            </w:pPr>
            <w:r w:rsidRPr="00F354FA">
              <w:t xml:space="preserve">how the achievement of its aims will further its legal purposes (met in paragraph </w:t>
            </w:r>
            <w:r w:rsidRPr="00F354FA">
              <w:fldChar w:fldCharType="begin"/>
            </w:r>
            <w:r w:rsidRPr="00F354FA">
              <w:instrText xml:space="preserve"> REF _Ref431821726 \r \h  \* MERGEFORMAT </w:instrText>
            </w:r>
            <w:r w:rsidRPr="00F354FA">
              <w:fldChar w:fldCharType="separate"/>
            </w:r>
            <w:r w:rsidR="00E6322B">
              <w:t>10</w:t>
            </w:r>
            <w:r w:rsidRPr="00F354FA">
              <w:fldChar w:fldCharType="end"/>
            </w:r>
            <w:r w:rsidRPr="00F354FA">
              <w:t xml:space="preserve"> and paragraph </w:t>
            </w:r>
            <w:r w:rsidRPr="00F354FA">
              <w:fldChar w:fldCharType="begin"/>
            </w:r>
            <w:r w:rsidRPr="00F354FA">
              <w:instrText xml:space="preserve"> REF _Ref431821779 \r \h  \* MERGEFORMAT </w:instrText>
            </w:r>
            <w:r w:rsidRPr="00F354FA">
              <w:fldChar w:fldCharType="separate"/>
            </w:r>
            <w:r w:rsidR="00E6322B">
              <w:t>48</w:t>
            </w:r>
            <w:r w:rsidRPr="00F354FA">
              <w:fldChar w:fldCharType="end"/>
            </w:r>
            <w:r w:rsidRPr="00F354FA">
              <w:t xml:space="preserve"> of the annual report)</w:t>
            </w:r>
          </w:p>
          <w:p w14:paraId="5EE073AC" w14:textId="6BBACAAC" w:rsidR="000B1774" w:rsidRPr="00F354FA" w:rsidRDefault="000B1774" w:rsidP="00F354FA">
            <w:pPr>
              <w:pStyle w:val="Bullet"/>
            </w:pPr>
            <w:r w:rsidRPr="00F354FA">
              <w:t xml:space="preserve">the criteria or measures it uses to assess success in the reporting period (met in paragraph </w:t>
            </w:r>
            <w:r w:rsidR="00FB1F14">
              <w:t>38</w:t>
            </w:r>
            <w:r w:rsidRPr="00F354FA">
              <w:t>)</w:t>
            </w:r>
          </w:p>
          <w:p w14:paraId="3C549E98" w14:textId="6B41936E" w:rsidR="000B1774" w:rsidRDefault="000B1774" w:rsidP="00F354FA">
            <w:pPr>
              <w:pStyle w:val="Bullet"/>
            </w:pPr>
            <w:r w:rsidRPr="00F354FA">
              <w:t>the significant activities undertaken (including its main programmes, projects or services provided), explaining how they contribute to the achievement of its sta</w:t>
            </w:r>
            <w:r w:rsidRPr="006644A8">
              <w:t xml:space="preserve">ted aims and objectives (met in paragraphs </w:t>
            </w:r>
            <w:r w:rsidRPr="006644A8">
              <w:fldChar w:fldCharType="begin"/>
            </w:r>
            <w:r w:rsidRPr="006644A8">
              <w:instrText xml:space="preserve"> REF _Ref431821674 \r \h </w:instrText>
            </w:r>
            <w:r>
              <w:instrText xml:space="preserve"> \* MERGEFORMAT </w:instrText>
            </w:r>
            <w:r w:rsidRPr="006644A8">
              <w:fldChar w:fldCharType="separate"/>
            </w:r>
            <w:r w:rsidR="00E6322B">
              <w:t>15</w:t>
            </w:r>
            <w:r w:rsidRPr="006644A8">
              <w:fldChar w:fldCharType="end"/>
            </w:r>
            <w:r w:rsidRPr="006644A8">
              <w:t xml:space="preserve"> to </w:t>
            </w:r>
            <w:r w:rsidR="00517634">
              <w:fldChar w:fldCharType="begin"/>
            </w:r>
            <w:r w:rsidR="00517634">
              <w:instrText xml:space="preserve"> REF _Ref130300808 \r \h </w:instrText>
            </w:r>
            <w:r w:rsidR="00517634">
              <w:fldChar w:fldCharType="separate"/>
            </w:r>
            <w:r w:rsidR="00E6322B">
              <w:t>25</w:t>
            </w:r>
            <w:r w:rsidR="00517634">
              <w:fldChar w:fldCharType="end"/>
            </w:r>
            <w:r w:rsidRPr="006644A8">
              <w:t xml:space="preserve"> in the annual report).</w:t>
            </w:r>
          </w:p>
          <w:p w14:paraId="63C27795" w14:textId="61CF728E" w:rsidR="00880FE2" w:rsidRPr="006644A8" w:rsidRDefault="00880FE2" w:rsidP="002951FC">
            <w:pPr>
              <w:pStyle w:val="Bullet"/>
              <w:numPr>
                <w:ilvl w:val="0"/>
                <w:numId w:val="0"/>
              </w:numPr>
              <w:ind w:left="357"/>
            </w:pPr>
          </w:p>
        </w:tc>
      </w:tr>
    </w:tbl>
    <w:p w14:paraId="02CB143A" w14:textId="4704DE2D" w:rsidR="000B1774" w:rsidRDefault="000B1774" w:rsidP="000B1774">
      <w:pPr>
        <w:pStyle w:val="Bodytext"/>
        <w:numPr>
          <w:ilvl w:val="0"/>
          <w:numId w:val="38"/>
        </w:numPr>
      </w:pPr>
      <w:bookmarkStart w:id="12" w:name="_Ref431821674"/>
      <w:r w:rsidRPr="006644A8">
        <w:lastRenderedPageBreak/>
        <w:t xml:space="preserve">We do this through a range of programmes funded by </w:t>
      </w:r>
      <w:r w:rsidR="004E08A1">
        <w:t xml:space="preserve">your </w:t>
      </w:r>
      <w:r w:rsidR="00E92EF6">
        <w:t>donations, legacies and grants</w:t>
      </w:r>
      <w:r w:rsidR="0066039B">
        <w:t>.</w:t>
      </w:r>
      <w:r w:rsidRPr="006644A8">
        <w:t xml:space="preserve"> Highlights from the main</w:t>
      </w:r>
      <w:r w:rsidR="00757596">
        <w:t xml:space="preserve"> </w:t>
      </w:r>
      <w:r w:rsidRPr="006644A8">
        <w:t>programmes undertaken in the year are detailed below to give you a wider understanding of the difference we can make together to lives today and in the future.</w:t>
      </w:r>
      <w:bookmarkEnd w:id="12"/>
      <w:r>
        <w:t xml:space="preserve"> </w:t>
      </w:r>
    </w:p>
    <w:p w14:paraId="5B427B9B" w14:textId="56871023" w:rsidR="00013E68" w:rsidRPr="002F7CFB" w:rsidRDefault="00E157EF" w:rsidP="000B1774">
      <w:pPr>
        <w:pStyle w:val="Bodytext"/>
        <w:numPr>
          <w:ilvl w:val="0"/>
          <w:numId w:val="38"/>
        </w:numPr>
        <w:rPr>
          <w:i/>
          <w:iCs/>
        </w:rPr>
      </w:pPr>
      <w:bookmarkStart w:id="13" w:name="_Ref163038085"/>
      <w:r w:rsidRPr="0066593E">
        <w:rPr>
          <w:b/>
          <w:bCs/>
          <w:i/>
          <w:iCs/>
        </w:rPr>
        <w:t>We aim to treat people equitably</w:t>
      </w:r>
      <w:r w:rsidR="00FB2069" w:rsidRPr="0066593E">
        <w:rPr>
          <w:b/>
          <w:bCs/>
          <w:i/>
          <w:iCs/>
        </w:rPr>
        <w:t xml:space="preserve"> and f</w:t>
      </w:r>
      <w:r w:rsidRPr="0066593E">
        <w:rPr>
          <w:b/>
          <w:bCs/>
          <w:i/>
          <w:iCs/>
        </w:rPr>
        <w:t>ocus our resources on those with the greatest needs</w:t>
      </w:r>
      <w:r w:rsidR="00E53D3B" w:rsidRPr="0066593E">
        <w:rPr>
          <w:b/>
          <w:bCs/>
          <w:i/>
          <w:iCs/>
        </w:rPr>
        <w:t>. Our research typically targets people with (or at risk of) specific conditions</w:t>
      </w:r>
      <w:r w:rsidR="00B8010A" w:rsidRPr="0066593E">
        <w:rPr>
          <w:b/>
          <w:bCs/>
          <w:i/>
          <w:iCs/>
        </w:rPr>
        <w:t>, and we are working with Citizens Advice to help families find the support they need to keep their homes warm and stay healthy</w:t>
      </w:r>
      <w:r w:rsidR="00B8010A" w:rsidRPr="002F7CFB">
        <w:rPr>
          <w:i/>
          <w:iCs/>
        </w:rPr>
        <w:t>.</w:t>
      </w:r>
      <w:bookmarkEnd w:id="13"/>
    </w:p>
    <w:p w14:paraId="43D39D88" w14:textId="77777777" w:rsidR="000B1774" w:rsidRPr="00731179" w:rsidRDefault="000B1774" w:rsidP="00FF3702">
      <w:pPr>
        <w:pStyle w:val="TableTitle"/>
      </w:pPr>
      <w:r w:rsidRPr="00731179">
        <w:t>Finding the treatments of tomorrow</w:t>
      </w:r>
    </w:p>
    <w:p w14:paraId="7C1EC40E" w14:textId="7B989467" w:rsidR="00722F46" w:rsidRDefault="000B1774" w:rsidP="000B1774">
      <w:pPr>
        <w:pStyle w:val="Bodytext"/>
        <w:numPr>
          <w:ilvl w:val="0"/>
          <w:numId w:val="38"/>
        </w:numPr>
      </w:pPr>
      <w:r>
        <w:t>OtM</w:t>
      </w:r>
      <w:r w:rsidRPr="006644A8">
        <w:t xml:space="preserve"> is committed to support</w:t>
      </w:r>
      <w:r>
        <w:t>ing</w:t>
      </w:r>
      <w:r w:rsidRPr="006644A8">
        <w:t xml:space="preserve"> high quality, nationally </w:t>
      </w:r>
      <w:r w:rsidR="004E7C5C">
        <w:t xml:space="preserve">recognised </w:t>
      </w:r>
      <w:r w:rsidRPr="006644A8">
        <w:t>research</w:t>
      </w:r>
      <w:r>
        <w:t xml:space="preserve">, focusing particularly on </w:t>
      </w:r>
      <w:r w:rsidRPr="006644A8">
        <w:t>childhood diseases and illness</w:t>
      </w:r>
      <w:r>
        <w:t xml:space="preserve"> and long-term conditions such as diabetes and asthma in patients of all ages</w:t>
      </w:r>
      <w:r w:rsidRPr="006644A8">
        <w:t>.</w:t>
      </w:r>
      <w:r>
        <w:t xml:space="preserve"> The progression and effect of some diseases is very different in children, so we fund specific projects which look at how existing healthcare practices need to be adapted when treating children. The work on long term conditions is aimed at understanding how people can live healthy and long lives with their conditions. </w:t>
      </w:r>
    </w:p>
    <w:p w14:paraId="284F478C" w14:textId="552B606B" w:rsidR="000B1774" w:rsidRPr="006644A8" w:rsidRDefault="000B1774" w:rsidP="000B1774">
      <w:pPr>
        <w:pStyle w:val="Bodytext"/>
        <w:numPr>
          <w:ilvl w:val="0"/>
          <w:numId w:val="38"/>
        </w:numPr>
      </w:pPr>
      <w:r w:rsidRPr="006644A8">
        <w:t xml:space="preserve">Through its Research Foundation, </w:t>
      </w:r>
      <w:r>
        <w:t xml:space="preserve">OtM awards </w:t>
      </w:r>
      <w:r w:rsidRPr="006644A8">
        <w:t xml:space="preserve">grants for research projects </w:t>
      </w:r>
      <w:r>
        <w:t>that</w:t>
      </w:r>
      <w:r w:rsidRPr="006644A8">
        <w:t xml:space="preserve"> not only provide valuable results themselves but also have the potential to lead to major research projects securing national and international funding. A mixture of 1, 2 and 3-year research grants are awarded.</w:t>
      </w:r>
    </w:p>
    <w:p w14:paraId="047887E0" w14:textId="6E6FA26E" w:rsidR="000B1774" w:rsidRPr="004D418C" w:rsidRDefault="000B1774" w:rsidP="000B1774">
      <w:pPr>
        <w:pStyle w:val="Bodytext"/>
        <w:numPr>
          <w:ilvl w:val="0"/>
          <w:numId w:val="38"/>
        </w:numPr>
      </w:pPr>
      <w:r w:rsidRPr="004D418C">
        <w:t xml:space="preserve">During </w:t>
      </w:r>
      <w:r w:rsidR="00722F46" w:rsidRPr="004D418C">
        <w:t>202</w:t>
      </w:r>
      <w:r w:rsidR="001F5F77">
        <w:t>3</w:t>
      </w:r>
      <w:r w:rsidR="00722F46" w:rsidRPr="004D418C">
        <w:t>/2</w:t>
      </w:r>
      <w:r w:rsidR="001F5F77">
        <w:t>4</w:t>
      </w:r>
      <w:r w:rsidRPr="004D418C">
        <w:t xml:space="preserve">, two rounds of grants were </w:t>
      </w:r>
      <w:r w:rsidR="00FE7F8A">
        <w:t xml:space="preserve">paid </w:t>
      </w:r>
      <w:r w:rsidRPr="004D418C">
        <w:t>totalling £2,</w:t>
      </w:r>
      <w:r w:rsidR="00863B64">
        <w:t>8</w:t>
      </w:r>
      <w:r w:rsidR="00F72EAB">
        <w:t>54</w:t>
      </w:r>
      <w:r w:rsidRPr="004D418C">
        <w:t xml:space="preserve">,000. </w:t>
      </w:r>
    </w:p>
    <w:p w14:paraId="1F0150D4" w14:textId="65C5E92D" w:rsidR="000B1774" w:rsidRPr="006644A8" w:rsidRDefault="000B1774" w:rsidP="00C30B7D">
      <w:pPr>
        <w:pStyle w:val="TableTitle"/>
      </w:pPr>
      <w:r w:rsidRPr="006644A8">
        <w:t>Research into new tissue implants and patches – a life pain</w:t>
      </w:r>
      <w:r w:rsidR="00E7406F">
        <w:t>-</w:t>
      </w:r>
      <w:r w:rsidRPr="006644A8">
        <w:t>free</w:t>
      </w:r>
    </w:p>
    <w:p w14:paraId="10868E30" w14:textId="77777777" w:rsidR="000B1774" w:rsidRPr="006644A8" w:rsidRDefault="000B1774" w:rsidP="000B1774">
      <w:pPr>
        <w:pStyle w:val="Bodytext"/>
        <w:numPr>
          <w:ilvl w:val="0"/>
          <w:numId w:val="38"/>
        </w:numPr>
      </w:pPr>
      <w:r w:rsidRPr="00576ECB">
        <w:t>Our research programme includes developing new techniques to apply tiss</w:t>
      </w:r>
      <w:r w:rsidRPr="00AD4BD0">
        <w:t xml:space="preserve">ue implants using nano technology of skin scaffolds and stem cell technology to enable a better covering of skin for </w:t>
      </w:r>
      <w:r w:rsidRPr="00294539">
        <w:t xml:space="preserve">victims of burns and accidents which cause skin damage and disfigurement. Aside from the trauma of pain, disfigurement brings problems of bullying and social isolation which can traumatise a </w:t>
      </w:r>
      <w:r w:rsidRPr="00950A26">
        <w:t>patient</w:t>
      </w:r>
      <w:r w:rsidRPr="00576ECB">
        <w:t xml:space="preserve"> </w:t>
      </w:r>
      <w:r w:rsidRPr="00182C37">
        <w:t>for life.</w:t>
      </w:r>
      <w:r w:rsidRPr="006644A8">
        <w:t xml:space="preserve"> </w:t>
      </w:r>
      <w:r>
        <w:t>Healthville</w:t>
      </w:r>
      <w:r w:rsidRPr="006644A8">
        <w:t xml:space="preserve"> Hospital is a regional centre for the treatment of burns and our grants are used to fund research into identifying the most effective therapies</w:t>
      </w:r>
      <w:r>
        <w:t xml:space="preserve"> particularly</w:t>
      </w:r>
      <w:r w:rsidRPr="006644A8">
        <w:t xml:space="preserve"> for children.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3"/>
      </w:tblGrid>
      <w:tr w:rsidR="000B1774" w:rsidRPr="00D6785D" w14:paraId="55945F9C" w14:textId="77777777" w:rsidTr="00EC1B15">
        <w:trPr>
          <w:jc w:val="center"/>
        </w:trPr>
        <w:tc>
          <w:tcPr>
            <w:tcW w:w="7938" w:type="dxa"/>
            <w:shd w:val="clear" w:color="auto" w:fill="D5DCE4" w:themeFill="text2" w:themeFillTint="33"/>
          </w:tcPr>
          <w:p w14:paraId="1509919F" w14:textId="77777777" w:rsidR="000B1774" w:rsidRPr="00D6785D" w:rsidRDefault="000B1774" w:rsidP="00021532">
            <w:pPr>
              <w:pStyle w:val="TableTitle"/>
              <w:keepNext/>
            </w:pPr>
            <w:r w:rsidRPr="00D6785D">
              <w:t>Case study</w:t>
            </w:r>
          </w:p>
          <w:p w14:paraId="2B242D7F" w14:textId="77777777" w:rsidR="000B1774" w:rsidRPr="008B7DBD" w:rsidRDefault="000B1774" w:rsidP="00021532">
            <w:pPr>
              <w:pStyle w:val="Bodytext"/>
              <w:keepNext/>
              <w:rPr>
                <w:iCs/>
              </w:rPr>
            </w:pPr>
            <w:r w:rsidRPr="008B7DBD">
              <w:rPr>
                <w:iCs/>
              </w:rPr>
              <w:t>At the age of 2, Freddy suffered severe burns to his left arm as the result of an incident with a water heater. The traditional treatment for burns is based on tried and tested methods for adults. However, children are still growing so treatment has to be repeated as they grow, and the scarred skin is stretched.</w:t>
            </w:r>
          </w:p>
          <w:p w14:paraId="25F22579" w14:textId="72BAAC98" w:rsidR="000B1774" w:rsidRPr="00D6785D" w:rsidRDefault="000B1774" w:rsidP="00EC1B15">
            <w:pPr>
              <w:pStyle w:val="Bodytext"/>
              <w:rPr>
                <w:i/>
              </w:rPr>
            </w:pPr>
            <w:r w:rsidRPr="008B7DBD">
              <w:rPr>
                <w:iCs/>
              </w:rPr>
              <w:t>As a result of our research Freddy was given a new innovative treatment which reduced the number of treatments he had to undergo. He had fewer stays in hospital and his recovery times were quicker which meant that the amount of schooling he missed was reduced considerably. When he was first admitted at the age of 2, his parents were told that he was likely to miss at least one year of school. Freddy is now 18 years old. By scheduling treatments in school holidays and giving him the innovative treatment Freddy missed only 2 months of schooling. This autumn he will be going to university along with his peers.</w:t>
            </w:r>
            <w:r w:rsidRPr="00D6785D">
              <w:rPr>
                <w:i/>
              </w:rPr>
              <w:t xml:space="preserve"> </w:t>
            </w:r>
          </w:p>
        </w:tc>
      </w:tr>
    </w:tbl>
    <w:p w14:paraId="7ED6E4A1" w14:textId="77777777" w:rsidR="00E523D9" w:rsidRDefault="00E523D9" w:rsidP="00C30B7D">
      <w:pPr>
        <w:pStyle w:val="TableTitle"/>
        <w:keepNext/>
      </w:pPr>
    </w:p>
    <w:p w14:paraId="3824B68B" w14:textId="4732B1AC" w:rsidR="000B1774" w:rsidRPr="006644A8" w:rsidRDefault="000B1774" w:rsidP="00C30B7D">
      <w:pPr>
        <w:pStyle w:val="TableTitle"/>
        <w:keepNext/>
      </w:pPr>
      <w:r w:rsidRPr="006644A8">
        <w:t>Caring better using the latest technology</w:t>
      </w:r>
    </w:p>
    <w:p w14:paraId="737BC849" w14:textId="51C6218B" w:rsidR="000B1774" w:rsidRDefault="000B1774" w:rsidP="00C30B7D">
      <w:pPr>
        <w:pStyle w:val="Bodytext"/>
        <w:keepNext/>
        <w:numPr>
          <w:ilvl w:val="0"/>
          <w:numId w:val="38"/>
        </w:numPr>
      </w:pPr>
      <w:r w:rsidRPr="006644A8">
        <w:t xml:space="preserve">Ward donations are often used to provide a modern piece of equipment that improves the care which staff can provide. For example, during </w:t>
      </w:r>
      <w:r w:rsidR="006160A0">
        <w:t>2023/24</w:t>
      </w:r>
      <w:r>
        <w:t>,</w:t>
      </w:r>
      <w:r w:rsidRPr="006644A8">
        <w:t xml:space="preserve"> £65,000 was spent on a central </w:t>
      </w:r>
      <w:r>
        <w:t>D</w:t>
      </w:r>
      <w:r w:rsidRPr="006644A8">
        <w:t xml:space="preserve">exa </w:t>
      </w:r>
      <w:r>
        <w:t>S</w:t>
      </w:r>
      <w:r w:rsidRPr="006644A8">
        <w:t xml:space="preserve">canner </w:t>
      </w:r>
      <w:r>
        <w:t xml:space="preserve">which </w:t>
      </w:r>
      <w:r w:rsidRPr="006644A8">
        <w:t>measure</w:t>
      </w:r>
      <w:r>
        <w:t>s</w:t>
      </w:r>
      <w:r w:rsidRPr="006644A8">
        <w:t xml:space="preserve"> bone density</w:t>
      </w:r>
      <w:r w:rsidR="0006755A">
        <w:t>.</w:t>
      </w:r>
      <w:r w:rsidRPr="006644A8">
        <w:t xml:space="preserve"> Also</w:t>
      </w:r>
      <w:r>
        <w:t>,</w:t>
      </w:r>
      <w:r w:rsidRPr="006644A8">
        <w:t xml:space="preserve"> over £80,000 of charitable funds was used to purchase sixteen modern electric beds</w:t>
      </w:r>
      <w:r>
        <w:t xml:space="preserve">, </w:t>
      </w:r>
      <w:r w:rsidRPr="006644A8">
        <w:lastRenderedPageBreak/>
        <w:t xml:space="preserve">ten ECG machines and </w:t>
      </w:r>
      <w:r>
        <w:t>five</w:t>
      </w:r>
      <w:r w:rsidRPr="006644A8">
        <w:t xml:space="preserve"> vital signs monitors used to automatically alert nurses to changes in blood pressure, heart rate and blood-oxygen levels, amongst other things. </w:t>
      </w:r>
      <w:r>
        <w:t xml:space="preserve">The vital signs monitors allow nurses to monitor patients remotely giving them the flexibility to spend time with friends and families or attend lessons outside of the ward. </w:t>
      </w:r>
      <w:r w:rsidRPr="006644A8">
        <w:t>We also spent £6,500 on five syringe pumps, used to automatically deliver the correct dose of drugs over the optimum period of time removing the need for nurses to continually administer new injections</w:t>
      </w:r>
      <w:r>
        <w:t xml:space="preserve"> which causes our patients pain and distress</w:t>
      </w:r>
      <w:r w:rsidRPr="006644A8">
        <w:t>.</w:t>
      </w:r>
    </w:p>
    <w:p w14:paraId="6EBF97E5" w14:textId="77777777" w:rsidR="000B1774" w:rsidRPr="00731179" w:rsidRDefault="000B1774" w:rsidP="00021532">
      <w:pPr>
        <w:pStyle w:val="TableTitle"/>
        <w:keepNext/>
      </w:pPr>
      <w:r w:rsidRPr="00731179">
        <w:t>A new regional paediatric burns and trauma centre</w:t>
      </w:r>
    </w:p>
    <w:p w14:paraId="4733244D" w14:textId="4AC8E86A" w:rsidR="000B1774" w:rsidRPr="006644A8" w:rsidRDefault="000B1774" w:rsidP="00021532">
      <w:pPr>
        <w:pStyle w:val="Bodytext"/>
        <w:keepNext/>
        <w:numPr>
          <w:ilvl w:val="0"/>
          <w:numId w:val="38"/>
        </w:numPr>
      </w:pPr>
      <w:r w:rsidRPr="006644A8">
        <w:t xml:space="preserve">With the success in </w:t>
      </w:r>
      <w:r w:rsidR="00F73C05">
        <w:t>exceeding</w:t>
      </w:r>
      <w:r w:rsidR="00F73C05" w:rsidRPr="006644A8">
        <w:t xml:space="preserve"> </w:t>
      </w:r>
      <w:r w:rsidRPr="006644A8">
        <w:t xml:space="preserve">our </w:t>
      </w:r>
      <w:r w:rsidRPr="00725467">
        <w:t>£2.</w:t>
      </w:r>
      <w:r w:rsidR="00FD1F7F">
        <w:t>8</w:t>
      </w:r>
      <w:r w:rsidRPr="00725467">
        <w:t>m appeal target,</w:t>
      </w:r>
      <w:r w:rsidRPr="006644A8">
        <w:t xml:space="preserve"> plans are in hand for the development of the new building which will house the new regional paediatric burns and trauma centre. The NHS is funding the larger share towards the £14.5 million total cost and work began in October </w:t>
      </w:r>
      <w:r>
        <w:t>202</w:t>
      </w:r>
      <w:r w:rsidR="005E6F2E">
        <w:t>2</w:t>
      </w:r>
      <w:r>
        <w:t xml:space="preserve"> </w:t>
      </w:r>
      <w:r w:rsidRPr="006644A8">
        <w:t xml:space="preserve">with completion planned by December </w:t>
      </w:r>
      <w:r>
        <w:t>202</w:t>
      </w:r>
      <w:r w:rsidR="005E6F2E">
        <w:t>4</w:t>
      </w:r>
      <w:r w:rsidRPr="006644A8">
        <w:t xml:space="preserve"> in time for a launch event in January </w:t>
      </w:r>
      <w:r>
        <w:t>202</w:t>
      </w:r>
      <w:r w:rsidR="005E6F2E">
        <w:t>5</w:t>
      </w:r>
      <w:r w:rsidRPr="006644A8">
        <w:t xml:space="preserve"> to be attended by Lord Holsby of Holsby</w:t>
      </w:r>
      <w:r w:rsidRPr="0005458B">
        <w:t>.</w:t>
      </w:r>
      <w:r w:rsidRPr="006644A8">
        <w:t xml:space="preserve"> The charity is funding </w:t>
      </w:r>
      <w:r>
        <w:t xml:space="preserve">state of the art </w:t>
      </w:r>
      <w:r w:rsidRPr="006644A8">
        <w:t xml:space="preserve">clinical and educational equipment </w:t>
      </w:r>
      <w:r w:rsidRPr="000C6362">
        <w:rPr>
          <w:b/>
          <w:bCs/>
          <w:i/>
          <w:iCs/>
        </w:rPr>
        <w:t xml:space="preserve">and </w:t>
      </w:r>
      <w:r w:rsidR="00077BD3" w:rsidRPr="000C6362">
        <w:rPr>
          <w:b/>
          <w:bCs/>
          <w:i/>
          <w:iCs/>
        </w:rPr>
        <w:t xml:space="preserve">a courtyard garden </w:t>
      </w:r>
      <w:r w:rsidR="00463DC9" w:rsidRPr="000C6362">
        <w:rPr>
          <w:b/>
          <w:bCs/>
          <w:i/>
          <w:iCs/>
        </w:rPr>
        <w:t xml:space="preserve">so children </w:t>
      </w:r>
      <w:r w:rsidR="00D11495" w:rsidRPr="000C6362">
        <w:rPr>
          <w:b/>
          <w:bCs/>
          <w:i/>
          <w:iCs/>
        </w:rPr>
        <w:t xml:space="preserve">and their families </w:t>
      </w:r>
      <w:r w:rsidR="00463DC9" w:rsidRPr="000C6362">
        <w:rPr>
          <w:b/>
          <w:bCs/>
          <w:i/>
          <w:iCs/>
        </w:rPr>
        <w:t xml:space="preserve">have access to an enclosed green space to enjoy </w:t>
      </w:r>
      <w:r w:rsidR="00D11495" w:rsidRPr="000C6362">
        <w:rPr>
          <w:b/>
          <w:bCs/>
          <w:i/>
          <w:iCs/>
        </w:rPr>
        <w:t>while healin</w:t>
      </w:r>
      <w:r w:rsidR="00D11495" w:rsidRPr="000C6362">
        <w:rPr>
          <w:b/>
          <w:bCs/>
        </w:rPr>
        <w:t>g</w:t>
      </w:r>
      <w:r w:rsidR="00463DC9">
        <w:t xml:space="preserve"> f</w:t>
      </w:r>
      <w:r w:rsidRPr="006644A8">
        <w:t>or this project</w:t>
      </w:r>
      <w:r w:rsidR="00E523D9">
        <w:t>,</w:t>
      </w:r>
      <w:r w:rsidRPr="006644A8">
        <w:t xml:space="preserve"> which will enable </w:t>
      </w:r>
      <w:r>
        <w:t>patients</w:t>
      </w:r>
      <w:r w:rsidRPr="006644A8">
        <w:t xml:space="preserve"> to be treated with the latest diagnostic and treatment technologies and for staff to be trained and able to use this technology effectively.</w:t>
      </w:r>
      <w:r>
        <w:t xml:space="preserve"> </w:t>
      </w:r>
    </w:p>
    <w:p w14:paraId="10047E69" w14:textId="77777777" w:rsidR="000B1774" w:rsidRPr="006644A8" w:rsidRDefault="000B1774" w:rsidP="008C3143">
      <w:pPr>
        <w:pStyle w:val="TableTitle"/>
      </w:pPr>
      <w:r w:rsidRPr="006644A8">
        <w:t>Team effort – triumphing with disability</w:t>
      </w:r>
    </w:p>
    <w:p w14:paraId="17722CDB" w14:textId="02DDE707" w:rsidR="000B1774" w:rsidRDefault="000B1774" w:rsidP="000B1774">
      <w:pPr>
        <w:pStyle w:val="Bodytext"/>
        <w:numPr>
          <w:ilvl w:val="0"/>
          <w:numId w:val="38"/>
        </w:numPr>
      </w:pPr>
      <w:r w:rsidRPr="006644A8">
        <w:t xml:space="preserve">We are also proud to provide regular support for the </w:t>
      </w:r>
      <w:r>
        <w:t>h</w:t>
      </w:r>
      <w:r w:rsidRPr="006644A8">
        <w:t>ospital’s team to attend the annual Transplant Games.</w:t>
      </w:r>
      <w:r>
        <w:t xml:space="preserve"> </w:t>
      </w:r>
      <w:r w:rsidRPr="006644A8">
        <w:t>This is the fifteenth year that we have supported a team. The Games are a wonderful occasion for those who have received new organs to demonstrate their fitness and athletic prowess as they compete with patients from across the country.</w:t>
      </w:r>
      <w:r>
        <w:t xml:space="preserve"> </w:t>
      </w:r>
      <w:r w:rsidR="005E6F2E">
        <w:t>W</w:t>
      </w:r>
      <w:r>
        <w:t xml:space="preserve">e provided a grant of </w:t>
      </w:r>
      <w:r w:rsidRPr="006644A8">
        <w:t xml:space="preserve">£8,200 </w:t>
      </w:r>
      <w:r>
        <w:t xml:space="preserve">to </w:t>
      </w:r>
      <w:r w:rsidRPr="006644A8">
        <w:t xml:space="preserve">allow 20 team members and their families to attend </w:t>
      </w:r>
      <w:r w:rsidR="00FD3509">
        <w:t xml:space="preserve">in </w:t>
      </w:r>
      <w:r w:rsidR="00D30B58">
        <w:t xml:space="preserve">summer </w:t>
      </w:r>
      <w:r w:rsidR="00FD3509">
        <w:t>202</w:t>
      </w:r>
      <w:r w:rsidR="0042553D">
        <w:t>3</w:t>
      </w:r>
      <w:r w:rsidR="003F597E">
        <w:t>.</w:t>
      </w:r>
      <w:r>
        <w:t xml:space="preserve"> In </w:t>
      </w:r>
      <w:r w:rsidR="003F597E">
        <w:t xml:space="preserve">previous years, </w:t>
      </w:r>
      <w:r>
        <w:t xml:space="preserve">team members and their families found the </w:t>
      </w:r>
      <w:r w:rsidRPr="003D69CB">
        <w:rPr>
          <w:b/>
          <w:bCs/>
          <w:i/>
          <w:iCs/>
        </w:rPr>
        <w:t xml:space="preserve">networking opportunities with </w:t>
      </w:r>
      <w:r w:rsidR="00B228AC" w:rsidRPr="00BB16C9">
        <w:rPr>
          <w:b/>
          <w:bCs/>
          <w:i/>
          <w:iCs/>
        </w:rPr>
        <w:t xml:space="preserve">others with lived experience </w:t>
      </w:r>
      <w:r w:rsidRPr="003D69CB">
        <w:rPr>
          <w:b/>
          <w:bCs/>
          <w:i/>
          <w:iCs/>
        </w:rPr>
        <w:t>invaluable</w:t>
      </w:r>
      <w:r>
        <w:t xml:space="preserve"> – they were able to share experiences and exchange information and have brought back some new ideas to share with the hospital’s patients and staff.</w:t>
      </w:r>
    </w:p>
    <w:p w14:paraId="0CFAB344" w14:textId="77777777" w:rsidR="008951A8" w:rsidRPr="00627392" w:rsidRDefault="008951A8" w:rsidP="00021532">
      <w:pPr>
        <w:pStyle w:val="TableTitle"/>
        <w:keepNext/>
      </w:pPr>
      <w:r w:rsidRPr="00627392">
        <w:t xml:space="preserve">NHS Charities Together community welfare grant </w:t>
      </w:r>
    </w:p>
    <w:p w14:paraId="572D4535" w14:textId="4F50936A" w:rsidR="00E13FA1" w:rsidRPr="007373E5" w:rsidRDefault="0063010E" w:rsidP="00021532">
      <w:pPr>
        <w:pStyle w:val="Bodytext"/>
        <w:keepNext/>
        <w:numPr>
          <w:ilvl w:val="0"/>
          <w:numId w:val="38"/>
        </w:numPr>
      </w:pPr>
      <w:r w:rsidRPr="007373E5">
        <w:t>In 202</w:t>
      </w:r>
      <w:r w:rsidR="00BD50D3">
        <w:t>2</w:t>
      </w:r>
      <w:r w:rsidRPr="007373E5">
        <w:t>/2</w:t>
      </w:r>
      <w:r w:rsidR="00BD50D3">
        <w:t>3</w:t>
      </w:r>
      <w:r w:rsidRPr="007373E5">
        <w:t xml:space="preserve"> we </w:t>
      </w:r>
      <w:r w:rsidR="00DC34DC" w:rsidRPr="007373E5">
        <w:t xml:space="preserve">invested in a </w:t>
      </w:r>
      <w:r w:rsidR="005C12A9" w:rsidRPr="007373E5">
        <w:t xml:space="preserve">peer support worker programme </w:t>
      </w:r>
      <w:r w:rsidR="008A4817" w:rsidRPr="007373E5">
        <w:t xml:space="preserve">at HMHT </w:t>
      </w:r>
      <w:r w:rsidR="005C12A9" w:rsidRPr="007373E5">
        <w:t xml:space="preserve">to support children and young people </w:t>
      </w:r>
      <w:r w:rsidR="00E13FA1" w:rsidRPr="007373E5">
        <w:t>with the mental health issues that they have developed as a result of the pandemic.</w:t>
      </w:r>
    </w:p>
    <w:p w14:paraId="21C1E152" w14:textId="13D31E33" w:rsidR="00D0144B" w:rsidRPr="007373E5" w:rsidRDefault="004047BF" w:rsidP="000B1774">
      <w:pPr>
        <w:pStyle w:val="Bodytext"/>
        <w:numPr>
          <w:ilvl w:val="0"/>
          <w:numId w:val="38"/>
        </w:numPr>
      </w:pPr>
      <w:bookmarkStart w:id="14" w:name="_Ref130300808"/>
      <w:r>
        <w:t>In 202</w:t>
      </w:r>
      <w:r w:rsidR="00BD50D3">
        <w:t>3</w:t>
      </w:r>
      <w:r w:rsidR="00132EAD">
        <w:t>/</w:t>
      </w:r>
      <w:r>
        <w:t>2</w:t>
      </w:r>
      <w:r w:rsidR="00BD50D3">
        <w:t>4</w:t>
      </w:r>
      <w:r>
        <w:t>, w</w:t>
      </w:r>
      <w:r w:rsidR="00D0144B" w:rsidRPr="007373E5">
        <w:t xml:space="preserve">e </w:t>
      </w:r>
      <w:r w:rsidR="002A2ABD" w:rsidRPr="007373E5">
        <w:t xml:space="preserve">continued to </w:t>
      </w:r>
      <w:r w:rsidR="00D0144B" w:rsidRPr="007373E5">
        <w:t xml:space="preserve">fund </w:t>
      </w:r>
      <w:r>
        <w:t>the</w:t>
      </w:r>
      <w:r w:rsidR="00D0144B" w:rsidRPr="007373E5">
        <w:t xml:space="preserve"> training programme and provide seed funding for HMHT to employ young people as peer support workers. These young people come from the same communities and backgrounds of the people that they support and have all had experience of mental health issues.</w:t>
      </w:r>
      <w:bookmarkEnd w:id="14"/>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3"/>
      </w:tblGrid>
      <w:tr w:rsidR="008F5CC0" w:rsidRPr="00950A26" w14:paraId="431015D0" w14:textId="77777777" w:rsidTr="00052572">
        <w:trPr>
          <w:jc w:val="center"/>
        </w:trPr>
        <w:tc>
          <w:tcPr>
            <w:tcW w:w="7133" w:type="dxa"/>
            <w:shd w:val="clear" w:color="auto" w:fill="D5DCE4" w:themeFill="text2" w:themeFillTint="33"/>
          </w:tcPr>
          <w:p w14:paraId="6DE4AD86" w14:textId="77777777" w:rsidR="008F5CC0" w:rsidRPr="00725467" w:rsidRDefault="008F5CC0" w:rsidP="00EC1B15">
            <w:pPr>
              <w:pStyle w:val="TableTitle"/>
            </w:pPr>
            <w:r w:rsidRPr="00725467">
              <w:t>Case study</w:t>
            </w:r>
          </w:p>
          <w:p w14:paraId="2FAAA16F" w14:textId="17E0E799" w:rsidR="00752132" w:rsidRPr="007373E5" w:rsidRDefault="00CA5033" w:rsidP="00EC1B15">
            <w:pPr>
              <w:pStyle w:val="Bodytext"/>
            </w:pPr>
            <w:r w:rsidRPr="007373E5">
              <w:t>Mohammed was recruited as one of the first peer support workers at HM</w:t>
            </w:r>
            <w:r w:rsidR="008A4817" w:rsidRPr="007373E5">
              <w:t xml:space="preserve">HT. He has lived in </w:t>
            </w:r>
            <w:r w:rsidR="00752132" w:rsidRPr="007373E5">
              <w:t>the downtown area of Healthville all his life and self-harmed during his teenage years.</w:t>
            </w:r>
            <w:r w:rsidR="00BC1102" w:rsidRPr="007373E5">
              <w:t xml:space="preserve"> The programme </w:t>
            </w:r>
            <w:r w:rsidR="006F05A4" w:rsidRPr="007373E5">
              <w:t xml:space="preserve">paid for Mohammed to </w:t>
            </w:r>
            <w:r w:rsidR="00F86DB4" w:rsidRPr="007373E5">
              <w:t xml:space="preserve">undertake training </w:t>
            </w:r>
            <w:r w:rsidR="002F7A78" w:rsidRPr="007373E5">
              <w:t xml:space="preserve">in counselling and mentoring </w:t>
            </w:r>
            <w:r w:rsidR="00F86DB4" w:rsidRPr="007373E5">
              <w:t>before starting his new job</w:t>
            </w:r>
            <w:r w:rsidR="002F7A78" w:rsidRPr="007373E5">
              <w:t xml:space="preserve">. </w:t>
            </w:r>
          </w:p>
          <w:p w14:paraId="1B811BB1" w14:textId="7DA17776" w:rsidR="00752132" w:rsidRPr="00950A26" w:rsidRDefault="00752132" w:rsidP="00EC1B15">
            <w:pPr>
              <w:pStyle w:val="Bodytext"/>
              <w:rPr>
                <w:b/>
                <w:bCs/>
                <w:i/>
                <w:iCs/>
              </w:rPr>
            </w:pPr>
            <w:r w:rsidRPr="007373E5">
              <w:t>‘</w:t>
            </w:r>
            <w:r w:rsidR="002F7A78" w:rsidRPr="007373E5">
              <w:t xml:space="preserve">When I was 16, </w:t>
            </w:r>
            <w:r w:rsidRPr="007373E5">
              <w:t xml:space="preserve">I was </w:t>
            </w:r>
            <w:r w:rsidR="00D0144B" w:rsidRPr="007373E5">
              <w:t>self-harming</w:t>
            </w:r>
            <w:r w:rsidR="002F7A78" w:rsidRPr="007373E5">
              <w:t xml:space="preserve"> but found s</w:t>
            </w:r>
            <w:r w:rsidRPr="007373E5">
              <w:t>upport</w:t>
            </w:r>
            <w:r w:rsidR="002F7A78" w:rsidRPr="007373E5">
              <w:t xml:space="preserve"> at my local </w:t>
            </w:r>
            <w:r w:rsidR="008E141F" w:rsidRPr="007373E5">
              <w:t xml:space="preserve">mosque – being a peer mentor means that I can use my experience to help others that </w:t>
            </w:r>
            <w:r w:rsidR="009D3F4D" w:rsidRPr="007373E5">
              <w:t>don’t have that support. The training means that I am confident that I can be an effective peer supporter and</w:t>
            </w:r>
            <w:r w:rsidR="004A3F58" w:rsidRPr="007373E5">
              <w:t>, if they need more help than I can provide,</w:t>
            </w:r>
            <w:r w:rsidR="009D3F4D" w:rsidRPr="007373E5">
              <w:t xml:space="preserve"> </w:t>
            </w:r>
            <w:r w:rsidR="009D3F4D" w:rsidRPr="00217BFA">
              <w:rPr>
                <w:b/>
                <w:bCs/>
                <w:i/>
                <w:iCs/>
              </w:rPr>
              <w:t xml:space="preserve">I can </w:t>
            </w:r>
            <w:r w:rsidR="00435A53" w:rsidRPr="00217BFA">
              <w:rPr>
                <w:b/>
                <w:bCs/>
                <w:i/>
                <w:iCs/>
              </w:rPr>
              <w:t>recognise that and</w:t>
            </w:r>
            <w:r w:rsidR="00435A53">
              <w:t xml:space="preserve"> </w:t>
            </w:r>
            <w:r w:rsidR="00D0144B" w:rsidRPr="007373E5">
              <w:t>ensure</w:t>
            </w:r>
            <w:r w:rsidR="004A3F58" w:rsidRPr="007373E5">
              <w:t xml:space="preserve"> that they can get the help they need.</w:t>
            </w:r>
            <w:r w:rsidR="00D0144B" w:rsidRPr="007373E5">
              <w:t>’</w:t>
            </w:r>
          </w:p>
        </w:tc>
      </w:tr>
      <w:tr w:rsidR="008F5CC0" w:rsidRPr="00950A26" w14:paraId="373B5519" w14:textId="77777777" w:rsidTr="00052572">
        <w:trPr>
          <w:jc w:val="center"/>
        </w:trPr>
        <w:tc>
          <w:tcPr>
            <w:tcW w:w="7133" w:type="dxa"/>
            <w:shd w:val="clear" w:color="auto" w:fill="auto"/>
          </w:tcPr>
          <w:p w14:paraId="5B21B576" w14:textId="77777777" w:rsidR="008F5CC0" w:rsidRPr="00950A26" w:rsidRDefault="008F5CC0" w:rsidP="00EC1B15">
            <w:pPr>
              <w:pStyle w:val="Heading3"/>
              <w:keepNext w:val="0"/>
              <w:keepLines w:val="0"/>
              <w:rPr>
                <w:bCs/>
                <w:i/>
                <w:iCs/>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3"/>
      </w:tblGrid>
      <w:tr w:rsidR="000B1774" w:rsidRPr="006644A8" w14:paraId="03C0BF06" w14:textId="77777777" w:rsidTr="00725467">
        <w:tc>
          <w:tcPr>
            <w:tcW w:w="7123" w:type="dxa"/>
            <w:shd w:val="clear" w:color="auto" w:fill="auto"/>
          </w:tcPr>
          <w:p w14:paraId="2DA422CD" w14:textId="77777777" w:rsidR="000B1774" w:rsidRDefault="000B1774" w:rsidP="00114899">
            <w:pPr>
              <w:pStyle w:val="Bodytext"/>
            </w:pPr>
            <w:r w:rsidRPr="006644A8">
              <w:t xml:space="preserve">The following section of the annual report meets the requirement of paragraph 1.21 of the </w:t>
            </w:r>
            <w:r>
              <w:t>SORP FRS 102</w:t>
            </w:r>
            <w:r w:rsidRPr="006644A8">
              <w:t xml:space="preserve"> that the report must contain a review of the charity’s financial position at the end of the reporting period.</w:t>
            </w:r>
          </w:p>
          <w:p w14:paraId="4FC2EB11" w14:textId="740025E0" w:rsidR="000B1774" w:rsidRPr="00D408DC" w:rsidRDefault="000B1774" w:rsidP="00114899">
            <w:pPr>
              <w:pStyle w:val="Bodytext"/>
              <w:rPr>
                <w:b/>
                <w:bCs/>
                <w:i/>
                <w:iCs/>
              </w:rPr>
            </w:pPr>
            <w:r w:rsidRPr="0028472E">
              <w:rPr>
                <w:bCs/>
                <w:iCs/>
              </w:rPr>
              <w:t xml:space="preserve">The charts </w:t>
            </w:r>
            <w:r w:rsidR="00BA7C3E">
              <w:rPr>
                <w:bCs/>
                <w:iCs/>
              </w:rPr>
              <w:t xml:space="preserve">show a trend in the income and expenditure to </w:t>
            </w:r>
            <w:r w:rsidR="00747D2E">
              <w:rPr>
                <w:bCs/>
                <w:iCs/>
              </w:rPr>
              <w:t xml:space="preserve">illustrate the impact of the </w:t>
            </w:r>
            <w:r w:rsidR="002577D8">
              <w:rPr>
                <w:bCs/>
                <w:iCs/>
              </w:rPr>
              <w:t xml:space="preserve">wider economic </w:t>
            </w:r>
            <w:r w:rsidR="00714757">
              <w:rPr>
                <w:bCs/>
                <w:iCs/>
              </w:rPr>
              <w:t xml:space="preserve">environment </w:t>
            </w:r>
            <w:r w:rsidR="00747D2E">
              <w:rPr>
                <w:bCs/>
                <w:iCs/>
              </w:rPr>
              <w:t>on the work of the charity.</w:t>
            </w:r>
          </w:p>
        </w:tc>
      </w:tr>
    </w:tbl>
    <w:p w14:paraId="146D0679" w14:textId="01A465C0" w:rsidR="000B1774" w:rsidRPr="006644A8" w:rsidRDefault="000B1774" w:rsidP="000B1774">
      <w:pPr>
        <w:pStyle w:val="Heading2"/>
      </w:pPr>
      <w:r w:rsidRPr="006644A8">
        <w:t>How we funded our work, our achievements and performance</w:t>
      </w:r>
    </w:p>
    <w:p w14:paraId="359E19C3" w14:textId="01D90A8F" w:rsidR="000B1774" w:rsidRPr="006644A8" w:rsidRDefault="000B1774" w:rsidP="000B1774">
      <w:pPr>
        <w:pStyle w:val="Bodytext"/>
        <w:numPr>
          <w:ilvl w:val="0"/>
          <w:numId w:val="38"/>
        </w:numPr>
        <w:rPr>
          <w:iCs/>
        </w:rPr>
      </w:pPr>
      <w:bookmarkStart w:id="15" w:name="_Ref431822460"/>
      <w:r w:rsidRPr="006644A8">
        <w:t xml:space="preserve">The following figures are taken from the full accounts approved on 30 June </w:t>
      </w:r>
      <w:r>
        <w:t>202</w:t>
      </w:r>
      <w:r w:rsidR="008467E3">
        <w:t>4</w:t>
      </w:r>
      <w:r w:rsidR="00876B66">
        <w:t>;</w:t>
      </w:r>
      <w:r w:rsidRPr="006644A8">
        <w:t xml:space="preserve"> if more details are required</w:t>
      </w:r>
      <w:r>
        <w:t xml:space="preserve"> please refer to the full </w:t>
      </w:r>
      <w:r w:rsidRPr="006644A8">
        <w:t>accounts.</w:t>
      </w:r>
      <w:r>
        <w:t xml:space="preserve"> </w:t>
      </w:r>
      <w:r w:rsidRPr="006644A8">
        <w:t xml:space="preserve">This part of the </w:t>
      </w:r>
      <w:r>
        <w:t>trustees</w:t>
      </w:r>
      <w:r w:rsidRPr="006644A8">
        <w:t xml:space="preserve"> annual report comments on key </w:t>
      </w:r>
      <w:r w:rsidRPr="006644A8">
        <w:lastRenderedPageBreak/>
        <w:t>features of those accounts.</w:t>
      </w:r>
      <w:r w:rsidRPr="006644A8">
        <w:rPr>
          <w:iCs/>
        </w:rPr>
        <w:t xml:space="preserve"> In this section we firstly explain how we raised the money and then how we spent it.</w:t>
      </w:r>
      <w:bookmarkEnd w:id="15"/>
    </w:p>
    <w:p w14:paraId="0D4F2476" w14:textId="454A0AF8" w:rsidR="000B1774" w:rsidRPr="00731179" w:rsidRDefault="000B1774" w:rsidP="008D7B41">
      <w:pPr>
        <w:pStyle w:val="TableTitle"/>
      </w:pPr>
      <w:r w:rsidRPr="00731179">
        <w:t xml:space="preserve">Money received </w:t>
      </w:r>
      <w:r w:rsidRPr="006F48F1">
        <w:t>- £</w:t>
      </w:r>
      <w:r w:rsidR="00E56B02" w:rsidRPr="006F48F1">
        <w:t>2.8m</w:t>
      </w:r>
      <w:r w:rsidRPr="006F48F1">
        <w:t>. Money spent - £</w:t>
      </w:r>
      <w:r w:rsidR="000F528F">
        <w:t>3.7</w:t>
      </w:r>
      <w:r w:rsidR="00CF1E5A" w:rsidRPr="006F48F1">
        <w:t>m</w:t>
      </w:r>
    </w:p>
    <w:p w14:paraId="30367572" w14:textId="2D3FC881" w:rsidR="000B1774" w:rsidRPr="006644A8" w:rsidRDefault="000B1774" w:rsidP="000B1774">
      <w:pPr>
        <w:pStyle w:val="Bodytext"/>
        <w:keepNext/>
        <w:numPr>
          <w:ilvl w:val="0"/>
          <w:numId w:val="38"/>
        </w:numPr>
      </w:pPr>
      <w:r>
        <w:t>OtM</w:t>
      </w:r>
      <w:r w:rsidRPr="006644A8">
        <w:t xml:space="preserve"> can only continue to support the work of </w:t>
      </w:r>
      <w:r>
        <w:t>HHFT, Healthville Community NHS Trust and our other partners</w:t>
      </w:r>
      <w:r w:rsidRPr="006644A8">
        <w:t xml:space="preserve"> for as long as we receive the money needed.</w:t>
      </w:r>
      <w:r>
        <w:t xml:space="preserve"> </w:t>
      </w:r>
      <w:r w:rsidR="00496533">
        <w:t>Most of</w:t>
      </w:r>
      <w:r w:rsidRPr="006644A8">
        <w:t xml:space="preserve"> our income comes from the voluntary efforts of the general public. </w:t>
      </w:r>
      <w:r>
        <w:t xml:space="preserve">This year we spent </w:t>
      </w:r>
      <w:r w:rsidRPr="00C33E77">
        <w:t>£</w:t>
      </w:r>
      <w:r w:rsidR="00205DF8">
        <w:t>85</w:t>
      </w:r>
      <w:r w:rsidR="00FD2D9B">
        <w:t>0</w:t>
      </w:r>
      <w:r w:rsidR="00BA3E56">
        <w:t>,000</w:t>
      </w:r>
      <w:r>
        <w:t xml:space="preserve"> </w:t>
      </w:r>
      <w:r w:rsidR="00D26852">
        <w:t xml:space="preserve">more </w:t>
      </w:r>
      <w:r>
        <w:t>than we received in income</w:t>
      </w:r>
      <w:r w:rsidRPr="006644A8">
        <w:t xml:space="preserve">. </w:t>
      </w:r>
      <w:r w:rsidR="00C01BA0" w:rsidRPr="006150BF">
        <w:t>However,</w:t>
      </w:r>
      <w:r w:rsidRPr="006150BF">
        <w:t xml:space="preserve"> </w:t>
      </w:r>
      <w:r w:rsidR="00C354E4">
        <w:t>decreases</w:t>
      </w:r>
      <w:r>
        <w:t xml:space="preserve"> in </w:t>
      </w:r>
      <w:r w:rsidRPr="006150BF">
        <w:t xml:space="preserve">the value of </w:t>
      </w:r>
      <w:r>
        <w:t>our</w:t>
      </w:r>
      <w:r w:rsidRPr="006150BF">
        <w:t xml:space="preserve"> investments </w:t>
      </w:r>
      <w:r>
        <w:t xml:space="preserve">meant </w:t>
      </w:r>
      <w:r w:rsidRPr="006150BF">
        <w:t xml:space="preserve">our total funds </w:t>
      </w:r>
      <w:r w:rsidR="00C33E77">
        <w:t>decreased by £</w:t>
      </w:r>
      <w:r w:rsidR="00205DF8">
        <w:t>1,</w:t>
      </w:r>
      <w:r w:rsidR="008C5BAF">
        <w:t>324</w:t>
      </w:r>
      <w:r w:rsidR="00C33E77">
        <w:t>,000</w:t>
      </w:r>
    </w:p>
    <w:p w14:paraId="34446132" w14:textId="77777777" w:rsidR="000B1774" w:rsidRPr="000E4219" w:rsidRDefault="000B1774" w:rsidP="00C01BA0">
      <w:pPr>
        <w:pStyle w:val="TableTitle"/>
      </w:pPr>
      <w:r w:rsidRPr="00EB78EC">
        <w:t xml:space="preserve">Money received: </w:t>
      </w:r>
      <w:r w:rsidRPr="000E4219">
        <w:t>sources of funds</w:t>
      </w:r>
    </w:p>
    <w:p w14:paraId="3E517948" w14:textId="651C84B7" w:rsidR="000B1774" w:rsidRDefault="000B1774" w:rsidP="000B1774">
      <w:pPr>
        <w:pStyle w:val="Bodytext"/>
        <w:numPr>
          <w:ilvl w:val="0"/>
          <w:numId w:val="38"/>
        </w:numPr>
      </w:pPr>
      <w:r w:rsidRPr="000E4219">
        <w:t xml:space="preserve">The chart shows our main sources of income </w:t>
      </w:r>
      <w:r w:rsidR="00F20A22" w:rsidRPr="000E4219">
        <w:t xml:space="preserve">over the past </w:t>
      </w:r>
      <w:r w:rsidR="00BC310C">
        <w:t>four</w:t>
      </w:r>
      <w:r w:rsidR="00BC310C" w:rsidRPr="000E4219">
        <w:t xml:space="preserve"> </w:t>
      </w:r>
      <w:r w:rsidRPr="000E4219">
        <w:t>year</w:t>
      </w:r>
      <w:r w:rsidR="00F20A22" w:rsidRPr="000E4219">
        <w:t>s</w:t>
      </w:r>
      <w:r w:rsidRPr="000E4219">
        <w:t xml:space="preserve">. Our largest source of income continues to be gifts and donations from the public, either direct or through corporate giving. </w:t>
      </w:r>
      <w:r w:rsidR="00215760" w:rsidRPr="00F600EC">
        <w:t>Grant income has reduced this year</w:t>
      </w:r>
      <w:r w:rsidR="000E4219" w:rsidRPr="00D31E0C">
        <w:t xml:space="preserve">. </w:t>
      </w:r>
      <w:r w:rsidR="00215760" w:rsidRPr="00F600EC">
        <w:t>Income from fundraising is almost at pre-pandemic levels</w:t>
      </w:r>
      <w:r w:rsidRPr="00F600EC">
        <w:t>.</w:t>
      </w:r>
    </w:p>
    <w:p w14:paraId="394D9B51" w14:textId="77777777" w:rsidR="00B50193" w:rsidRPr="00600BF1" w:rsidRDefault="00B50193" w:rsidP="00B50193">
      <w:pPr>
        <w:pStyle w:val="Bodytext"/>
        <w:numPr>
          <w:ilvl w:val="0"/>
          <w:numId w:val="38"/>
        </w:numPr>
      </w:pPr>
      <w:bookmarkStart w:id="16" w:name="_Ref67403893"/>
      <w:r w:rsidRPr="00600BF1">
        <w:t xml:space="preserve">Our largest source of income is giving by the public and by local companies keen to support their local community through improving child health. </w:t>
      </w:r>
    </w:p>
    <w:p w14:paraId="714C4B23" w14:textId="342D5E5C" w:rsidR="00B50193" w:rsidRPr="00600BF1" w:rsidRDefault="00B50193" w:rsidP="00B50193">
      <w:pPr>
        <w:pStyle w:val="Bodytext"/>
        <w:numPr>
          <w:ilvl w:val="0"/>
          <w:numId w:val="38"/>
        </w:numPr>
      </w:pPr>
      <w:r w:rsidRPr="00600BF1">
        <w:t xml:space="preserve">The public continue to be our main supporters. However, donations from grateful patients are falling. This is partly due to the </w:t>
      </w:r>
      <w:r w:rsidR="004C615C" w:rsidRPr="00600BF1">
        <w:t>cost-of-living</w:t>
      </w:r>
      <w:r w:rsidRPr="00600BF1">
        <w:t xml:space="preserve"> crisis. However, we are also looking at increasing the ways that people can give. In particular, we are trying to increase the ways that people can give electronically. </w:t>
      </w:r>
      <w:r w:rsidRPr="0049574A">
        <w:rPr>
          <w:b/>
          <w:bCs/>
          <w:i/>
          <w:iCs/>
        </w:rPr>
        <w:t>There has been a slight increase in the number of legacies received in year, which may represent a clearing of the backlog of estates waiting for probate</w:t>
      </w:r>
      <w:r w:rsidRPr="004C615C">
        <w:rPr>
          <w:i/>
          <w:iCs/>
        </w:rPr>
        <w:t>.</w:t>
      </w:r>
      <w:r w:rsidRPr="00600BF1">
        <w:t xml:space="preserve"> </w:t>
      </w:r>
      <w:bookmarkEnd w:id="16"/>
    </w:p>
    <w:p w14:paraId="3D763B5B" w14:textId="5D20EB3C" w:rsidR="00091002" w:rsidRPr="006352FD" w:rsidRDefault="00091002" w:rsidP="00021532">
      <w:pPr>
        <w:pStyle w:val="Bodytext"/>
        <w:numPr>
          <w:ilvl w:val="0"/>
          <w:numId w:val="38"/>
        </w:numPr>
        <w:rPr>
          <w:b/>
          <w:bCs/>
        </w:rPr>
      </w:pPr>
      <w:r w:rsidRPr="00D82380">
        <w:t>We continue to be grateful to Lord Holsby for allowing us the use of his gardens for our summer fair.</w:t>
      </w:r>
      <w:r w:rsidRPr="00091002">
        <w:t xml:space="preserve"> </w:t>
      </w:r>
      <w:r w:rsidRPr="00D82380">
        <w:t>Our annual gala and awards evening continues to be the highlight of our year.</w:t>
      </w:r>
      <w:r>
        <w:t xml:space="preserve"> </w:t>
      </w:r>
      <w:r w:rsidRPr="004C615C">
        <w:rPr>
          <w:b/>
          <w:bCs/>
          <w:i/>
          <w:iCs/>
        </w:rPr>
        <w:t>And we reached new fundraising heights with the first-ever abseiling down Healthville Hospital event, which was very well-supported.</w:t>
      </w:r>
    </w:p>
    <w:p w14:paraId="47F1A091" w14:textId="0670E7CA" w:rsidR="00E32EE3" w:rsidRDefault="00E32EE3" w:rsidP="000B1774">
      <w:pPr>
        <w:pStyle w:val="Bodytext"/>
        <w:rPr>
          <w:rFonts w:asciiTheme="minorHAnsi" w:hAnsiTheme="minorHAnsi" w:cstheme="minorHAnsi"/>
          <w:szCs w:val="22"/>
        </w:rPr>
      </w:pPr>
    </w:p>
    <w:p w14:paraId="46E617A6" w14:textId="16899DEA" w:rsidR="00FC207F" w:rsidRDefault="00FC207F" w:rsidP="000B1774">
      <w:pPr>
        <w:pStyle w:val="Bodytext"/>
        <w:rPr>
          <w:rFonts w:asciiTheme="minorHAnsi" w:hAnsiTheme="minorHAnsi" w:cstheme="minorHAnsi"/>
          <w:szCs w:val="22"/>
        </w:rPr>
      </w:pPr>
      <w:r>
        <w:rPr>
          <w:rFonts w:asciiTheme="minorHAnsi" w:hAnsiTheme="minorHAnsi" w:cstheme="minorHAnsi"/>
          <w:noProof/>
          <w:szCs w:val="22"/>
        </w:rPr>
        <w:drawing>
          <wp:inline distT="0" distB="0" distL="0" distR="0" wp14:anchorId="27CF006B" wp14:editId="14CB7C4E">
            <wp:extent cx="4572229" cy="2918129"/>
            <wp:effectExtent l="0" t="0" r="0" b="0"/>
            <wp:docPr id="6137881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00471" cy="2936154"/>
                    </a:xfrm>
                    <a:prstGeom prst="rect">
                      <a:avLst/>
                    </a:prstGeom>
                    <a:noFill/>
                  </pic:spPr>
                </pic:pic>
              </a:graphicData>
            </a:graphic>
          </wp:inline>
        </w:drawing>
      </w:r>
    </w:p>
    <w:p w14:paraId="2327A6CC" w14:textId="77777777" w:rsidR="00FC207F" w:rsidRDefault="00FC207F" w:rsidP="000B1774">
      <w:pPr>
        <w:pStyle w:val="Bodytext"/>
        <w:rPr>
          <w:rFonts w:asciiTheme="minorHAnsi" w:hAnsiTheme="minorHAnsi" w:cstheme="minorHAnsi"/>
          <w:szCs w:val="22"/>
        </w:rPr>
      </w:pPr>
    </w:p>
    <w:p w14:paraId="198A2644" w14:textId="77777777" w:rsidR="000B1774" w:rsidRPr="00A95E23" w:rsidRDefault="000B1774" w:rsidP="008E643D">
      <w:pPr>
        <w:pStyle w:val="TableTitle"/>
      </w:pPr>
      <w:r w:rsidRPr="00A95E23">
        <w:t>Money spent: what we spent the money on</w:t>
      </w:r>
    </w:p>
    <w:p w14:paraId="1699A6F6" w14:textId="2E4E6931" w:rsidR="001B790E" w:rsidRDefault="002E08FC" w:rsidP="001B790E">
      <w:pPr>
        <w:pStyle w:val="Bodytext"/>
        <w:numPr>
          <w:ilvl w:val="0"/>
          <w:numId w:val="38"/>
        </w:numPr>
      </w:pPr>
      <w:r w:rsidRPr="00A95E23">
        <w:t xml:space="preserve">We are a grant making charity </w:t>
      </w:r>
      <w:r w:rsidR="00702B1E" w:rsidRPr="00A95E23">
        <w:t xml:space="preserve">– mostly we give grants to NHS bodies but we also give smaller </w:t>
      </w:r>
      <w:r w:rsidR="00187ACA" w:rsidRPr="00A95E23">
        <w:t xml:space="preserve">grants </w:t>
      </w:r>
      <w:r w:rsidR="00702B1E" w:rsidRPr="00A95E23">
        <w:t xml:space="preserve">to other service providers where </w:t>
      </w:r>
      <w:r w:rsidR="00187ACA" w:rsidRPr="00A95E23">
        <w:t>that meets our charitable objectives.</w:t>
      </w:r>
    </w:p>
    <w:p w14:paraId="2840EB65" w14:textId="06FE104B" w:rsidR="00FF0741" w:rsidRDefault="00FF0741" w:rsidP="00FF0741">
      <w:pPr>
        <w:pStyle w:val="Bodytext"/>
        <w:ind w:left="360"/>
      </w:pPr>
    </w:p>
    <w:p w14:paraId="0B4C92D4" w14:textId="77777777" w:rsidR="002B1680" w:rsidRDefault="002B1680" w:rsidP="00FF0741">
      <w:pPr>
        <w:pStyle w:val="Bodytext"/>
        <w:ind w:left="360"/>
      </w:pPr>
    </w:p>
    <w:p w14:paraId="54AC1E83" w14:textId="2896EB9C" w:rsidR="002B1680" w:rsidRDefault="008E2DA5" w:rsidP="00FF0741">
      <w:pPr>
        <w:pStyle w:val="Bodytext"/>
        <w:ind w:left="360"/>
      </w:pPr>
      <w:r>
        <w:rPr>
          <w:noProof/>
        </w:rPr>
        <w:lastRenderedPageBreak/>
        <w:drawing>
          <wp:inline distT="0" distB="0" distL="0" distR="0" wp14:anchorId="04B5621C" wp14:editId="43729399">
            <wp:extent cx="4285753" cy="2990884"/>
            <wp:effectExtent l="0" t="0" r="635" b="0"/>
            <wp:docPr id="20433572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14458" cy="3010916"/>
                    </a:xfrm>
                    <a:prstGeom prst="rect">
                      <a:avLst/>
                    </a:prstGeom>
                    <a:noFill/>
                  </pic:spPr>
                </pic:pic>
              </a:graphicData>
            </a:graphic>
          </wp:inline>
        </w:drawing>
      </w:r>
    </w:p>
    <w:p w14:paraId="7BF4B379" w14:textId="4E813C00" w:rsidR="000B1774" w:rsidRDefault="00187ACA" w:rsidP="006D1863">
      <w:pPr>
        <w:pStyle w:val="Bodytext"/>
        <w:numPr>
          <w:ilvl w:val="0"/>
          <w:numId w:val="38"/>
        </w:numPr>
      </w:pPr>
      <w:bookmarkStart w:id="17" w:name="_Ref431821860"/>
      <w:r>
        <w:t>We have three-year rolling programme for medical research grants.</w:t>
      </w:r>
      <w:r w:rsidR="006D1863">
        <w:t xml:space="preserve"> This supports researchers working at the hospital and university and allows then to </w:t>
      </w:r>
      <w:bookmarkEnd w:id="17"/>
      <w:r w:rsidR="000B1774" w:rsidRPr="00F2708D">
        <w:t xml:space="preserve">explore new ideas which we hope will be proven in the future to be of benefit. Often these pilot research projects enable an idea to be honed and tested and then submitted for industry or Medical Research Council support. </w:t>
      </w:r>
    </w:p>
    <w:p w14:paraId="1B516BAE" w14:textId="08D2794F" w:rsidR="000B1774" w:rsidRPr="00541AB1" w:rsidRDefault="006D1863" w:rsidP="002B539A">
      <w:pPr>
        <w:pStyle w:val="Bodytext"/>
        <w:numPr>
          <w:ilvl w:val="0"/>
          <w:numId w:val="38"/>
        </w:numPr>
        <w:rPr>
          <w:b/>
          <w:bCs/>
          <w:i/>
          <w:iCs/>
        </w:rPr>
      </w:pPr>
      <w:r>
        <w:t xml:space="preserve">We spent less on </w:t>
      </w:r>
      <w:r w:rsidR="00B337D5">
        <w:t xml:space="preserve">equipment and </w:t>
      </w:r>
      <w:r w:rsidR="00A95E23">
        <w:t>building</w:t>
      </w:r>
      <w:r w:rsidR="00B337D5">
        <w:t xml:space="preserve"> and refurbishment this year because </w:t>
      </w:r>
      <w:r w:rsidR="00A95E23">
        <w:t xml:space="preserve">of the high level of investment last year. </w:t>
      </w:r>
      <w:r w:rsidR="002B539A">
        <w:t xml:space="preserve">However, we did </w:t>
      </w:r>
      <w:r w:rsidR="000B1774" w:rsidRPr="006644A8">
        <w:t>spen</w:t>
      </w:r>
      <w:r w:rsidR="002B539A">
        <w:t>d</w:t>
      </w:r>
      <w:r w:rsidR="000B1774" w:rsidRPr="006644A8">
        <w:t xml:space="preserve"> £85,000 on refurbishing the quiet room to make it </w:t>
      </w:r>
      <w:r w:rsidR="000B1774" w:rsidRPr="00541AB1">
        <w:rPr>
          <w:b/>
          <w:bCs/>
          <w:i/>
          <w:iCs/>
        </w:rPr>
        <w:t xml:space="preserve">a </w:t>
      </w:r>
      <w:r w:rsidR="006D3F31" w:rsidRPr="00541AB1">
        <w:rPr>
          <w:b/>
          <w:bCs/>
          <w:i/>
          <w:iCs/>
        </w:rPr>
        <w:t xml:space="preserve">more welcoming </w:t>
      </w:r>
      <w:r w:rsidR="000B1774" w:rsidRPr="00541AB1">
        <w:rPr>
          <w:b/>
          <w:bCs/>
          <w:i/>
          <w:iCs/>
        </w:rPr>
        <w:t xml:space="preserve">space that can be used </w:t>
      </w:r>
      <w:r w:rsidR="000D5E57" w:rsidRPr="00541AB1">
        <w:rPr>
          <w:b/>
          <w:bCs/>
          <w:i/>
          <w:iCs/>
        </w:rPr>
        <w:t xml:space="preserve">for quiet </w:t>
      </w:r>
      <w:r w:rsidR="007D4C94" w:rsidRPr="00541AB1">
        <w:rPr>
          <w:b/>
          <w:bCs/>
          <w:i/>
          <w:iCs/>
        </w:rPr>
        <w:t xml:space="preserve">prayer or </w:t>
      </w:r>
      <w:r w:rsidR="000D5E57" w:rsidRPr="00541AB1">
        <w:rPr>
          <w:b/>
          <w:bCs/>
          <w:i/>
          <w:iCs/>
        </w:rPr>
        <w:t xml:space="preserve">reflection by those of any faith or </w:t>
      </w:r>
      <w:r w:rsidR="006D3F31" w:rsidRPr="00541AB1">
        <w:rPr>
          <w:b/>
          <w:bCs/>
          <w:i/>
          <w:iCs/>
        </w:rPr>
        <w:t xml:space="preserve">none. </w:t>
      </w:r>
    </w:p>
    <w:p w14:paraId="5BBF0A8B" w14:textId="77777777" w:rsidR="00F156A2" w:rsidRDefault="00F156A2" w:rsidP="00021532">
      <w:pPr>
        <w:pStyle w:val="Bodytext"/>
        <w:ind w:left="360"/>
      </w:pPr>
    </w:p>
    <w:tbl>
      <w:tblPr>
        <w:tblStyle w:val="TableGrid"/>
        <w:tblW w:w="0" w:type="auto"/>
        <w:tblInd w:w="357" w:type="dxa"/>
        <w:tblLook w:val="04A0" w:firstRow="1" w:lastRow="0" w:firstColumn="1" w:lastColumn="0" w:noHBand="0" w:noVBand="1"/>
      </w:tblPr>
      <w:tblGrid>
        <w:gridCol w:w="6774"/>
      </w:tblGrid>
      <w:tr w:rsidR="00594D57" w:rsidRPr="00E26F9B" w14:paraId="1CE9253E" w14:textId="77777777">
        <w:tc>
          <w:tcPr>
            <w:tcW w:w="6774" w:type="dxa"/>
            <w:tcBorders>
              <w:top w:val="nil"/>
              <w:left w:val="nil"/>
              <w:bottom w:val="nil"/>
              <w:right w:val="nil"/>
            </w:tcBorders>
            <w:shd w:val="clear" w:color="auto" w:fill="D5DCE4" w:themeFill="text2" w:themeFillTint="33"/>
          </w:tcPr>
          <w:p w14:paraId="7430E735" w14:textId="77777777" w:rsidR="00594D57" w:rsidRPr="00E26F9B" w:rsidRDefault="00594D57">
            <w:pPr>
              <w:pStyle w:val="TableTitle"/>
            </w:pPr>
            <w:r w:rsidRPr="00E26F9B">
              <w:t>Case study</w:t>
            </w:r>
          </w:p>
          <w:p w14:paraId="1322C2C2" w14:textId="77777777" w:rsidR="00594D57" w:rsidRPr="00E26F9B" w:rsidRDefault="00594D57">
            <w:pPr>
              <w:pStyle w:val="Bodytext"/>
              <w:rPr>
                <w:iCs/>
              </w:rPr>
            </w:pPr>
            <w:r w:rsidRPr="00E26F9B">
              <w:rPr>
                <w:iCs/>
              </w:rPr>
              <w:t xml:space="preserve">Megan was born prematurely and spend the first three months of her life in the special care baby unit (SCBU). For her parents, Clive and Anna, the quiet room became a place of refuge from the pressure of the SCBU. They explain that while the staff were very </w:t>
            </w:r>
            <w:r w:rsidRPr="00E26F9B">
              <w:rPr>
                <w:iCs/>
              </w:rPr>
              <w:t xml:space="preserve">caring, the constant monitoring of the very sick babies and the number of people always around became quite stressful. This was specially the case when a baby born on the same day as Megan died. </w:t>
            </w:r>
          </w:p>
          <w:p w14:paraId="37965289" w14:textId="77777777" w:rsidR="00594D57" w:rsidRPr="00E26F9B" w:rsidRDefault="00594D57">
            <w:pPr>
              <w:pStyle w:val="Bullet"/>
              <w:numPr>
                <w:ilvl w:val="0"/>
                <w:numId w:val="0"/>
              </w:numPr>
            </w:pPr>
            <w:r w:rsidRPr="00E26F9B">
              <w:rPr>
                <w:iCs/>
              </w:rPr>
              <w:t>‘The quiet space was an oasis of calm which allowed us to take some time to grieve for the other baby and manage the roller-coaster of Megan’s treatment as she was doing well but then caught an infection which took some time to clear’</w:t>
            </w:r>
          </w:p>
        </w:tc>
      </w:tr>
    </w:tbl>
    <w:p w14:paraId="5AC494A4" w14:textId="77777777" w:rsidR="00541AB1" w:rsidRDefault="00541AB1" w:rsidP="00D1604E">
      <w:pPr>
        <w:pStyle w:val="Bodytext"/>
      </w:pPr>
    </w:p>
    <w:p w14:paraId="20DC0E88" w14:textId="067BE9CA" w:rsidR="001D6614" w:rsidRPr="00A85F74" w:rsidRDefault="001D6614" w:rsidP="002B539A">
      <w:pPr>
        <w:pStyle w:val="Bodytext"/>
        <w:numPr>
          <w:ilvl w:val="0"/>
          <w:numId w:val="38"/>
        </w:numPr>
      </w:pPr>
      <w:r w:rsidRPr="00A85F74">
        <w:t xml:space="preserve">We have now spent all of the Covid-19 </w:t>
      </w:r>
      <w:r w:rsidR="00FC5F66" w:rsidRPr="00A85F74">
        <w:t>recovery</w:t>
      </w:r>
      <w:r w:rsidRPr="00A85F74">
        <w:t xml:space="preserve"> grant we received from NHS Charities Together.</w:t>
      </w:r>
      <w:r w:rsidR="00BA6ECC" w:rsidRPr="00A85F74">
        <w:t xml:space="preserve"> This money was spent on seed funding for longer term well-being </w:t>
      </w:r>
      <w:r w:rsidR="003E119F" w:rsidRPr="00A85F74">
        <w:t>programmes. Where we continue to fund these programmes, they will be shown as staff welfare in the future.</w:t>
      </w:r>
    </w:p>
    <w:p w14:paraId="39B8EE6B" w14:textId="30BE6826" w:rsidR="00FC5F66" w:rsidRPr="009F3A8C" w:rsidRDefault="00594D57" w:rsidP="002B539A">
      <w:pPr>
        <w:pStyle w:val="Bodytext"/>
        <w:numPr>
          <w:ilvl w:val="0"/>
          <w:numId w:val="38"/>
        </w:numPr>
        <w:rPr>
          <w:i/>
          <w:iCs/>
        </w:rPr>
      </w:pPr>
      <w:r w:rsidRPr="00A85F74">
        <w:t xml:space="preserve">We continue to fund initiatives to </w:t>
      </w:r>
      <w:r w:rsidR="00FC5F66" w:rsidRPr="00A85F74">
        <w:t>train the</w:t>
      </w:r>
      <w:r w:rsidRPr="00A85F74">
        <w:t xml:space="preserve"> staff who care for the patients. Ensuring staff are well trained and supported benefits the quality of care they provide. </w:t>
      </w:r>
      <w:r w:rsidRPr="00D1604E">
        <w:rPr>
          <w:b/>
          <w:bCs/>
          <w:i/>
          <w:iCs/>
        </w:rPr>
        <w:t xml:space="preserve">Of course, the HHFT as employer has a duty to ensure its staff are well trained and able to do their work but </w:t>
      </w:r>
      <w:r w:rsidR="007F1D09" w:rsidRPr="00D1604E">
        <w:rPr>
          <w:b/>
          <w:bCs/>
          <w:i/>
          <w:iCs/>
        </w:rPr>
        <w:t>by cross-skilling staff</w:t>
      </w:r>
      <w:r w:rsidR="001F03B1" w:rsidRPr="00D1604E">
        <w:rPr>
          <w:b/>
          <w:bCs/>
          <w:i/>
          <w:iCs/>
        </w:rPr>
        <w:t xml:space="preserve"> and</w:t>
      </w:r>
      <w:r w:rsidR="00745798" w:rsidRPr="00D1604E">
        <w:rPr>
          <w:b/>
          <w:bCs/>
          <w:i/>
          <w:iCs/>
        </w:rPr>
        <w:t>, for example,</w:t>
      </w:r>
      <w:r w:rsidR="001F03B1" w:rsidRPr="00D1604E">
        <w:rPr>
          <w:b/>
          <w:bCs/>
          <w:i/>
          <w:iCs/>
        </w:rPr>
        <w:t xml:space="preserve"> ensuring </w:t>
      </w:r>
      <w:r w:rsidR="005D3B5C" w:rsidRPr="00D1604E">
        <w:rPr>
          <w:b/>
          <w:bCs/>
          <w:i/>
          <w:iCs/>
        </w:rPr>
        <w:t xml:space="preserve">they develop greater understanding of conditions </w:t>
      </w:r>
      <w:r w:rsidR="009205B4" w:rsidRPr="00D1604E">
        <w:rPr>
          <w:b/>
          <w:bCs/>
          <w:i/>
          <w:iCs/>
        </w:rPr>
        <w:t>which they may encounter alongside those specific to their specialty</w:t>
      </w:r>
      <w:r w:rsidR="004A1078" w:rsidRPr="00D1604E">
        <w:rPr>
          <w:b/>
          <w:bCs/>
          <w:i/>
          <w:iCs/>
        </w:rPr>
        <w:t xml:space="preserve">, </w:t>
      </w:r>
      <w:r w:rsidRPr="00D1604E">
        <w:rPr>
          <w:b/>
          <w:bCs/>
          <w:i/>
          <w:iCs/>
        </w:rPr>
        <w:t>we can</w:t>
      </w:r>
      <w:r w:rsidR="00D76221" w:rsidRPr="00D1604E">
        <w:rPr>
          <w:b/>
          <w:bCs/>
          <w:i/>
          <w:iCs/>
        </w:rPr>
        <w:t xml:space="preserve"> </w:t>
      </w:r>
      <w:r w:rsidR="004A1078" w:rsidRPr="00D1604E">
        <w:rPr>
          <w:b/>
          <w:bCs/>
          <w:i/>
          <w:iCs/>
        </w:rPr>
        <w:t>improve care</w:t>
      </w:r>
      <w:r w:rsidRPr="00D1604E">
        <w:rPr>
          <w:b/>
          <w:bCs/>
          <w:i/>
          <w:iCs/>
        </w:rPr>
        <w:t>.</w:t>
      </w:r>
      <w:r w:rsidR="00743585" w:rsidRPr="00D1604E">
        <w:rPr>
          <w:b/>
          <w:bCs/>
          <w:i/>
          <w:iCs/>
        </w:rPr>
        <w:t xml:space="preserve"> This </w:t>
      </w:r>
      <w:r w:rsidR="00313119" w:rsidRPr="00D1604E">
        <w:rPr>
          <w:b/>
          <w:bCs/>
          <w:i/>
          <w:iCs/>
        </w:rPr>
        <w:t>includes</w:t>
      </w:r>
      <w:r w:rsidR="00743585" w:rsidRPr="00D1604E">
        <w:rPr>
          <w:b/>
          <w:bCs/>
          <w:i/>
          <w:iCs/>
        </w:rPr>
        <w:t xml:space="preserve"> ensuring staff </w:t>
      </w:r>
      <w:r w:rsidR="009015C1" w:rsidRPr="00D1604E">
        <w:rPr>
          <w:b/>
          <w:bCs/>
          <w:i/>
          <w:iCs/>
        </w:rPr>
        <w:t xml:space="preserve">better understand neurodiverse patients’ </w:t>
      </w:r>
      <w:r w:rsidR="00F8005E" w:rsidRPr="00D1604E">
        <w:rPr>
          <w:b/>
          <w:bCs/>
          <w:i/>
          <w:iCs/>
        </w:rPr>
        <w:t xml:space="preserve">needs, and </w:t>
      </w:r>
      <w:r w:rsidR="00BE74E4" w:rsidRPr="00D1604E">
        <w:rPr>
          <w:b/>
          <w:bCs/>
          <w:i/>
          <w:iCs/>
        </w:rPr>
        <w:t xml:space="preserve">ensuring more </w:t>
      </w:r>
      <w:r w:rsidR="00EA3667" w:rsidRPr="00D1604E">
        <w:rPr>
          <w:b/>
          <w:bCs/>
          <w:i/>
          <w:iCs/>
        </w:rPr>
        <w:t xml:space="preserve">ward staff across </w:t>
      </w:r>
      <w:r w:rsidR="00D568E0" w:rsidRPr="00D1604E">
        <w:rPr>
          <w:b/>
          <w:bCs/>
          <w:i/>
          <w:iCs/>
        </w:rPr>
        <w:t xml:space="preserve">adult </w:t>
      </w:r>
      <w:r w:rsidR="00EA3667" w:rsidRPr="00D1604E">
        <w:rPr>
          <w:b/>
          <w:bCs/>
          <w:i/>
          <w:iCs/>
        </w:rPr>
        <w:t>in</w:t>
      </w:r>
      <w:r w:rsidR="000E011E" w:rsidRPr="00D1604E">
        <w:rPr>
          <w:b/>
          <w:bCs/>
          <w:i/>
          <w:iCs/>
        </w:rPr>
        <w:t>-</w:t>
      </w:r>
      <w:r w:rsidR="00EA3667" w:rsidRPr="00D1604E">
        <w:rPr>
          <w:b/>
          <w:bCs/>
          <w:i/>
          <w:iCs/>
        </w:rPr>
        <w:t xml:space="preserve">patient services </w:t>
      </w:r>
      <w:r w:rsidR="00D568E0" w:rsidRPr="00D1604E">
        <w:rPr>
          <w:b/>
          <w:bCs/>
          <w:i/>
          <w:iCs/>
        </w:rPr>
        <w:t xml:space="preserve">can </w:t>
      </w:r>
      <w:r w:rsidR="000E011E" w:rsidRPr="00D1604E">
        <w:rPr>
          <w:b/>
          <w:bCs/>
          <w:i/>
          <w:iCs/>
        </w:rPr>
        <w:t>’</w:t>
      </w:r>
      <w:r w:rsidR="00D568E0" w:rsidRPr="00D1604E">
        <w:rPr>
          <w:b/>
          <w:bCs/>
          <w:i/>
          <w:iCs/>
        </w:rPr>
        <w:t>experience</w:t>
      </w:r>
      <w:r w:rsidR="000E011E" w:rsidRPr="00D1604E">
        <w:rPr>
          <w:b/>
          <w:bCs/>
          <w:i/>
          <w:iCs/>
        </w:rPr>
        <w:t>’</w:t>
      </w:r>
      <w:r w:rsidR="00D568E0" w:rsidRPr="00D1604E">
        <w:rPr>
          <w:b/>
          <w:bCs/>
          <w:i/>
          <w:iCs/>
        </w:rPr>
        <w:t xml:space="preserve"> </w:t>
      </w:r>
      <w:r w:rsidR="00D070BB" w:rsidRPr="00D1604E">
        <w:rPr>
          <w:b/>
          <w:bCs/>
          <w:i/>
          <w:iCs/>
        </w:rPr>
        <w:t xml:space="preserve">living with dementia to </w:t>
      </w:r>
      <w:r w:rsidR="00313119" w:rsidRPr="00D1604E">
        <w:rPr>
          <w:b/>
          <w:bCs/>
          <w:i/>
          <w:iCs/>
        </w:rPr>
        <w:t>enhance their understanding of patients in their care.</w:t>
      </w:r>
      <w:r w:rsidR="00D76221">
        <w:rPr>
          <w:b/>
          <w:bCs/>
        </w:rPr>
        <w:t xml:space="preserve"> </w:t>
      </w:r>
      <w:r w:rsidR="00F43B38" w:rsidRPr="00A069EA">
        <w:t>E</w:t>
      </w:r>
      <w:r w:rsidRPr="00A069EA">
        <w:t xml:space="preserve">xpenditure in this area is less than last year, </w:t>
      </w:r>
      <w:r w:rsidR="00223537" w:rsidRPr="009F3A8C">
        <w:rPr>
          <w:b/>
          <w:bCs/>
          <w:i/>
          <w:iCs/>
        </w:rPr>
        <w:t xml:space="preserve">when we </w:t>
      </w:r>
      <w:r w:rsidR="004A6577" w:rsidRPr="009F3A8C">
        <w:rPr>
          <w:b/>
          <w:bCs/>
          <w:i/>
          <w:iCs/>
        </w:rPr>
        <w:t xml:space="preserve">invested in </w:t>
      </w:r>
      <w:r w:rsidR="00FC5F66" w:rsidRPr="009F3A8C">
        <w:rPr>
          <w:b/>
          <w:bCs/>
          <w:i/>
          <w:iCs/>
        </w:rPr>
        <w:t>establishing</w:t>
      </w:r>
      <w:r w:rsidR="00810A72" w:rsidRPr="009F3A8C">
        <w:rPr>
          <w:b/>
          <w:bCs/>
          <w:i/>
          <w:iCs/>
        </w:rPr>
        <w:t xml:space="preserve"> training packages and res</w:t>
      </w:r>
      <w:r w:rsidR="00721B41" w:rsidRPr="009F3A8C">
        <w:rPr>
          <w:b/>
          <w:bCs/>
          <w:i/>
          <w:iCs/>
        </w:rPr>
        <w:t>ources to roll out in future years.</w:t>
      </w:r>
      <w:r w:rsidR="00D76221" w:rsidRPr="009F3A8C">
        <w:rPr>
          <w:b/>
          <w:bCs/>
          <w:i/>
          <w:iCs/>
        </w:rPr>
        <w:t xml:space="preserve"> </w:t>
      </w:r>
      <w:r w:rsidR="00721B41" w:rsidRPr="009F3A8C">
        <w:rPr>
          <w:b/>
          <w:bCs/>
          <w:i/>
          <w:iCs/>
        </w:rPr>
        <w:t xml:space="preserve">However, </w:t>
      </w:r>
      <w:r w:rsidR="00E748F4" w:rsidRPr="009F3A8C">
        <w:rPr>
          <w:b/>
          <w:bCs/>
          <w:i/>
          <w:iCs/>
        </w:rPr>
        <w:t>patients and staff</w:t>
      </w:r>
      <w:r w:rsidR="00721B41" w:rsidRPr="009F3A8C">
        <w:rPr>
          <w:b/>
          <w:bCs/>
          <w:i/>
          <w:iCs/>
        </w:rPr>
        <w:t xml:space="preserve"> are now benefiting from that prior investment</w:t>
      </w:r>
      <w:r w:rsidR="00721B41" w:rsidRPr="009F3A8C">
        <w:rPr>
          <w:i/>
          <w:iCs/>
        </w:rPr>
        <w:t>.</w:t>
      </w:r>
    </w:p>
    <w:p w14:paraId="75582A85" w14:textId="7F4B4C23" w:rsidR="00222897" w:rsidRPr="00632350" w:rsidRDefault="00FC5F66" w:rsidP="009F0157">
      <w:pPr>
        <w:pStyle w:val="Bodytext"/>
        <w:numPr>
          <w:ilvl w:val="0"/>
          <w:numId w:val="38"/>
        </w:numPr>
      </w:pPr>
      <w:r w:rsidRPr="00632350">
        <w:t>W</w:t>
      </w:r>
      <w:r w:rsidR="00F43B38" w:rsidRPr="00632350">
        <w:t>e are now providing</w:t>
      </w:r>
      <w:r w:rsidR="0074790C" w:rsidRPr="00632350">
        <w:t xml:space="preserve"> support </w:t>
      </w:r>
      <w:r w:rsidR="00802C58" w:rsidRPr="009F3A8C">
        <w:rPr>
          <w:b/>
          <w:bCs/>
          <w:i/>
          <w:iCs/>
        </w:rPr>
        <w:t>to mitigate</w:t>
      </w:r>
      <w:r w:rsidR="00802C58">
        <w:t xml:space="preserve"> </w:t>
      </w:r>
      <w:r w:rsidR="0074790C" w:rsidRPr="00632350">
        <w:t xml:space="preserve">the </w:t>
      </w:r>
      <w:r w:rsidR="009F3A8C" w:rsidRPr="00632350">
        <w:t>cost-of-living</w:t>
      </w:r>
      <w:r w:rsidR="0074790C" w:rsidRPr="00632350">
        <w:t xml:space="preserve"> crisis. This involves</w:t>
      </w:r>
      <w:r w:rsidR="00E55E80" w:rsidRPr="00632350">
        <w:t xml:space="preserve"> </w:t>
      </w:r>
      <w:r w:rsidR="000014B0">
        <w:t xml:space="preserve">offering space and </w:t>
      </w:r>
      <w:r w:rsidR="00E8076B" w:rsidRPr="009F3A8C">
        <w:rPr>
          <w:b/>
          <w:bCs/>
          <w:i/>
          <w:iCs/>
        </w:rPr>
        <w:t xml:space="preserve">supporting volunteer coordination for </w:t>
      </w:r>
      <w:r w:rsidR="00395CA7" w:rsidRPr="009F3A8C">
        <w:rPr>
          <w:b/>
          <w:bCs/>
          <w:i/>
          <w:iCs/>
        </w:rPr>
        <w:t xml:space="preserve">a local </w:t>
      </w:r>
      <w:r w:rsidR="00D87EEF" w:rsidRPr="009F3A8C">
        <w:rPr>
          <w:b/>
          <w:bCs/>
          <w:i/>
          <w:iCs/>
        </w:rPr>
        <w:t>pantry</w:t>
      </w:r>
      <w:r w:rsidR="00395CA7">
        <w:t xml:space="preserve">, </w:t>
      </w:r>
      <w:r w:rsidR="00E55E80" w:rsidRPr="00632350">
        <w:t xml:space="preserve">as well as funding drinks and healthy snacks on wards </w:t>
      </w:r>
      <w:r w:rsidR="00D619CA" w:rsidRPr="00632350">
        <w:t>to ensure the physical well-being of NHS staff in their demanding roles</w:t>
      </w:r>
      <w:r w:rsidR="00E55E80" w:rsidRPr="00632350">
        <w:t xml:space="preserve">. </w:t>
      </w:r>
      <w:r w:rsidR="00B04349">
        <w:t xml:space="preserve">We are pleased to offer period products </w:t>
      </w:r>
      <w:r w:rsidR="00B0261E">
        <w:t>to those who need them, for staff and patients in our care.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84"/>
      </w:tblGrid>
      <w:tr w:rsidR="000B1774" w:rsidRPr="00D6785D" w14:paraId="7A02F87B" w14:textId="77777777" w:rsidTr="0A2A19DF">
        <w:trPr>
          <w:jc w:val="center"/>
        </w:trPr>
        <w:tc>
          <w:tcPr>
            <w:tcW w:w="6784" w:type="dxa"/>
            <w:shd w:val="clear" w:color="auto" w:fill="D5DCE4" w:themeFill="text2" w:themeFillTint="33"/>
          </w:tcPr>
          <w:p w14:paraId="1EFDAD2B" w14:textId="77777777" w:rsidR="000B1774" w:rsidRPr="00A04572" w:rsidRDefault="000B1774" w:rsidP="00E52ABB">
            <w:pPr>
              <w:pStyle w:val="TableTitle"/>
            </w:pPr>
            <w:r w:rsidRPr="00A04572">
              <w:lastRenderedPageBreak/>
              <w:t>Case study</w:t>
            </w:r>
          </w:p>
          <w:p w14:paraId="04E9036C" w14:textId="7F2C90FE" w:rsidR="000B1774" w:rsidRPr="00021532" w:rsidRDefault="000B1774" w:rsidP="00EC1B15">
            <w:pPr>
              <w:pStyle w:val="Bodytext"/>
              <w:rPr>
                <w:bCs/>
              </w:rPr>
            </w:pPr>
            <w:r w:rsidRPr="00021532">
              <w:rPr>
                <w:bCs/>
              </w:rPr>
              <w:t xml:space="preserve">Sarah </w:t>
            </w:r>
            <w:r w:rsidR="005804B4" w:rsidRPr="00021532">
              <w:rPr>
                <w:bCs/>
              </w:rPr>
              <w:t xml:space="preserve">is a nurse in the </w:t>
            </w:r>
            <w:r w:rsidRPr="00021532">
              <w:rPr>
                <w:bCs/>
              </w:rPr>
              <w:t xml:space="preserve">intensive care unit. </w:t>
            </w:r>
          </w:p>
          <w:p w14:paraId="7A34ED92" w14:textId="0CF3E7C7" w:rsidR="000B1774" w:rsidRPr="00021532" w:rsidRDefault="000B1774" w:rsidP="00EC1B15">
            <w:pPr>
              <w:pStyle w:val="Bodytext"/>
              <w:rPr>
                <w:bCs/>
              </w:rPr>
            </w:pPr>
            <w:r w:rsidRPr="00021532">
              <w:rPr>
                <w:bCs/>
              </w:rPr>
              <w:t>‘</w:t>
            </w:r>
            <w:r w:rsidR="005804B4" w:rsidRPr="00021532">
              <w:rPr>
                <w:bCs/>
              </w:rPr>
              <w:t xml:space="preserve">Having access to the pantry has made a big difference this year. </w:t>
            </w:r>
            <w:r w:rsidR="002D23F3" w:rsidRPr="00021532">
              <w:rPr>
                <w:bCs/>
              </w:rPr>
              <w:t xml:space="preserve">My rent and </w:t>
            </w:r>
            <w:r w:rsidR="00AE4526" w:rsidRPr="00021532">
              <w:rPr>
                <w:bCs/>
              </w:rPr>
              <w:t>utilities</w:t>
            </w:r>
            <w:r w:rsidR="002D23F3" w:rsidRPr="00021532">
              <w:rPr>
                <w:bCs/>
              </w:rPr>
              <w:t xml:space="preserve"> costs have gone up so much that I sometimes do not have enough money at the end of the month to buy food. Knowing that I can access the pantry for </w:t>
            </w:r>
            <w:r w:rsidR="006F6C78" w:rsidRPr="00021532">
              <w:rPr>
                <w:bCs/>
              </w:rPr>
              <w:t xml:space="preserve">staple </w:t>
            </w:r>
            <w:r w:rsidR="002D23F3" w:rsidRPr="00021532">
              <w:rPr>
                <w:bCs/>
              </w:rPr>
              <w:t xml:space="preserve">food </w:t>
            </w:r>
            <w:r w:rsidR="006F6C78" w:rsidRPr="00021532">
              <w:rPr>
                <w:bCs/>
              </w:rPr>
              <w:t xml:space="preserve">items is a huge </w:t>
            </w:r>
            <w:r w:rsidR="00AE4526" w:rsidRPr="00021532">
              <w:rPr>
                <w:bCs/>
              </w:rPr>
              <w:t>weight</w:t>
            </w:r>
            <w:r w:rsidR="006F6C78" w:rsidRPr="00021532">
              <w:rPr>
                <w:bCs/>
              </w:rPr>
              <w:t xml:space="preserve"> off my mind. I like the fact that it is </w:t>
            </w:r>
            <w:r w:rsidR="000014B0">
              <w:rPr>
                <w:bCs/>
              </w:rPr>
              <w:t>supported</w:t>
            </w:r>
            <w:r w:rsidR="00427903">
              <w:rPr>
                <w:bCs/>
              </w:rPr>
              <w:t xml:space="preserve"> </w:t>
            </w:r>
            <w:r w:rsidR="006F6C78" w:rsidRPr="00021532">
              <w:rPr>
                <w:bCs/>
              </w:rPr>
              <w:t xml:space="preserve">by the charity but also </w:t>
            </w:r>
            <w:r w:rsidR="00561481" w:rsidRPr="00021532">
              <w:rPr>
                <w:bCs/>
              </w:rPr>
              <w:t>is stocked from donations. This means that when I have some extra money, I am able to give back</w:t>
            </w:r>
            <w:r w:rsidR="008145EA" w:rsidRPr="00021532">
              <w:rPr>
                <w:bCs/>
              </w:rPr>
              <w:t xml:space="preserve"> which is important to my </w:t>
            </w:r>
            <w:r w:rsidR="00937E77" w:rsidRPr="00021532">
              <w:rPr>
                <w:bCs/>
              </w:rPr>
              <w:t>self-esteem</w:t>
            </w:r>
            <w:r w:rsidR="008145EA" w:rsidRPr="00021532">
              <w:rPr>
                <w:bCs/>
              </w:rPr>
              <w:t>.</w:t>
            </w:r>
            <w:r w:rsidRPr="00021532">
              <w:rPr>
                <w:bCs/>
              </w:rPr>
              <w:t>’</w:t>
            </w:r>
          </w:p>
          <w:p w14:paraId="527F7140" w14:textId="77777777" w:rsidR="008145EA" w:rsidRPr="00021532" w:rsidRDefault="008145EA" w:rsidP="00EC1B15">
            <w:pPr>
              <w:pStyle w:val="Bodytext"/>
              <w:rPr>
                <w:bCs/>
              </w:rPr>
            </w:pPr>
            <w:r w:rsidRPr="00021532">
              <w:rPr>
                <w:bCs/>
              </w:rPr>
              <w:t>Joe is a porter.</w:t>
            </w:r>
          </w:p>
          <w:p w14:paraId="5B8AE1BD" w14:textId="30F9E84B" w:rsidR="000B1774" w:rsidRPr="00071056" w:rsidRDefault="000B1774" w:rsidP="00EC1B15">
            <w:pPr>
              <w:pStyle w:val="Bodytext"/>
            </w:pPr>
            <w:r w:rsidRPr="00021532">
              <w:rPr>
                <w:bCs/>
              </w:rPr>
              <w:t>‘</w:t>
            </w:r>
            <w:r w:rsidR="00A13906" w:rsidRPr="00021532">
              <w:rPr>
                <w:bCs/>
              </w:rPr>
              <w:t xml:space="preserve">Having access to hot drinks and fruit during my shift is wonderful. I can grab a drink and a snack </w:t>
            </w:r>
            <w:r w:rsidR="00C37D6F" w:rsidRPr="00021532">
              <w:rPr>
                <w:bCs/>
              </w:rPr>
              <w:t xml:space="preserve">whenever I need to which keeps my energy levels up. This is particularly important when I am working night shifts and the canteen is closed. </w:t>
            </w:r>
            <w:r w:rsidR="002E5DA6" w:rsidRPr="00021532">
              <w:rPr>
                <w:bCs/>
              </w:rPr>
              <w:t xml:space="preserve">It also gives me time to talk to other staff – as a result of one of these chats, </w:t>
            </w:r>
            <w:r w:rsidR="00A702C6" w:rsidRPr="00021532">
              <w:rPr>
                <w:bCs/>
              </w:rPr>
              <w:t>I came up with an idea to save time which has now been implemented throughout the hospital’</w:t>
            </w:r>
            <w:r w:rsidR="00A702C6" w:rsidRPr="00052572">
              <w:rPr>
                <w:b/>
                <w:i/>
                <w:iCs/>
              </w:rPr>
              <w:t xml:space="preserve"> </w:t>
            </w:r>
          </w:p>
        </w:tc>
      </w:tr>
    </w:tbl>
    <w:p w14:paraId="5F038B4E" w14:textId="77777777" w:rsidR="000B1774" w:rsidRPr="00071056" w:rsidRDefault="000B1774" w:rsidP="000B1774">
      <w:pPr>
        <w:pStyle w:val="Heading2"/>
      </w:pPr>
      <w:r w:rsidRPr="00071056">
        <w:t>Performance against objectives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3"/>
      </w:tblGrid>
      <w:tr w:rsidR="000B1774" w:rsidRPr="006644A8" w14:paraId="7CDDB8F0" w14:textId="77777777" w:rsidTr="00EC1B15">
        <w:tc>
          <w:tcPr>
            <w:tcW w:w="9396" w:type="dxa"/>
            <w:shd w:val="clear" w:color="auto" w:fill="auto"/>
          </w:tcPr>
          <w:p w14:paraId="26041CA9" w14:textId="77777777" w:rsidR="000B1774" w:rsidRPr="006644A8" w:rsidRDefault="000B1774" w:rsidP="00EC1B15">
            <w:pPr>
              <w:pStyle w:val="Bodytext"/>
              <w:tabs>
                <w:tab w:val="left" w:pos="1020"/>
              </w:tabs>
            </w:pPr>
            <w:r w:rsidRPr="006644A8">
              <w:t xml:space="preserve">The section below meets the fourth requirement of paragraph 1.36 of the </w:t>
            </w:r>
            <w:r>
              <w:t>SORP FRS 102</w:t>
            </w:r>
            <w:r w:rsidRPr="006644A8">
              <w:t xml:space="preserve">. </w:t>
            </w:r>
          </w:p>
          <w:p w14:paraId="06CC3366" w14:textId="77777777" w:rsidR="000B1774" w:rsidRDefault="000B1774" w:rsidP="00EC1B15">
            <w:pPr>
              <w:pStyle w:val="Bodytext"/>
            </w:pPr>
            <w:r w:rsidRPr="006644A8">
              <w:t xml:space="preserve">Paragraph 1.41 of the </w:t>
            </w:r>
            <w:r>
              <w:t>SORP FRS 102</w:t>
            </w:r>
            <w:r w:rsidRPr="006644A8">
              <w:t xml:space="preserve"> requires that larger charities review:</w:t>
            </w:r>
          </w:p>
          <w:p w14:paraId="62DC85C7" w14:textId="62E0756B" w:rsidR="000B1774" w:rsidRPr="009E7806" w:rsidRDefault="000B1774" w:rsidP="009E7806">
            <w:pPr>
              <w:pStyle w:val="Bullet"/>
            </w:pPr>
            <w:r w:rsidRPr="009E7806">
              <w:t xml:space="preserve">the significant charitable activities undertaken (met in paragraphs </w:t>
            </w:r>
            <w:r w:rsidRPr="009E7806">
              <w:fldChar w:fldCharType="begin"/>
            </w:r>
            <w:r w:rsidRPr="009E7806">
              <w:instrText xml:space="preserve"> REF _Ref431821726 \r \h  \* MERGEFORMAT </w:instrText>
            </w:r>
            <w:r w:rsidRPr="009E7806">
              <w:fldChar w:fldCharType="separate"/>
            </w:r>
            <w:r w:rsidR="00E6322B">
              <w:t>10</w:t>
            </w:r>
            <w:r w:rsidRPr="009E7806">
              <w:fldChar w:fldCharType="end"/>
            </w:r>
            <w:r w:rsidRPr="009E7806">
              <w:t xml:space="preserve"> to </w:t>
            </w:r>
            <w:r w:rsidRPr="009E7806">
              <w:fldChar w:fldCharType="begin"/>
            </w:r>
            <w:r w:rsidRPr="009E7806">
              <w:instrText xml:space="preserve"> REF _Ref431822269 \r \h  \* MERGEFORMAT </w:instrText>
            </w:r>
            <w:r w:rsidRPr="009E7806">
              <w:fldChar w:fldCharType="separate"/>
            </w:r>
            <w:r w:rsidR="00E6322B">
              <w:t>41</w:t>
            </w:r>
            <w:r w:rsidRPr="009E7806">
              <w:fldChar w:fldCharType="end"/>
            </w:r>
            <w:r w:rsidRPr="009E7806">
              <w:t xml:space="preserve"> of the annual report)</w:t>
            </w:r>
          </w:p>
          <w:p w14:paraId="41050633" w14:textId="53E6624D" w:rsidR="000B1774" w:rsidRPr="009E7806" w:rsidRDefault="000B1774" w:rsidP="009E7806">
            <w:pPr>
              <w:pStyle w:val="Bullet"/>
            </w:pPr>
            <w:r w:rsidRPr="009E7806">
              <w:t xml:space="preserve">the achievements against objectives set (met in paragraphs </w:t>
            </w:r>
            <w:r w:rsidRPr="009E7806">
              <w:fldChar w:fldCharType="begin"/>
            </w:r>
            <w:r w:rsidRPr="009E7806">
              <w:instrText xml:space="preserve"> REF _Ref431821726 \r \h  \* MERGEFORMAT </w:instrText>
            </w:r>
            <w:r w:rsidRPr="009E7806">
              <w:fldChar w:fldCharType="separate"/>
            </w:r>
            <w:r w:rsidR="00E6322B">
              <w:t>10</w:t>
            </w:r>
            <w:r w:rsidRPr="009E7806">
              <w:fldChar w:fldCharType="end"/>
            </w:r>
            <w:r w:rsidRPr="009E7806">
              <w:t xml:space="preserve"> to </w:t>
            </w:r>
            <w:r w:rsidRPr="009E7806">
              <w:fldChar w:fldCharType="begin"/>
            </w:r>
            <w:r w:rsidRPr="009E7806">
              <w:instrText xml:space="preserve"> REF _Ref431822269 \r \h  \* MERGEFORMAT </w:instrText>
            </w:r>
            <w:r w:rsidRPr="009E7806">
              <w:fldChar w:fldCharType="separate"/>
            </w:r>
            <w:r w:rsidR="00E6322B">
              <w:t>41</w:t>
            </w:r>
            <w:r w:rsidRPr="009E7806">
              <w:fldChar w:fldCharType="end"/>
            </w:r>
            <w:r w:rsidRPr="009E7806">
              <w:t xml:space="preserve"> of the annual report)</w:t>
            </w:r>
          </w:p>
          <w:p w14:paraId="78CBA35F" w14:textId="6B8FD86C" w:rsidR="000B1774" w:rsidRPr="009E7806" w:rsidRDefault="000B1774" w:rsidP="009E7806">
            <w:pPr>
              <w:pStyle w:val="Bullet"/>
            </w:pPr>
            <w:r w:rsidRPr="009E7806">
              <w:t xml:space="preserve">the performance of material fundraising activities against the fundraising objectives set (met in paragraphs </w:t>
            </w:r>
            <w:r w:rsidRPr="009E7806">
              <w:fldChar w:fldCharType="begin"/>
            </w:r>
            <w:r w:rsidRPr="009E7806">
              <w:instrText xml:space="preserve"> REF _Ref495636678 \r \h  \* MERGEFORMAT </w:instrText>
            </w:r>
            <w:r w:rsidRPr="009E7806">
              <w:fldChar w:fldCharType="separate"/>
            </w:r>
            <w:r w:rsidR="00E6322B">
              <w:t>46</w:t>
            </w:r>
            <w:r w:rsidRPr="009E7806">
              <w:fldChar w:fldCharType="end"/>
            </w:r>
            <w:r w:rsidRPr="009E7806">
              <w:t xml:space="preserve"> to </w:t>
            </w:r>
            <w:r w:rsidRPr="009E7806">
              <w:fldChar w:fldCharType="begin"/>
            </w:r>
            <w:r w:rsidRPr="009E7806">
              <w:instrText xml:space="preserve"> REF _Ref431822325 \r \h  \* MERGEFORMAT </w:instrText>
            </w:r>
            <w:r w:rsidRPr="009E7806">
              <w:fldChar w:fldCharType="separate"/>
            </w:r>
            <w:r w:rsidR="00E6322B">
              <w:t>47</w:t>
            </w:r>
            <w:r w:rsidRPr="009E7806">
              <w:fldChar w:fldCharType="end"/>
            </w:r>
            <w:r w:rsidRPr="009E7806">
              <w:t xml:space="preserve"> of the annual report). </w:t>
            </w:r>
          </w:p>
          <w:p w14:paraId="37477357" w14:textId="0283A47D" w:rsidR="000B1774" w:rsidRPr="009E7806" w:rsidRDefault="000B1774" w:rsidP="009E7806">
            <w:pPr>
              <w:pStyle w:val="Bullet"/>
            </w:pPr>
            <w:r w:rsidRPr="009E7806">
              <w:t xml:space="preserve">investment performance against the investment objectives set where material financial investments are held (met in paragraphs </w:t>
            </w:r>
            <w:r w:rsidRPr="009E7806">
              <w:fldChar w:fldCharType="begin"/>
            </w:r>
            <w:r w:rsidRPr="009E7806">
              <w:instrText xml:space="preserve"> REF _Ref431885449 \r \h  \* MERGEFORMAT </w:instrText>
            </w:r>
            <w:r w:rsidRPr="009E7806">
              <w:fldChar w:fldCharType="separate"/>
            </w:r>
            <w:r w:rsidR="00E6322B">
              <w:t>57</w:t>
            </w:r>
            <w:r w:rsidRPr="009E7806">
              <w:fldChar w:fldCharType="end"/>
            </w:r>
            <w:r w:rsidRPr="009E7806">
              <w:t xml:space="preserve"> to </w:t>
            </w:r>
            <w:r w:rsidRPr="009E7806">
              <w:fldChar w:fldCharType="begin"/>
            </w:r>
            <w:r w:rsidRPr="009E7806">
              <w:instrText xml:space="preserve"> REF _Ref431885457 \r \h  \* MERGEFORMAT </w:instrText>
            </w:r>
            <w:r w:rsidRPr="009E7806">
              <w:fldChar w:fldCharType="separate"/>
            </w:r>
            <w:r w:rsidR="00E6322B">
              <w:t>60</w:t>
            </w:r>
            <w:r w:rsidRPr="009E7806">
              <w:fldChar w:fldCharType="end"/>
            </w:r>
            <w:r w:rsidRPr="009E7806">
              <w:t xml:space="preserve"> of the annual report)</w:t>
            </w:r>
          </w:p>
          <w:p w14:paraId="4B20A5F3" w14:textId="77777777" w:rsidR="000B1774" w:rsidRPr="00294539" w:rsidRDefault="000B1774" w:rsidP="009E7806">
            <w:pPr>
              <w:pStyle w:val="Bullet"/>
            </w:pPr>
            <w:r w:rsidRPr="009E7806">
              <w:t>if material expenditure was incurred to raise income in the future, the report must explain the effect this expenditure has had, and is intended to have, on the net return from fundraising activities for both the reporting period and future periods (not applicable to this</w:t>
            </w:r>
            <w:r w:rsidRPr="00AD4BD0">
              <w:t xml:space="preserve"> NHS charity)</w:t>
            </w:r>
            <w:r w:rsidRPr="00294539">
              <w:t>.</w:t>
            </w:r>
          </w:p>
          <w:p w14:paraId="3E8B30D9" w14:textId="7CE8F21F" w:rsidR="000B1774" w:rsidRPr="00707B08" w:rsidRDefault="000B1774" w:rsidP="00EC1B15">
            <w:pPr>
              <w:pStyle w:val="Bodytext"/>
            </w:pPr>
            <w:r w:rsidRPr="00707B08">
              <w:t xml:space="preserve">Paragraph 1.45 of the SORP FRS 102 states that the report should comment on significant positive and negative factors that have affected the charity’s performance and its plans. These factors include both those within and outside its control. </w:t>
            </w:r>
          </w:p>
        </w:tc>
      </w:tr>
    </w:tbl>
    <w:p w14:paraId="409CD46C" w14:textId="77777777" w:rsidR="000A4E49" w:rsidRDefault="000A4E49" w:rsidP="001B4A96">
      <w:pPr>
        <w:pStyle w:val="Bodytext"/>
      </w:pPr>
      <w:bookmarkStart w:id="18" w:name="_Ref431821896"/>
      <w:bookmarkStart w:id="19" w:name="_Ref523311519"/>
    </w:p>
    <w:p w14:paraId="4420D9A1" w14:textId="07B83383" w:rsidR="000B1774" w:rsidRPr="006644A8" w:rsidRDefault="000B1774" w:rsidP="000B1774">
      <w:pPr>
        <w:pStyle w:val="Bodytext"/>
        <w:numPr>
          <w:ilvl w:val="0"/>
          <w:numId w:val="38"/>
        </w:numPr>
      </w:pPr>
      <w:r w:rsidRPr="006644A8">
        <w:t>Spending the money is only part of the story because we are concerned to achieve value for money. To ensure the money is well spent</w:t>
      </w:r>
      <w:r>
        <w:t>,</w:t>
      </w:r>
      <w:r w:rsidRPr="006644A8">
        <w:t xml:space="preserve"> applications for </w:t>
      </w:r>
      <w:r w:rsidR="00707B08">
        <w:t>g</w:t>
      </w:r>
      <w:r w:rsidRPr="006644A8">
        <w:t xml:space="preserve">eneral </w:t>
      </w:r>
      <w:r w:rsidR="00707B08">
        <w:t>f</w:t>
      </w:r>
      <w:r w:rsidRPr="006644A8">
        <w:t>und grants include questions about the objectives, impact, and success criteria for the proposed project.</w:t>
      </w:r>
      <w:r>
        <w:t xml:space="preserve"> </w:t>
      </w:r>
      <w:r w:rsidRPr="006644A8">
        <w:t xml:space="preserve">The charity undertakes an annual survey of all grants awarded over £5,000 and a sample of smaller grants to establish the extent to which the intended benefits have been realised. We ask the applicant what the outcome of the grant was both in terms of what they spent the money on and what difference it made to the medical care and treatment of </w:t>
      </w:r>
      <w:r>
        <w:t>patients</w:t>
      </w:r>
      <w:r w:rsidRPr="006644A8">
        <w:t>. This information informs future grant making policy as well as providing a basis for assessing our performance.</w:t>
      </w:r>
      <w:bookmarkEnd w:id="18"/>
      <w:bookmarkEnd w:id="19"/>
    </w:p>
    <w:p w14:paraId="3B49CA28" w14:textId="77777777" w:rsidR="000B1774" w:rsidRPr="006644A8" w:rsidRDefault="000B1774" w:rsidP="000B1774">
      <w:pPr>
        <w:pStyle w:val="Bodytext"/>
        <w:numPr>
          <w:ilvl w:val="0"/>
          <w:numId w:val="38"/>
        </w:numPr>
      </w:pPr>
      <w:r w:rsidRPr="006644A8">
        <w:t>We also ask fund advisors wh</w:t>
      </w:r>
      <w:r>
        <w:t xml:space="preserve">o have </w:t>
      </w:r>
      <w:r w:rsidRPr="006644A8">
        <w:t>spen</w:t>
      </w:r>
      <w:r>
        <w:t>t more than £5,000</w:t>
      </w:r>
      <w:r w:rsidRPr="006644A8">
        <w:t xml:space="preserve"> in the year to provide a brief report on what they spent the money on and the difference it made to the medical care and treatment of </w:t>
      </w:r>
      <w:r>
        <w:t>patients</w:t>
      </w:r>
      <w:r w:rsidRPr="006644A8">
        <w:t>.</w:t>
      </w:r>
    </w:p>
    <w:p w14:paraId="18DD441D" w14:textId="77777777" w:rsidR="000B1774" w:rsidRPr="006644A8" w:rsidRDefault="000B1774" w:rsidP="000B1774">
      <w:pPr>
        <w:pStyle w:val="Bodytext"/>
        <w:numPr>
          <w:ilvl w:val="0"/>
          <w:numId w:val="38"/>
        </w:numPr>
      </w:pPr>
      <w:r w:rsidRPr="006644A8">
        <w:t xml:space="preserve">Research grant holders are required to provide an annual report explaining the course and outcome of their work. This is reviewed by the Research Foundation and a summary report submitted to </w:t>
      </w:r>
      <w:r>
        <w:t xml:space="preserve">HHFT board acting as corporate </w:t>
      </w:r>
      <w:r w:rsidRPr="006644A8">
        <w:t xml:space="preserve">trustee. Key indicators used to measure the success of funded research include the number of peer-reviewed publications and the number of presentations to national and international meetings. </w:t>
      </w:r>
    </w:p>
    <w:p w14:paraId="7B8ACF5E" w14:textId="455631F1" w:rsidR="000B1774" w:rsidRPr="006644A8" w:rsidRDefault="000B1774" w:rsidP="000B1774">
      <w:pPr>
        <w:pStyle w:val="Bodytext"/>
        <w:numPr>
          <w:ilvl w:val="0"/>
          <w:numId w:val="38"/>
        </w:numPr>
      </w:pPr>
      <w:bookmarkStart w:id="20" w:name="_Ref431822269"/>
      <w:r w:rsidRPr="006644A8">
        <w:t xml:space="preserve">A review of the second round of Research Foundation grants awarded in </w:t>
      </w:r>
      <w:r w:rsidR="00E91BE7">
        <w:t>2023/24</w:t>
      </w:r>
      <w:r>
        <w:t xml:space="preserve"> </w:t>
      </w:r>
      <w:r w:rsidRPr="006644A8">
        <w:t>produced the following results:</w:t>
      </w:r>
      <w:bookmarkEnd w:id="20"/>
    </w:p>
    <w:tbl>
      <w:tblPr>
        <w:tblW w:w="6338" w:type="dxa"/>
        <w:tblInd w:w="446" w:type="dxa"/>
        <w:tblCellMar>
          <w:left w:w="0" w:type="dxa"/>
          <w:right w:w="0" w:type="dxa"/>
        </w:tblCellMar>
        <w:tblLook w:val="0000" w:firstRow="0" w:lastRow="0" w:firstColumn="0" w:lastColumn="0" w:noHBand="0" w:noVBand="0"/>
      </w:tblPr>
      <w:tblGrid>
        <w:gridCol w:w="4516"/>
        <w:gridCol w:w="1822"/>
      </w:tblGrid>
      <w:tr w:rsidR="000B1774" w:rsidRPr="006644A8" w14:paraId="307D6D19" w14:textId="77777777" w:rsidTr="002420A7">
        <w:trPr>
          <w:trHeight w:val="255"/>
        </w:trPr>
        <w:tc>
          <w:tcPr>
            <w:tcW w:w="4516" w:type="dxa"/>
            <w:tcBorders>
              <w:top w:val="nil"/>
              <w:left w:val="nil"/>
              <w:bottom w:val="nil"/>
              <w:right w:val="nil"/>
            </w:tcBorders>
            <w:noWrap/>
            <w:tcMar>
              <w:top w:w="20" w:type="dxa"/>
              <w:left w:w="20" w:type="dxa"/>
              <w:bottom w:w="0" w:type="dxa"/>
              <w:right w:w="20" w:type="dxa"/>
            </w:tcMar>
            <w:vAlign w:val="bottom"/>
          </w:tcPr>
          <w:p w14:paraId="17424A41" w14:textId="77777777" w:rsidR="000B1774" w:rsidRPr="006644A8" w:rsidRDefault="000B1774" w:rsidP="00EC1B15">
            <w:pPr>
              <w:pStyle w:val="Bodytext"/>
              <w:keepNext/>
              <w:rPr>
                <w:rFonts w:eastAsia="Arial Unicode MS"/>
              </w:rPr>
            </w:pPr>
            <w:r w:rsidRPr="006644A8">
              <w:lastRenderedPageBreak/>
              <w:t>Number of projects</w:t>
            </w:r>
          </w:p>
        </w:tc>
        <w:tc>
          <w:tcPr>
            <w:tcW w:w="1822" w:type="dxa"/>
            <w:tcBorders>
              <w:top w:val="nil"/>
              <w:left w:val="nil"/>
              <w:bottom w:val="nil"/>
              <w:right w:val="nil"/>
            </w:tcBorders>
            <w:noWrap/>
            <w:tcMar>
              <w:top w:w="20" w:type="dxa"/>
              <w:left w:w="20" w:type="dxa"/>
              <w:bottom w:w="0" w:type="dxa"/>
              <w:right w:w="20" w:type="dxa"/>
            </w:tcMar>
            <w:vAlign w:val="bottom"/>
          </w:tcPr>
          <w:p w14:paraId="652751E3" w14:textId="3E1A8C6C" w:rsidR="000B1774" w:rsidRPr="006644A8" w:rsidRDefault="000B1774" w:rsidP="00EC1B15">
            <w:pPr>
              <w:pStyle w:val="Bodytext"/>
              <w:keepNext/>
              <w:jc w:val="right"/>
              <w:rPr>
                <w:rFonts w:eastAsia="Arial Unicode MS"/>
              </w:rPr>
            </w:pPr>
            <w:r w:rsidRPr="006644A8">
              <w:t>9</w:t>
            </w:r>
          </w:p>
        </w:tc>
      </w:tr>
      <w:tr w:rsidR="000B1774" w:rsidRPr="006644A8" w14:paraId="342FEF93" w14:textId="77777777" w:rsidTr="002420A7">
        <w:trPr>
          <w:trHeight w:val="255"/>
        </w:trPr>
        <w:tc>
          <w:tcPr>
            <w:tcW w:w="4516" w:type="dxa"/>
            <w:tcBorders>
              <w:top w:val="nil"/>
              <w:left w:val="nil"/>
              <w:bottom w:val="nil"/>
              <w:right w:val="nil"/>
            </w:tcBorders>
            <w:noWrap/>
            <w:tcMar>
              <w:top w:w="20" w:type="dxa"/>
              <w:left w:w="20" w:type="dxa"/>
              <w:bottom w:w="0" w:type="dxa"/>
              <w:right w:w="20" w:type="dxa"/>
            </w:tcMar>
            <w:vAlign w:val="bottom"/>
          </w:tcPr>
          <w:p w14:paraId="56CF26AE" w14:textId="1B89DE68" w:rsidR="00EA7FFB" w:rsidRPr="002420A7" w:rsidRDefault="000B1774" w:rsidP="00EC1B15">
            <w:pPr>
              <w:pStyle w:val="Bodytext"/>
              <w:keepNext/>
            </w:pPr>
            <w:r w:rsidRPr="006644A8">
              <w:t xml:space="preserve">Value of </w:t>
            </w:r>
            <w:r w:rsidR="00FB7099">
              <w:t xml:space="preserve">medical research </w:t>
            </w:r>
            <w:r w:rsidRPr="006644A8">
              <w:t xml:space="preserve">grants </w:t>
            </w:r>
            <w:r w:rsidR="00FB7099">
              <w:t>a</w:t>
            </w:r>
            <w:r w:rsidRPr="006644A8">
              <w:t>warded</w:t>
            </w:r>
            <w:r w:rsidR="00EA7FFB">
              <w:br/>
              <w:t>(see note</w:t>
            </w:r>
            <w:r w:rsidR="00AB1A53">
              <w:t xml:space="preserve"> 9 to the accounts)</w:t>
            </w:r>
          </w:p>
        </w:tc>
        <w:tc>
          <w:tcPr>
            <w:tcW w:w="1822" w:type="dxa"/>
            <w:tcBorders>
              <w:top w:val="nil"/>
              <w:left w:val="nil"/>
              <w:bottom w:val="nil"/>
              <w:right w:val="nil"/>
            </w:tcBorders>
            <w:noWrap/>
            <w:tcMar>
              <w:top w:w="20" w:type="dxa"/>
              <w:left w:w="20" w:type="dxa"/>
              <w:bottom w:w="0" w:type="dxa"/>
              <w:right w:w="20" w:type="dxa"/>
            </w:tcMar>
            <w:vAlign w:val="bottom"/>
          </w:tcPr>
          <w:p w14:paraId="640BCFCE" w14:textId="3CBF46BE" w:rsidR="000B1774" w:rsidRPr="006644A8" w:rsidRDefault="000B1774" w:rsidP="00EC1B15">
            <w:pPr>
              <w:pStyle w:val="Bodytext"/>
              <w:keepNext/>
              <w:jc w:val="right"/>
              <w:rPr>
                <w:rFonts w:eastAsia="Arial Unicode MS"/>
              </w:rPr>
            </w:pPr>
            <w:r w:rsidRPr="006644A8">
              <w:t>£</w:t>
            </w:r>
            <w:r w:rsidR="00EA7FFB">
              <w:t>913</w:t>
            </w:r>
            <w:r w:rsidRPr="006644A8">
              <w:t>,</w:t>
            </w:r>
            <w:r w:rsidR="00FB3FE0">
              <w:t>4</w:t>
            </w:r>
            <w:r w:rsidRPr="006644A8">
              <w:t>84</w:t>
            </w:r>
          </w:p>
        </w:tc>
      </w:tr>
      <w:tr w:rsidR="000B1774" w:rsidRPr="006644A8" w14:paraId="52534886" w14:textId="77777777" w:rsidTr="002420A7">
        <w:trPr>
          <w:trHeight w:val="255"/>
        </w:trPr>
        <w:tc>
          <w:tcPr>
            <w:tcW w:w="4516" w:type="dxa"/>
            <w:tcBorders>
              <w:top w:val="nil"/>
              <w:left w:val="nil"/>
              <w:bottom w:val="nil"/>
              <w:right w:val="nil"/>
            </w:tcBorders>
            <w:noWrap/>
            <w:tcMar>
              <w:top w:w="20" w:type="dxa"/>
              <w:left w:w="20" w:type="dxa"/>
              <w:bottom w:w="0" w:type="dxa"/>
              <w:right w:w="20" w:type="dxa"/>
            </w:tcMar>
            <w:vAlign w:val="bottom"/>
          </w:tcPr>
          <w:p w14:paraId="2E0696CC" w14:textId="77777777" w:rsidR="000B1774" w:rsidRPr="006644A8" w:rsidRDefault="000B1774" w:rsidP="00EC1B15">
            <w:pPr>
              <w:pStyle w:val="Bodytext"/>
              <w:keepNext/>
              <w:rPr>
                <w:rFonts w:eastAsia="Arial Unicode MS"/>
              </w:rPr>
            </w:pPr>
          </w:p>
        </w:tc>
        <w:tc>
          <w:tcPr>
            <w:tcW w:w="1822" w:type="dxa"/>
            <w:tcBorders>
              <w:top w:val="nil"/>
              <w:left w:val="nil"/>
              <w:bottom w:val="nil"/>
              <w:right w:val="nil"/>
            </w:tcBorders>
            <w:noWrap/>
            <w:tcMar>
              <w:top w:w="20" w:type="dxa"/>
              <w:left w:w="20" w:type="dxa"/>
              <w:bottom w:w="0" w:type="dxa"/>
              <w:right w:w="20" w:type="dxa"/>
            </w:tcMar>
            <w:vAlign w:val="bottom"/>
          </w:tcPr>
          <w:p w14:paraId="4DD3D305" w14:textId="77777777" w:rsidR="000B1774" w:rsidRPr="006644A8" w:rsidRDefault="000B1774" w:rsidP="00EC1B15">
            <w:pPr>
              <w:pStyle w:val="Bodytext"/>
              <w:keepNext/>
              <w:jc w:val="right"/>
              <w:rPr>
                <w:rFonts w:eastAsia="Arial Unicode MS"/>
              </w:rPr>
            </w:pPr>
          </w:p>
        </w:tc>
      </w:tr>
      <w:tr w:rsidR="000B1774" w:rsidRPr="006644A8" w14:paraId="0115A42D" w14:textId="77777777" w:rsidTr="002420A7">
        <w:trPr>
          <w:trHeight w:val="255"/>
        </w:trPr>
        <w:tc>
          <w:tcPr>
            <w:tcW w:w="4516" w:type="dxa"/>
            <w:tcBorders>
              <w:top w:val="nil"/>
              <w:left w:val="nil"/>
              <w:bottom w:val="nil"/>
              <w:right w:val="nil"/>
            </w:tcBorders>
            <w:noWrap/>
            <w:tcMar>
              <w:top w:w="20" w:type="dxa"/>
              <w:left w:w="20" w:type="dxa"/>
              <w:bottom w:w="0" w:type="dxa"/>
              <w:right w:w="20" w:type="dxa"/>
            </w:tcMar>
            <w:vAlign w:val="bottom"/>
          </w:tcPr>
          <w:p w14:paraId="6012111F" w14:textId="77777777" w:rsidR="000B1774" w:rsidRPr="006644A8" w:rsidRDefault="000B1774" w:rsidP="00EC1B15">
            <w:pPr>
              <w:pStyle w:val="Bodytext"/>
              <w:keepNext/>
              <w:rPr>
                <w:rFonts w:eastAsia="Arial Unicode MS"/>
              </w:rPr>
            </w:pPr>
            <w:r w:rsidRPr="006644A8">
              <w:t>Number of presentations</w:t>
            </w:r>
          </w:p>
        </w:tc>
        <w:tc>
          <w:tcPr>
            <w:tcW w:w="1822" w:type="dxa"/>
            <w:tcBorders>
              <w:top w:val="nil"/>
              <w:left w:val="nil"/>
              <w:bottom w:val="nil"/>
              <w:right w:val="nil"/>
            </w:tcBorders>
            <w:noWrap/>
            <w:tcMar>
              <w:top w:w="20" w:type="dxa"/>
              <w:left w:w="20" w:type="dxa"/>
              <w:bottom w:w="0" w:type="dxa"/>
              <w:right w:w="20" w:type="dxa"/>
            </w:tcMar>
            <w:vAlign w:val="bottom"/>
          </w:tcPr>
          <w:p w14:paraId="3027C74D" w14:textId="27F6AAED" w:rsidR="000B1774" w:rsidRPr="006644A8" w:rsidRDefault="000B1774" w:rsidP="00EC1B15">
            <w:pPr>
              <w:pStyle w:val="Bodytext"/>
              <w:keepNext/>
              <w:jc w:val="right"/>
              <w:rPr>
                <w:rFonts w:eastAsia="Arial Unicode MS"/>
              </w:rPr>
            </w:pPr>
            <w:r w:rsidRPr="006644A8">
              <w:t>27</w:t>
            </w:r>
          </w:p>
        </w:tc>
      </w:tr>
      <w:tr w:rsidR="000B1774" w:rsidRPr="006644A8" w14:paraId="4D47B455" w14:textId="77777777" w:rsidTr="002420A7">
        <w:trPr>
          <w:trHeight w:val="255"/>
        </w:trPr>
        <w:tc>
          <w:tcPr>
            <w:tcW w:w="4516" w:type="dxa"/>
            <w:tcBorders>
              <w:top w:val="nil"/>
              <w:left w:val="nil"/>
              <w:bottom w:val="nil"/>
              <w:right w:val="nil"/>
            </w:tcBorders>
            <w:noWrap/>
            <w:tcMar>
              <w:top w:w="20" w:type="dxa"/>
              <w:left w:w="20" w:type="dxa"/>
              <w:bottom w:w="0" w:type="dxa"/>
              <w:right w:w="20" w:type="dxa"/>
            </w:tcMar>
            <w:vAlign w:val="bottom"/>
          </w:tcPr>
          <w:p w14:paraId="36480599" w14:textId="77777777" w:rsidR="000B1774" w:rsidRPr="006644A8" w:rsidRDefault="000B1774" w:rsidP="00EC1B15">
            <w:pPr>
              <w:pStyle w:val="Bodytext"/>
              <w:keepNext/>
              <w:rPr>
                <w:rFonts w:eastAsia="Arial Unicode MS"/>
              </w:rPr>
            </w:pPr>
            <w:r w:rsidRPr="006644A8">
              <w:t>Number of publications</w:t>
            </w:r>
          </w:p>
        </w:tc>
        <w:tc>
          <w:tcPr>
            <w:tcW w:w="1822" w:type="dxa"/>
            <w:tcBorders>
              <w:top w:val="nil"/>
              <w:left w:val="nil"/>
              <w:bottom w:val="nil"/>
              <w:right w:val="nil"/>
            </w:tcBorders>
            <w:noWrap/>
            <w:tcMar>
              <w:top w:w="20" w:type="dxa"/>
              <w:left w:w="20" w:type="dxa"/>
              <w:bottom w:w="0" w:type="dxa"/>
              <w:right w:w="20" w:type="dxa"/>
            </w:tcMar>
            <w:vAlign w:val="bottom"/>
          </w:tcPr>
          <w:p w14:paraId="040BA1B8" w14:textId="3D08185F" w:rsidR="000B1774" w:rsidRPr="006644A8" w:rsidRDefault="000B1774" w:rsidP="00EC1B15">
            <w:pPr>
              <w:pStyle w:val="Bodytext"/>
              <w:keepNext/>
              <w:jc w:val="right"/>
              <w:rPr>
                <w:rFonts w:eastAsia="Arial Unicode MS"/>
              </w:rPr>
            </w:pPr>
            <w:r w:rsidRPr="006644A8">
              <w:t>12</w:t>
            </w:r>
          </w:p>
        </w:tc>
      </w:tr>
      <w:tr w:rsidR="000B1774" w:rsidRPr="006644A8" w14:paraId="2A2373A6" w14:textId="77777777" w:rsidTr="002420A7">
        <w:trPr>
          <w:trHeight w:val="255"/>
        </w:trPr>
        <w:tc>
          <w:tcPr>
            <w:tcW w:w="4516" w:type="dxa"/>
            <w:tcBorders>
              <w:top w:val="nil"/>
              <w:left w:val="nil"/>
              <w:bottom w:val="nil"/>
              <w:right w:val="nil"/>
            </w:tcBorders>
            <w:noWrap/>
            <w:tcMar>
              <w:top w:w="20" w:type="dxa"/>
              <w:left w:w="20" w:type="dxa"/>
              <w:bottom w:w="0" w:type="dxa"/>
              <w:right w:w="20" w:type="dxa"/>
            </w:tcMar>
            <w:vAlign w:val="bottom"/>
          </w:tcPr>
          <w:p w14:paraId="52DE0C53" w14:textId="77777777" w:rsidR="000B1774" w:rsidRPr="006644A8" w:rsidRDefault="000B1774" w:rsidP="00EC1B15">
            <w:pPr>
              <w:pStyle w:val="Bodytext"/>
              <w:keepNext/>
              <w:rPr>
                <w:rFonts w:eastAsia="Arial Unicode MS"/>
              </w:rPr>
            </w:pPr>
            <w:r w:rsidRPr="006644A8">
              <w:t>Value of further research funding generated</w:t>
            </w:r>
            <w:r>
              <w:t xml:space="preserve"> as a result of our grants</w:t>
            </w:r>
          </w:p>
        </w:tc>
        <w:tc>
          <w:tcPr>
            <w:tcW w:w="1822" w:type="dxa"/>
            <w:tcBorders>
              <w:top w:val="nil"/>
              <w:left w:val="nil"/>
              <w:bottom w:val="nil"/>
              <w:right w:val="nil"/>
            </w:tcBorders>
            <w:noWrap/>
            <w:tcMar>
              <w:top w:w="20" w:type="dxa"/>
              <w:left w:w="20" w:type="dxa"/>
              <w:bottom w:w="0" w:type="dxa"/>
              <w:right w:w="20" w:type="dxa"/>
            </w:tcMar>
            <w:vAlign w:val="bottom"/>
          </w:tcPr>
          <w:p w14:paraId="2B8BB820" w14:textId="7A9BB8EB" w:rsidR="000B1774" w:rsidRPr="006644A8" w:rsidRDefault="00AB1A53" w:rsidP="00EC1B15">
            <w:pPr>
              <w:pStyle w:val="Bodytext"/>
              <w:keepNext/>
              <w:jc w:val="right"/>
              <w:rPr>
                <w:rFonts w:eastAsia="Arial Unicode MS"/>
              </w:rPr>
            </w:pPr>
            <w:r>
              <w:t>£</w:t>
            </w:r>
            <w:r w:rsidR="000B1774" w:rsidRPr="006644A8">
              <w:t>3,159,000</w:t>
            </w:r>
          </w:p>
        </w:tc>
      </w:tr>
    </w:tbl>
    <w:p w14:paraId="2D1880D8" w14:textId="4C6F3702" w:rsidR="000B1774" w:rsidRPr="009E7806" w:rsidRDefault="000B1774" w:rsidP="00911C3E">
      <w:pPr>
        <w:pStyle w:val="Heading2"/>
        <w:keepNext w:val="0"/>
        <w:keepLines w:val="0"/>
      </w:pPr>
      <w:r w:rsidRPr="009E7806">
        <w:t>Our fundraising practices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3"/>
      </w:tblGrid>
      <w:tr w:rsidR="000B1774" w:rsidRPr="006644A8" w14:paraId="20B8BFA6" w14:textId="77777777" w:rsidTr="00EC1B15">
        <w:tc>
          <w:tcPr>
            <w:tcW w:w="9170" w:type="dxa"/>
            <w:shd w:val="clear" w:color="auto" w:fill="auto"/>
          </w:tcPr>
          <w:p w14:paraId="2013BAA2" w14:textId="115AF95F" w:rsidR="000B1774" w:rsidRDefault="000B1774" w:rsidP="00911C3E">
            <w:pPr>
              <w:pStyle w:val="Bodytext"/>
            </w:pPr>
            <w:r>
              <w:t>Since 1 November 2016</w:t>
            </w:r>
            <w:r w:rsidRPr="00460F0F">
              <w:t xml:space="preserve">, </w:t>
            </w:r>
            <w:r w:rsidRPr="00950A26">
              <w:t>auditable charities in England and Wales</w:t>
            </w:r>
            <w:r w:rsidRPr="00460F0F">
              <w:t xml:space="preserve"> </w:t>
            </w:r>
            <w:r w:rsidRPr="00AD4BD0">
              <w:t>need to include ad</w:t>
            </w:r>
            <w:r>
              <w:t>ditional information in their annual report about their fundraising practices</w:t>
            </w:r>
            <w:r w:rsidR="00C676ED">
              <w:rPr>
                <w:rStyle w:val="FootnoteReference"/>
              </w:rPr>
              <w:footnoteReference w:id="13"/>
            </w:r>
            <w:r w:rsidR="002E1A08">
              <w:t xml:space="preserve">. </w:t>
            </w:r>
            <w:r w:rsidR="002E1A08" w:rsidRPr="002420A7">
              <w:rPr>
                <w:b/>
                <w:bCs/>
                <w:i/>
                <w:iCs/>
              </w:rPr>
              <w:t>The</w:t>
            </w:r>
            <w:r w:rsidR="009F7BD2" w:rsidRPr="002420A7">
              <w:rPr>
                <w:b/>
                <w:bCs/>
                <w:i/>
                <w:iCs/>
              </w:rPr>
              <w:t xml:space="preserve"> Fundraising Regulator has updated their guidance on those reporting requirements</w:t>
            </w:r>
            <w:r w:rsidR="00C676ED" w:rsidRPr="00950A26">
              <w:rPr>
                <w:rStyle w:val="FootnoteReference"/>
              </w:rPr>
              <w:footnoteReference w:id="14"/>
            </w:r>
            <w:r>
              <w:t xml:space="preserve">. The reporting requirements are </w:t>
            </w:r>
            <w:r w:rsidR="009F7BD2">
              <w:t xml:space="preserve">also </w:t>
            </w:r>
            <w:r>
              <w:t xml:space="preserve">set out in </w:t>
            </w:r>
            <w:r w:rsidRPr="00D408DC">
              <w:t>section 7.9 of CC15d</w:t>
            </w:r>
            <w:r w:rsidRPr="00D408DC">
              <w:rPr>
                <w:rStyle w:val="FootnoteReference"/>
              </w:rPr>
              <w:footnoteReference w:id="15"/>
            </w:r>
            <w:r w:rsidRPr="00D408DC">
              <w:t xml:space="preserve"> and section 9 of CC20</w:t>
            </w:r>
            <w:r w:rsidRPr="00A04572">
              <w:rPr>
                <w:rStyle w:val="FootnoteReference"/>
                <w:rFonts w:cstheme="minorHAnsi"/>
                <w:szCs w:val="22"/>
              </w:rPr>
              <w:footnoteReference w:id="16"/>
            </w:r>
            <w:r w:rsidRPr="00D408DC">
              <w:t>.</w:t>
            </w:r>
            <w:r w:rsidRPr="00666653">
              <w:t xml:space="preserve"> Larger charities are</w:t>
            </w:r>
            <w:r>
              <w:t xml:space="preserve"> required to disclose:</w:t>
            </w:r>
          </w:p>
          <w:p w14:paraId="2FEB9C5D" w14:textId="77777777" w:rsidR="000B1774" w:rsidRPr="009E7806" w:rsidRDefault="000B1774" w:rsidP="00911C3E">
            <w:pPr>
              <w:pStyle w:val="Bullet"/>
            </w:pPr>
            <w:r w:rsidRPr="009E7806">
              <w:t>the fundraising approach taken by the charity, or by anyone acting on its behalf, and whether a professional fundraiser or commercial participator carried out any fundraising activities</w:t>
            </w:r>
          </w:p>
          <w:p w14:paraId="7CDA6882" w14:textId="77777777" w:rsidR="000B1774" w:rsidRPr="009E7806" w:rsidRDefault="000B1774" w:rsidP="00911C3E">
            <w:pPr>
              <w:pStyle w:val="Bullet"/>
            </w:pPr>
            <w:r w:rsidRPr="009E7806">
              <w:t>details of any fundraising standards or scheme for fundraising regulation that the charity has voluntarily subscribed to</w:t>
            </w:r>
          </w:p>
          <w:p w14:paraId="61E8436D" w14:textId="77777777" w:rsidR="000B1774" w:rsidRPr="009E7806" w:rsidRDefault="000B1774" w:rsidP="00911C3E">
            <w:pPr>
              <w:pStyle w:val="Bullet"/>
            </w:pPr>
            <w:r w:rsidRPr="009E7806">
              <w:t>details of any fundraising standards or scheme for fundraising regulation that any person acting on behalf of the charity has voluntarily subscribed to</w:t>
            </w:r>
          </w:p>
          <w:p w14:paraId="266FA4B6" w14:textId="77777777" w:rsidR="000B1774" w:rsidRPr="009E7806" w:rsidRDefault="000B1774" w:rsidP="00911C3E">
            <w:pPr>
              <w:pStyle w:val="Bullet"/>
            </w:pPr>
            <w:r w:rsidRPr="009E7806">
              <w:t>details of any failure by the charity, or by any person acting on its behalf, to comply with fundraising standards or scheme for fundraising regulation that the charity or the person acting on its behalf has voluntarily subscribed to</w:t>
            </w:r>
          </w:p>
          <w:p w14:paraId="240E941D" w14:textId="3C1705DA" w:rsidR="000B1774" w:rsidRPr="009E7806" w:rsidRDefault="000B1774" w:rsidP="00911C3E">
            <w:pPr>
              <w:pStyle w:val="Bullet"/>
            </w:pPr>
            <w:r w:rsidRPr="009E7806">
              <w:t>whether the charity monitored the fundraising activities of any person acting on its behalf and, if so, how it did so</w:t>
            </w:r>
            <w:r w:rsidR="007D5249">
              <w:t>. This includes third party fundraisers, commercial partners and volunteers</w:t>
            </w:r>
          </w:p>
          <w:p w14:paraId="5E54E6A3" w14:textId="77777777" w:rsidR="000B1774" w:rsidRPr="009E7806" w:rsidRDefault="000B1774" w:rsidP="00911C3E">
            <w:pPr>
              <w:pStyle w:val="Bullet"/>
            </w:pPr>
            <w:r w:rsidRPr="009E7806">
              <w:t>the number of complaints received by the charity, or by a person acting on its behalf for the purposes of fundraising, about fundraising activity</w:t>
            </w:r>
          </w:p>
          <w:p w14:paraId="232286C3" w14:textId="6A1D60A4" w:rsidR="003F2415" w:rsidRDefault="000B1774" w:rsidP="00911C3E">
            <w:pPr>
              <w:pStyle w:val="Bullet"/>
            </w:pPr>
            <w:r w:rsidRPr="009E7806">
              <w:t xml:space="preserve">what the charity has done to protect vulnerable people and other members of the public from behaviour which: </w:t>
            </w:r>
          </w:p>
          <w:p w14:paraId="7A20EDB4" w14:textId="4DD5EE44" w:rsidR="000B1774" w:rsidRPr="009E7806" w:rsidRDefault="000B1774" w:rsidP="002420A7">
            <w:pPr>
              <w:pStyle w:val="Bullet2ndlevel"/>
            </w:pPr>
            <w:r w:rsidRPr="009E7806">
              <w:t>is an unreasonable intrusion on a person’s privacy</w:t>
            </w:r>
          </w:p>
          <w:p w14:paraId="5C4C0135" w14:textId="77777777" w:rsidR="000B1774" w:rsidRPr="009E7806" w:rsidRDefault="000B1774" w:rsidP="002420A7">
            <w:pPr>
              <w:pStyle w:val="Bullet2ndlevel"/>
            </w:pPr>
            <w:r w:rsidRPr="009E7806">
              <w:t>is unreasonably persistent</w:t>
            </w:r>
          </w:p>
          <w:p w14:paraId="6AD740F8" w14:textId="77777777" w:rsidR="000B1774" w:rsidRPr="009E7806" w:rsidRDefault="000B1774" w:rsidP="002420A7">
            <w:pPr>
              <w:pStyle w:val="Bullet2ndlevel"/>
            </w:pPr>
            <w:r w:rsidRPr="009E7806">
              <w:t>places undue pressure on a person to give money or other property.</w:t>
            </w:r>
          </w:p>
          <w:p w14:paraId="44F5B1F4" w14:textId="23BF6CF3" w:rsidR="000B1774" w:rsidRPr="006644A8" w:rsidRDefault="000B1774" w:rsidP="002420A7">
            <w:pPr>
              <w:pStyle w:val="Bodytext"/>
            </w:pPr>
            <w:r>
              <w:t xml:space="preserve">These reporting requirements are met in paragraphs </w:t>
            </w:r>
            <w:r>
              <w:fldChar w:fldCharType="begin"/>
            </w:r>
            <w:r>
              <w:instrText xml:space="preserve"> REF _Ref495636938 \r \h </w:instrText>
            </w:r>
            <w:r>
              <w:fldChar w:fldCharType="separate"/>
            </w:r>
            <w:r w:rsidR="00E6322B">
              <w:t>42</w:t>
            </w:r>
            <w:r>
              <w:fldChar w:fldCharType="end"/>
            </w:r>
            <w:r>
              <w:t xml:space="preserve"> to </w:t>
            </w:r>
            <w:r>
              <w:fldChar w:fldCharType="begin"/>
            </w:r>
            <w:r>
              <w:instrText xml:space="preserve"> REF _Ref494465522 \r \h  \* MERGEFORMAT </w:instrText>
            </w:r>
            <w:r>
              <w:fldChar w:fldCharType="separate"/>
            </w:r>
            <w:r w:rsidR="00E6322B">
              <w:t>45</w:t>
            </w:r>
            <w:r>
              <w:fldChar w:fldCharType="end"/>
            </w:r>
            <w:r>
              <w:t>.</w:t>
            </w:r>
          </w:p>
        </w:tc>
      </w:tr>
    </w:tbl>
    <w:p w14:paraId="6A9D0D42" w14:textId="77777777" w:rsidR="000B1774" w:rsidRPr="005E47B8" w:rsidRDefault="000B1774" w:rsidP="000B1774">
      <w:pPr>
        <w:pStyle w:val="Bodytext"/>
        <w:rPr>
          <w:rFonts w:cs="Arial"/>
          <w:sz w:val="18"/>
        </w:rPr>
      </w:pPr>
    </w:p>
    <w:p w14:paraId="26128188" w14:textId="1A154ABA" w:rsidR="000B1774" w:rsidRPr="00930853" w:rsidRDefault="000B1774" w:rsidP="000B1774">
      <w:pPr>
        <w:pStyle w:val="Bodytext"/>
        <w:numPr>
          <w:ilvl w:val="0"/>
          <w:numId w:val="38"/>
        </w:numPr>
        <w:rPr>
          <w:b/>
          <w:bCs/>
          <w:i/>
          <w:iCs/>
        </w:rPr>
      </w:pPr>
      <w:bookmarkStart w:id="21" w:name="_Ref495636938"/>
      <w:bookmarkStart w:id="22" w:name="_Ref67405158"/>
      <w:r w:rsidRPr="006644A8">
        <w:t xml:space="preserve">Members of </w:t>
      </w:r>
      <w:r>
        <w:t>HHFT</w:t>
      </w:r>
      <w:r w:rsidRPr="006644A8">
        <w:t>’s fundraising department organise fundraising events and co-</w:t>
      </w:r>
      <w:r w:rsidRPr="00930853">
        <w:t>ordinate the activities of our supporters both in the hospital and in the wider community on behalf of OtM. OtM does not use professional fundraisers or involve commercial participators. There have been no complaints about fundraising activity this year.</w:t>
      </w:r>
      <w:bookmarkEnd w:id="21"/>
      <w:r w:rsidRPr="00930853">
        <w:t xml:space="preserve"> </w:t>
      </w:r>
      <w:bookmarkEnd w:id="22"/>
    </w:p>
    <w:tbl>
      <w:tblPr>
        <w:tblStyle w:val="TableGrid"/>
        <w:tblW w:w="5000" w:type="pct"/>
        <w:tblLook w:val="04A0" w:firstRow="1" w:lastRow="0" w:firstColumn="1" w:lastColumn="0" w:noHBand="0" w:noVBand="1"/>
      </w:tblPr>
      <w:tblGrid>
        <w:gridCol w:w="7123"/>
      </w:tblGrid>
      <w:tr w:rsidR="000B1774" w:rsidRPr="00930853" w14:paraId="1340A2AE" w14:textId="77777777" w:rsidTr="00EC1B15">
        <w:tc>
          <w:tcPr>
            <w:tcW w:w="5000" w:type="pct"/>
          </w:tcPr>
          <w:p w14:paraId="2F000F1B" w14:textId="77777777" w:rsidR="000B1774" w:rsidRPr="00930853" w:rsidRDefault="000B1774" w:rsidP="00EC1B15">
            <w:pPr>
              <w:pStyle w:val="Bodytext"/>
            </w:pPr>
            <w:r w:rsidRPr="00930853">
              <w:t>The Fundraising Regulator publishes the Code of Fundraising Practice</w:t>
            </w:r>
            <w:r w:rsidRPr="00930853">
              <w:rPr>
                <w:rStyle w:val="FootnoteReference"/>
              </w:rPr>
              <w:footnoteReference w:id="17"/>
            </w:r>
            <w:r w:rsidRPr="00930853">
              <w:t xml:space="preserve"> that sets the standards that apply to fundraising carried out by all charities and third-party fundraisers in the UK.</w:t>
            </w:r>
          </w:p>
          <w:p w14:paraId="30504A56" w14:textId="77777777" w:rsidR="000B1774" w:rsidRPr="00930853" w:rsidRDefault="000B1774" w:rsidP="00EC1B15">
            <w:pPr>
              <w:pStyle w:val="Bodytext"/>
            </w:pPr>
            <w:r w:rsidRPr="00930853">
              <w:t>The Fundraising Regulator is the independent regulator of charitable fundraising in England, Wales and Northern Ireland. In Scotland, the Scottish Fundraising Standards Panel is the regulator.</w:t>
            </w:r>
          </w:p>
        </w:tc>
      </w:tr>
    </w:tbl>
    <w:p w14:paraId="31ADB418" w14:textId="77777777" w:rsidR="000B1774" w:rsidRPr="00930853" w:rsidRDefault="000B1774" w:rsidP="000B1774">
      <w:pPr>
        <w:pStyle w:val="Bodytext"/>
        <w:ind w:left="360"/>
        <w:rPr>
          <w:sz w:val="18"/>
        </w:rPr>
      </w:pPr>
    </w:p>
    <w:p w14:paraId="0C70E77A" w14:textId="53875D67" w:rsidR="00DF7F09" w:rsidRPr="002420A7" w:rsidRDefault="000B1774" w:rsidP="000B1774">
      <w:pPr>
        <w:pStyle w:val="Bodytext"/>
        <w:numPr>
          <w:ilvl w:val="0"/>
          <w:numId w:val="38"/>
        </w:numPr>
        <w:rPr>
          <w:b/>
          <w:bCs/>
          <w:i/>
          <w:iCs/>
        </w:rPr>
      </w:pPr>
      <w:r w:rsidRPr="00930853">
        <w:lastRenderedPageBreak/>
        <w:t xml:space="preserve">The fundraising department has signed up to the Fundraising Regulator’s Code of Fundraising Practice. </w:t>
      </w:r>
      <w:r w:rsidR="00140F69" w:rsidRPr="00930853">
        <w:t xml:space="preserve">All </w:t>
      </w:r>
      <w:r w:rsidRPr="00930853">
        <w:t>fundraising guidance and working practices are compliant</w:t>
      </w:r>
      <w:r w:rsidR="00DF7F09">
        <w:t xml:space="preserve"> with that code</w:t>
      </w:r>
      <w:r w:rsidRPr="00930853">
        <w:t xml:space="preserve">. </w:t>
      </w:r>
    </w:p>
    <w:p w14:paraId="6FE2D01D" w14:textId="4BBA315B" w:rsidR="000B1774" w:rsidRPr="00930853" w:rsidRDefault="004D6CE6" w:rsidP="000B1774">
      <w:pPr>
        <w:pStyle w:val="Bodytext"/>
        <w:numPr>
          <w:ilvl w:val="0"/>
          <w:numId w:val="38"/>
        </w:numPr>
        <w:rPr>
          <w:b/>
          <w:bCs/>
          <w:i/>
          <w:iCs/>
        </w:rPr>
      </w:pPr>
      <w:r>
        <w:t>OtM has a team of about 50 local volunteers that run</w:t>
      </w:r>
      <w:r w:rsidR="00546E90">
        <w:t>s</w:t>
      </w:r>
      <w:r>
        <w:t xml:space="preserve"> fundraising events (see</w:t>
      </w:r>
      <w:r w:rsidR="008F58E7">
        <w:t xml:space="preserve"> </w:t>
      </w:r>
      <w:r w:rsidR="00847946">
        <w:t xml:space="preserve">note 6 to the accounts). The fundraising </w:t>
      </w:r>
      <w:r w:rsidR="00883E30">
        <w:t xml:space="preserve">team is responsible for </w:t>
      </w:r>
      <w:r w:rsidR="00847946">
        <w:t>co-ordinat</w:t>
      </w:r>
      <w:r w:rsidR="00883E30">
        <w:t>ing the volunteers’ activities and Su</w:t>
      </w:r>
      <w:r w:rsidR="00A74408">
        <w:t>sie</w:t>
      </w:r>
      <w:r w:rsidR="00883E30">
        <w:t xml:space="preserve"> MacGregor, </w:t>
      </w:r>
      <w:r w:rsidR="00A74408">
        <w:t>our fundraising manager, is responsible for</w:t>
      </w:r>
      <w:r w:rsidR="009219B3">
        <w:t xml:space="preserve"> monitoring their activities against the requirements of the code. </w:t>
      </w:r>
      <w:r w:rsidR="000B1774" w:rsidRPr="00930853">
        <w:t xml:space="preserve">Volunteer fundraisers are given a briefing before they raise funds for OtM and also be given annual updates/ reminders. </w:t>
      </w:r>
      <w:r w:rsidR="00AD6C6E">
        <w:t xml:space="preserve">A member of the </w:t>
      </w:r>
      <w:r w:rsidR="00CD06B0">
        <w:t>fundraising</w:t>
      </w:r>
      <w:r w:rsidR="00AD6C6E">
        <w:t xml:space="preserve"> team will attend most events to ensure that t</w:t>
      </w:r>
      <w:r w:rsidR="00CD06B0">
        <w:t xml:space="preserve">hat they are being appropriately run. </w:t>
      </w:r>
    </w:p>
    <w:p w14:paraId="6B56C8BE" w14:textId="47B1D977" w:rsidR="000B1774" w:rsidRPr="00930853" w:rsidRDefault="000B1774" w:rsidP="000B1774">
      <w:pPr>
        <w:pStyle w:val="Bodytext"/>
        <w:numPr>
          <w:ilvl w:val="0"/>
          <w:numId w:val="38"/>
        </w:numPr>
      </w:pPr>
      <w:bookmarkStart w:id="23" w:name="_Ref494465522"/>
      <w:r w:rsidRPr="00930853">
        <w:t xml:space="preserve">All direct marketing is undertaken by the fundraising department to ensure that it is not unreasonably intrusive or persistent. Contact is made through direct marketing a maximum of three times a year but usually </w:t>
      </w:r>
      <w:r w:rsidR="00055DC9">
        <w:t xml:space="preserve">only </w:t>
      </w:r>
      <w:r w:rsidRPr="00930853">
        <w:t>annually. All marketing material contains clear instructions on how a person can be removed from mailing lists.</w:t>
      </w:r>
      <w:bookmarkEnd w:id="23"/>
    </w:p>
    <w:p w14:paraId="7B60038D" w14:textId="77777777" w:rsidR="000B1774" w:rsidRPr="00930853" w:rsidRDefault="000B1774" w:rsidP="000B1774">
      <w:pPr>
        <w:pStyle w:val="Heading2"/>
      </w:pPr>
      <w:r w:rsidRPr="00930853">
        <w:t>Our fundraising performance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3"/>
      </w:tblGrid>
      <w:tr w:rsidR="000B1774" w:rsidRPr="00930853" w14:paraId="314F52AD" w14:textId="77777777" w:rsidTr="00EC1B15">
        <w:tc>
          <w:tcPr>
            <w:tcW w:w="9396" w:type="dxa"/>
            <w:shd w:val="clear" w:color="auto" w:fill="auto"/>
          </w:tcPr>
          <w:p w14:paraId="2D753308" w14:textId="77777777" w:rsidR="000B1774" w:rsidRPr="00930853" w:rsidRDefault="000B1774" w:rsidP="00EC1B15">
            <w:pPr>
              <w:pStyle w:val="Bodytext"/>
            </w:pPr>
            <w:r w:rsidRPr="00930853">
              <w:t>This section meets the third of the requirements set out in paragraph 1.41 of the SORP FRS 102.</w:t>
            </w:r>
          </w:p>
          <w:p w14:paraId="043388A9" w14:textId="77777777" w:rsidR="000B1774" w:rsidRPr="00930853" w:rsidRDefault="000B1774" w:rsidP="00EC1B15">
            <w:pPr>
              <w:pStyle w:val="Bodytext"/>
            </w:pPr>
            <w:r w:rsidRPr="00930853">
              <w:t>Paragraph 1.46 of the SORP FRS 102 requires that larger charities explain:</w:t>
            </w:r>
          </w:p>
          <w:p w14:paraId="480E6B33" w14:textId="42704395" w:rsidR="000B1774" w:rsidRPr="00930853" w:rsidRDefault="000B1774" w:rsidP="002F1C22">
            <w:pPr>
              <w:pStyle w:val="Bullet"/>
            </w:pPr>
            <w:r w:rsidRPr="00930853">
              <w:t xml:space="preserve">the financial effect of significant events (met in the sections above starting paragraph </w:t>
            </w:r>
            <w:r w:rsidRPr="007C08A4">
              <w:fldChar w:fldCharType="begin"/>
            </w:r>
            <w:r w:rsidRPr="00930853">
              <w:instrText xml:space="preserve"> REF _Ref431822460 \r \h  \* MERGEFORMAT </w:instrText>
            </w:r>
            <w:r w:rsidRPr="007C08A4">
              <w:fldChar w:fldCharType="separate"/>
            </w:r>
            <w:r w:rsidR="00E6322B">
              <w:t>26</w:t>
            </w:r>
            <w:r w:rsidRPr="007C08A4">
              <w:fldChar w:fldCharType="end"/>
            </w:r>
            <w:r w:rsidRPr="00930853">
              <w:t xml:space="preserve"> of the annual report)</w:t>
            </w:r>
          </w:p>
          <w:p w14:paraId="6C335905" w14:textId="36FE3562" w:rsidR="000B1774" w:rsidRPr="00930853" w:rsidRDefault="000B1774" w:rsidP="002F1C22">
            <w:pPr>
              <w:pStyle w:val="Bullet"/>
            </w:pPr>
            <w:r w:rsidRPr="00930853">
              <w:t xml:space="preserve">where the charity holds material financial investments, the investment policy and objectives set (met in the sections above starting paragraph </w:t>
            </w:r>
            <w:r w:rsidRPr="001013F7">
              <w:fldChar w:fldCharType="begin"/>
            </w:r>
            <w:r w:rsidRPr="00930853">
              <w:instrText xml:space="preserve"> REF _Ref431822460 \r \h  \* MERGEFORMAT </w:instrText>
            </w:r>
            <w:r w:rsidRPr="001013F7">
              <w:fldChar w:fldCharType="separate"/>
            </w:r>
            <w:r w:rsidR="00E6322B">
              <w:t>26</w:t>
            </w:r>
            <w:r w:rsidRPr="001013F7">
              <w:fldChar w:fldCharType="end"/>
            </w:r>
            <w:r w:rsidRPr="00930853">
              <w:t xml:space="preserve"> of the annual report)</w:t>
            </w:r>
            <w:r w:rsidR="0005053B">
              <w:t>.</w:t>
            </w:r>
            <w:r w:rsidRPr="00930853">
              <w:t xml:space="preserve"> </w:t>
            </w:r>
          </w:p>
          <w:p w14:paraId="08EAF853" w14:textId="6F8C29F6" w:rsidR="000B1774" w:rsidRPr="00930853" w:rsidRDefault="000B1774" w:rsidP="0042205B">
            <w:pPr>
              <w:pStyle w:val="Bullet"/>
            </w:pPr>
            <w:r w:rsidRPr="00930853">
              <w:t xml:space="preserve">a description of the principal risks and uncertainties facing the charity and its subsidiary undertakings, as identified by the charity trustees, together with a summary of their plans and strategies for managing those risks (met in paragraphs </w:t>
            </w:r>
            <w:r w:rsidR="00D94B02">
              <w:t>83</w:t>
            </w:r>
            <w:r w:rsidRPr="00930853">
              <w:t xml:space="preserve"> to </w:t>
            </w:r>
            <w:r w:rsidRPr="001013F7">
              <w:fldChar w:fldCharType="begin"/>
            </w:r>
            <w:r w:rsidRPr="00930853">
              <w:instrText xml:space="preserve"> REF _Ref523313366 \r \h  \* MERGEFORMAT </w:instrText>
            </w:r>
            <w:r w:rsidRPr="001013F7">
              <w:fldChar w:fldCharType="separate"/>
            </w:r>
            <w:r w:rsidR="00E6322B">
              <w:t>84</w:t>
            </w:r>
            <w:r w:rsidRPr="001013F7">
              <w:fldChar w:fldCharType="end"/>
            </w:r>
            <w:r w:rsidRPr="00930853">
              <w:t xml:space="preserve"> of the annual report). The guidance on the implications of Covid-19 suggests that charities should consider how the principal risks and uncertainties facing the charity have been impacted by the financial and operational effects of the virus control measures</w:t>
            </w:r>
          </w:p>
          <w:p w14:paraId="39454405" w14:textId="0964EC88" w:rsidR="000B1774" w:rsidRPr="00930853" w:rsidRDefault="000B1774" w:rsidP="002F1C22">
            <w:pPr>
              <w:pStyle w:val="Bullet"/>
            </w:pPr>
            <w:r w:rsidRPr="00930853">
              <w:t xml:space="preserve">any factors that are likely to affect the financial performance or position going forward (met in the sections above starting at paragraph </w:t>
            </w:r>
            <w:r w:rsidRPr="001013F7">
              <w:fldChar w:fldCharType="begin"/>
            </w:r>
            <w:r w:rsidRPr="00930853">
              <w:instrText xml:space="preserve"> REF _Ref431822460 \r \h  \* MERGEFORMAT </w:instrText>
            </w:r>
            <w:r w:rsidRPr="001013F7">
              <w:fldChar w:fldCharType="separate"/>
            </w:r>
            <w:r w:rsidR="00E6322B">
              <w:t>26</w:t>
            </w:r>
            <w:r w:rsidRPr="001013F7">
              <w:fldChar w:fldCharType="end"/>
            </w:r>
            <w:r w:rsidRPr="00930853">
              <w:t xml:space="preserve"> of the annual report). </w:t>
            </w:r>
          </w:p>
        </w:tc>
      </w:tr>
    </w:tbl>
    <w:p w14:paraId="4B238F0A" w14:textId="77777777" w:rsidR="000B1774" w:rsidRPr="00930853" w:rsidRDefault="000B1774" w:rsidP="000B1774">
      <w:pPr>
        <w:pStyle w:val="Bodytext"/>
        <w:rPr>
          <w:rFonts w:cs="Arial"/>
          <w:sz w:val="18"/>
        </w:rPr>
      </w:pPr>
    </w:p>
    <w:p w14:paraId="2E334475" w14:textId="3EF00C0D" w:rsidR="000B1774" w:rsidRPr="00A71597" w:rsidRDefault="000B1774" w:rsidP="000B1774">
      <w:pPr>
        <w:pStyle w:val="Bodytext"/>
        <w:numPr>
          <w:ilvl w:val="0"/>
          <w:numId w:val="38"/>
        </w:numPr>
      </w:pPr>
      <w:bookmarkStart w:id="24" w:name="_Ref495636678"/>
      <w:r w:rsidRPr="00930853">
        <w:t xml:space="preserve">During the year the total donations, legacies and income from fundraising (shown as other trading activities in the </w:t>
      </w:r>
      <w:r w:rsidR="006A5010">
        <w:t>s</w:t>
      </w:r>
      <w:r w:rsidRPr="00930853">
        <w:t xml:space="preserve">tatement of </w:t>
      </w:r>
      <w:r w:rsidR="006A5010">
        <w:t>f</w:t>
      </w:r>
      <w:r w:rsidRPr="00930853">
        <w:t xml:space="preserve">inancial </w:t>
      </w:r>
      <w:r w:rsidR="006A5010">
        <w:t>a</w:t>
      </w:r>
      <w:r w:rsidRPr="00930853">
        <w:t>ctivities) came to £2,</w:t>
      </w:r>
      <w:r w:rsidR="00982F48" w:rsidRPr="00930853">
        <w:t>3</w:t>
      </w:r>
      <w:r w:rsidR="00434F14">
        <w:t>6</w:t>
      </w:r>
      <w:r w:rsidRPr="00930853">
        <w:t>2,000</w:t>
      </w:r>
      <w:r w:rsidRPr="00930853">
        <w:rPr>
          <w:rStyle w:val="FootnoteReference"/>
          <w:rFonts w:cstheme="minorHAnsi"/>
          <w:szCs w:val="22"/>
        </w:rPr>
        <w:footnoteReference w:id="18"/>
      </w:r>
      <w:r w:rsidRPr="00930853">
        <w:t xml:space="preserve"> against a </w:t>
      </w:r>
      <w:r w:rsidR="00C37C09">
        <w:t xml:space="preserve">target </w:t>
      </w:r>
      <w:r w:rsidRPr="00930853">
        <w:t>of £</w:t>
      </w:r>
      <w:r w:rsidR="005132B1" w:rsidRPr="00930853">
        <w:t>2</w:t>
      </w:r>
      <w:r w:rsidRPr="00930853">
        <w:t>,</w:t>
      </w:r>
      <w:r w:rsidR="005132B1" w:rsidRPr="00930853">
        <w:t>5</w:t>
      </w:r>
      <w:r w:rsidRPr="00930853">
        <w:t xml:space="preserve">00,000. </w:t>
      </w:r>
      <w:r w:rsidR="00A301B9" w:rsidRPr="00A71597">
        <w:t xml:space="preserve">Our fundraising income is almost back to pre-pandemic levels but we are </w:t>
      </w:r>
      <w:r w:rsidR="00C37C09">
        <w:t xml:space="preserve">still </w:t>
      </w:r>
      <w:r w:rsidR="00930853" w:rsidRPr="00A71597">
        <w:t xml:space="preserve">affected by the </w:t>
      </w:r>
      <w:r w:rsidR="00623DF3" w:rsidRPr="00A71597">
        <w:t>cost-of-living</w:t>
      </w:r>
      <w:r w:rsidR="00AC4111" w:rsidRPr="00A71597">
        <w:t xml:space="preserve"> </w:t>
      </w:r>
      <w:r w:rsidR="00930853" w:rsidRPr="00A71597">
        <w:t xml:space="preserve">crisis. We are </w:t>
      </w:r>
      <w:r w:rsidR="00D524CD">
        <w:t xml:space="preserve">exploring </w:t>
      </w:r>
      <w:r w:rsidR="00930853" w:rsidRPr="00A71597">
        <w:t xml:space="preserve">new ways of fundraising including applying for grants from organisations other than NHS Charities Together. </w:t>
      </w:r>
      <w:bookmarkEnd w:id="24"/>
    </w:p>
    <w:p w14:paraId="7FD5FD77" w14:textId="301797D8" w:rsidR="000B1774" w:rsidRDefault="000B1774" w:rsidP="000B1774">
      <w:pPr>
        <w:pStyle w:val="Bodytext"/>
        <w:numPr>
          <w:ilvl w:val="0"/>
          <w:numId w:val="38"/>
        </w:numPr>
      </w:pPr>
      <w:bookmarkStart w:id="25" w:name="_Ref431822325"/>
      <w:r w:rsidRPr="00930853">
        <w:t>We benchmark</w:t>
      </w:r>
      <w:r w:rsidRPr="00BF3F38">
        <w:t xml:space="preserve"> our fundraising activity with our peers through the NHS Charities</w:t>
      </w:r>
      <w:r>
        <w:t xml:space="preserve"> Together</w:t>
      </w:r>
      <w:r w:rsidRPr="00BF3F38">
        <w:rPr>
          <w:rStyle w:val="FootnoteReference"/>
          <w:rFonts w:cstheme="minorHAnsi"/>
          <w:szCs w:val="22"/>
        </w:rPr>
        <w:footnoteReference w:id="19"/>
      </w:r>
      <w:r w:rsidRPr="00BF3F38">
        <w:t xml:space="preserve"> and monitor the comparative success of campaigns and overall fundraising cost to income ratios. We continue to perform well with a low cost to income ratio compared to the average,</w:t>
      </w:r>
      <w:r w:rsidRPr="00AD4BD0">
        <w:t xml:space="preserve"> but we underperform for the overall value of donations</w:t>
      </w:r>
      <w:r w:rsidRPr="00294539">
        <w:t xml:space="preserve"> against the average for an NHS charity with a focus on </w:t>
      </w:r>
      <w:r>
        <w:t>research</w:t>
      </w:r>
      <w:r w:rsidRPr="00B748AB">
        <w:t xml:space="preserve">. </w:t>
      </w:r>
      <w:r w:rsidR="00AD74CA" w:rsidRPr="00134EBB">
        <w:rPr>
          <w:b/>
          <w:bCs/>
          <w:i/>
          <w:iCs/>
        </w:rPr>
        <w:t xml:space="preserve">As our population spans </w:t>
      </w:r>
      <w:r w:rsidR="00364871" w:rsidRPr="00134EBB">
        <w:rPr>
          <w:b/>
          <w:bCs/>
          <w:i/>
          <w:iCs/>
        </w:rPr>
        <w:t xml:space="preserve">the fifth most </w:t>
      </w:r>
      <w:r w:rsidR="00E25321" w:rsidRPr="00134EBB">
        <w:rPr>
          <w:b/>
          <w:bCs/>
          <w:i/>
          <w:iCs/>
        </w:rPr>
        <w:t xml:space="preserve">income </w:t>
      </w:r>
      <w:r w:rsidR="00364871" w:rsidRPr="00134EBB">
        <w:rPr>
          <w:b/>
          <w:bCs/>
          <w:i/>
          <w:iCs/>
        </w:rPr>
        <w:t>deprived loc</w:t>
      </w:r>
      <w:r w:rsidR="003C02D0" w:rsidRPr="00134EBB">
        <w:rPr>
          <w:b/>
          <w:bCs/>
          <w:i/>
          <w:iCs/>
        </w:rPr>
        <w:t>al authority</w:t>
      </w:r>
      <w:r w:rsidR="009F5E62" w:rsidRPr="00134EBB">
        <w:rPr>
          <w:rStyle w:val="FootnoteReference"/>
          <w:b/>
          <w:bCs/>
          <w:i/>
          <w:iCs/>
        </w:rPr>
        <w:footnoteReference w:id="20"/>
      </w:r>
      <w:r w:rsidR="003C02D0" w:rsidRPr="00134EBB">
        <w:rPr>
          <w:b/>
          <w:bCs/>
          <w:i/>
          <w:iCs/>
        </w:rPr>
        <w:t xml:space="preserve"> area </w:t>
      </w:r>
      <w:r w:rsidR="008741F3" w:rsidRPr="00134EBB">
        <w:rPr>
          <w:b/>
          <w:bCs/>
          <w:i/>
          <w:iCs/>
        </w:rPr>
        <w:t xml:space="preserve">of </w:t>
      </w:r>
      <w:r w:rsidR="00273CC8" w:rsidRPr="00134EBB">
        <w:rPr>
          <w:b/>
          <w:bCs/>
          <w:i/>
          <w:iCs/>
        </w:rPr>
        <w:t>England</w:t>
      </w:r>
      <w:r w:rsidR="002C0F07" w:rsidRPr="00134EBB">
        <w:rPr>
          <w:b/>
          <w:bCs/>
          <w:i/>
          <w:iCs/>
        </w:rPr>
        <w:t xml:space="preserve">, we benefit far less from </w:t>
      </w:r>
      <w:r w:rsidR="006D789A" w:rsidRPr="00134EBB">
        <w:rPr>
          <w:b/>
          <w:bCs/>
          <w:i/>
          <w:iCs/>
        </w:rPr>
        <w:t xml:space="preserve">significant </w:t>
      </w:r>
      <w:r w:rsidR="002C0F07" w:rsidRPr="00134EBB">
        <w:rPr>
          <w:b/>
          <w:bCs/>
          <w:i/>
          <w:iCs/>
        </w:rPr>
        <w:t xml:space="preserve">legacies than </w:t>
      </w:r>
      <w:r w:rsidR="006D789A" w:rsidRPr="00134EBB">
        <w:rPr>
          <w:b/>
          <w:bCs/>
          <w:i/>
          <w:iCs/>
        </w:rPr>
        <w:t>charities based in more affluent areas</w:t>
      </w:r>
      <w:r w:rsidR="00A62B1A" w:rsidRPr="00134EBB">
        <w:rPr>
          <w:b/>
          <w:bCs/>
          <w:i/>
          <w:iCs/>
        </w:rPr>
        <w:t xml:space="preserve">, and </w:t>
      </w:r>
      <w:r w:rsidR="002D7F47" w:rsidRPr="00134EBB">
        <w:rPr>
          <w:b/>
          <w:bCs/>
          <w:i/>
          <w:iCs/>
        </w:rPr>
        <w:t xml:space="preserve">many of the </w:t>
      </w:r>
      <w:r w:rsidR="00A62B1A" w:rsidRPr="00134EBB">
        <w:rPr>
          <w:b/>
          <w:bCs/>
          <w:i/>
          <w:iCs/>
        </w:rPr>
        <w:t xml:space="preserve">supportive local residents </w:t>
      </w:r>
      <w:r w:rsidR="002D7F47" w:rsidRPr="00134EBB">
        <w:rPr>
          <w:b/>
          <w:bCs/>
          <w:i/>
          <w:iCs/>
        </w:rPr>
        <w:t>have limited ability to contribute financially</w:t>
      </w:r>
      <w:r w:rsidR="006D789A">
        <w:t xml:space="preserve">. </w:t>
      </w:r>
      <w:r>
        <w:t xml:space="preserve">We are therefore </w:t>
      </w:r>
      <w:r w:rsidRPr="00B748AB">
        <w:t xml:space="preserve">seeking to raise our fundraising profile </w:t>
      </w:r>
      <w:r>
        <w:t xml:space="preserve">in order to </w:t>
      </w:r>
      <w:r w:rsidRPr="00B748AB">
        <w:t xml:space="preserve">bring our funds raised up to the average for NHS charities linked with </w:t>
      </w:r>
      <w:r>
        <w:t>NHS bodies that focus on research</w:t>
      </w:r>
      <w:r w:rsidRPr="00B748AB">
        <w:t>.</w:t>
      </w:r>
      <w:bookmarkEnd w:id="25"/>
    </w:p>
    <w:p w14:paraId="4F69AA94" w14:textId="77777777" w:rsidR="000B1774" w:rsidRPr="00562537" w:rsidRDefault="000B1774" w:rsidP="00562537">
      <w:pPr>
        <w:pStyle w:val="Heading2"/>
      </w:pPr>
      <w:r w:rsidRPr="00562537">
        <w:lastRenderedPageBreak/>
        <w:t>What we plan to do with your donations: our future plans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3"/>
      </w:tblGrid>
      <w:tr w:rsidR="000B1774" w:rsidRPr="006644A8" w14:paraId="1C0F79D2" w14:textId="77777777" w:rsidTr="00EC1B15">
        <w:tc>
          <w:tcPr>
            <w:tcW w:w="9396" w:type="dxa"/>
            <w:shd w:val="clear" w:color="auto" w:fill="auto"/>
          </w:tcPr>
          <w:p w14:paraId="23C1BC6B" w14:textId="0232FB8F" w:rsidR="000B1774" w:rsidRPr="006644A8" w:rsidRDefault="000B1774" w:rsidP="00EC1B15">
            <w:pPr>
              <w:pStyle w:val="Bodytext"/>
            </w:pPr>
            <w:r w:rsidRPr="006644A8">
              <w:t xml:space="preserve">Paragraphs </w:t>
            </w:r>
            <w:r w:rsidRPr="006644A8">
              <w:fldChar w:fldCharType="begin"/>
            </w:r>
            <w:r w:rsidRPr="006644A8">
              <w:instrText xml:space="preserve"> REF _Ref431821779 \r \h </w:instrText>
            </w:r>
            <w:r>
              <w:instrText xml:space="preserve"> \* MERGEFORMAT </w:instrText>
            </w:r>
            <w:r w:rsidRPr="006644A8">
              <w:fldChar w:fldCharType="separate"/>
            </w:r>
            <w:r w:rsidR="00E6322B">
              <w:t>48</w:t>
            </w:r>
            <w:r w:rsidRPr="006644A8">
              <w:fldChar w:fldCharType="end"/>
            </w:r>
            <w:r w:rsidRPr="006644A8">
              <w:t xml:space="preserve"> to </w:t>
            </w:r>
            <w:r w:rsidRPr="006644A8">
              <w:fldChar w:fldCharType="begin"/>
            </w:r>
            <w:r w:rsidRPr="006644A8">
              <w:instrText xml:space="preserve"> REF _Ref431822660 \r \h </w:instrText>
            </w:r>
            <w:r>
              <w:instrText xml:space="preserve"> \* MERGEFORMAT </w:instrText>
            </w:r>
            <w:r w:rsidRPr="006644A8">
              <w:fldChar w:fldCharType="separate"/>
            </w:r>
            <w:r w:rsidR="00E6322B">
              <w:t>50</w:t>
            </w:r>
            <w:r w:rsidRPr="006644A8">
              <w:fldChar w:fldCharType="end"/>
            </w:r>
            <w:r w:rsidRPr="006644A8">
              <w:t xml:space="preserve"> of the annual report meet the third of the requirements of paragraph 1.36 of the </w:t>
            </w:r>
            <w:r>
              <w:t>SORP FRS 102</w:t>
            </w:r>
            <w:r w:rsidRPr="006644A8">
              <w:t>.</w:t>
            </w:r>
          </w:p>
          <w:p w14:paraId="5A6627BE" w14:textId="17CD89CF" w:rsidR="000B1774" w:rsidRPr="006644A8" w:rsidRDefault="000B1774" w:rsidP="00EC1B15">
            <w:pPr>
              <w:pStyle w:val="Bodytext"/>
            </w:pPr>
            <w:r w:rsidRPr="006644A8">
              <w:t xml:space="preserve">Paragraph 1.49 of the </w:t>
            </w:r>
            <w:r>
              <w:t>SORP FRS 102</w:t>
            </w:r>
            <w:r w:rsidRPr="006644A8">
              <w:t xml:space="preserve"> requires that larger charities provide a summary of the charit</w:t>
            </w:r>
            <w:r>
              <w:t xml:space="preserve">y’s </w:t>
            </w:r>
            <w:r w:rsidRPr="006644A8">
              <w:t>plans for the future.</w:t>
            </w:r>
            <w:r>
              <w:t xml:space="preserve"> </w:t>
            </w:r>
            <w:r w:rsidRPr="006644A8">
              <w:t xml:space="preserve">Paragraphs </w:t>
            </w:r>
            <w:r w:rsidRPr="006644A8">
              <w:fldChar w:fldCharType="begin"/>
            </w:r>
            <w:r w:rsidRPr="006644A8">
              <w:instrText xml:space="preserve"> REF _Ref431821779 \r \h </w:instrText>
            </w:r>
            <w:r>
              <w:instrText xml:space="preserve"> \* MERGEFORMAT </w:instrText>
            </w:r>
            <w:r w:rsidRPr="006644A8">
              <w:fldChar w:fldCharType="separate"/>
            </w:r>
            <w:r w:rsidR="00E6322B">
              <w:t>48</w:t>
            </w:r>
            <w:r w:rsidRPr="006644A8">
              <w:fldChar w:fldCharType="end"/>
            </w:r>
            <w:r w:rsidRPr="006644A8">
              <w:t xml:space="preserve"> to </w:t>
            </w:r>
            <w:r w:rsidRPr="006644A8">
              <w:fldChar w:fldCharType="begin"/>
            </w:r>
            <w:r w:rsidRPr="006644A8">
              <w:instrText xml:space="preserve"> REF _Ref431822660 \r \h </w:instrText>
            </w:r>
            <w:r>
              <w:instrText xml:space="preserve"> \* MERGEFORMAT </w:instrText>
            </w:r>
            <w:r w:rsidRPr="006644A8">
              <w:fldChar w:fldCharType="separate"/>
            </w:r>
            <w:r w:rsidR="00E6322B">
              <w:t>50</w:t>
            </w:r>
            <w:r w:rsidRPr="006644A8">
              <w:fldChar w:fldCharType="end"/>
            </w:r>
            <w:r w:rsidRPr="006644A8">
              <w:t xml:space="preserve"> of the annual report do this as well. </w:t>
            </w:r>
          </w:p>
        </w:tc>
      </w:tr>
    </w:tbl>
    <w:p w14:paraId="18C11FF1" w14:textId="0D95AA53" w:rsidR="000B1774" w:rsidRPr="006644A8" w:rsidRDefault="000B1774" w:rsidP="000B1774">
      <w:pPr>
        <w:pStyle w:val="Bodytext"/>
        <w:numPr>
          <w:ilvl w:val="0"/>
          <w:numId w:val="38"/>
        </w:numPr>
      </w:pPr>
      <w:bookmarkStart w:id="26" w:name="_Ref431821779"/>
      <w:r w:rsidRPr="006644A8">
        <w:t xml:space="preserve">We will achieve our mission by working with the NHS to develop the facilities to treat the </w:t>
      </w:r>
      <w:r>
        <w:t>patients</w:t>
      </w:r>
      <w:r w:rsidRPr="006644A8">
        <w:t xml:space="preserve"> of tomorrow and have established a development fund to further that purpose. To identify the treatments of tomorrow we actively seek to assist in equipping NHS staff with the skills they need and provide financial support to our research partners in their important work. Our open invitation to the reader</w:t>
      </w:r>
      <w:r>
        <w:t>s</w:t>
      </w:r>
      <w:r w:rsidRPr="006644A8">
        <w:t xml:space="preserve"> of our annual report and accounts is to join with us in our exciting mission by making a gift.</w:t>
      </w:r>
      <w:bookmarkEnd w:id="26"/>
    </w:p>
    <w:p w14:paraId="43F3324C" w14:textId="77777777" w:rsidR="000B1774" w:rsidRPr="006644A8" w:rsidRDefault="000B1774" w:rsidP="000B1774">
      <w:pPr>
        <w:pStyle w:val="Bodytext"/>
        <w:numPr>
          <w:ilvl w:val="0"/>
          <w:numId w:val="38"/>
        </w:numPr>
      </w:pPr>
      <w:r w:rsidRPr="006644A8">
        <w:t>Our detailed plans are</w:t>
      </w:r>
      <w:r>
        <w:t xml:space="preserve"> to</w:t>
      </w:r>
      <w:r w:rsidRPr="006644A8">
        <w:t>:</w:t>
      </w:r>
    </w:p>
    <w:p w14:paraId="2FF2FBB2" w14:textId="59AD098C" w:rsidR="00530AF0" w:rsidRPr="002420A7" w:rsidRDefault="000B1774" w:rsidP="00562537">
      <w:pPr>
        <w:pStyle w:val="Bullet"/>
      </w:pPr>
      <w:r w:rsidRPr="00930853">
        <w:t xml:space="preserve">expand our fundraising activities towards achieving our </w:t>
      </w:r>
      <w:r w:rsidR="00A076E9" w:rsidRPr="00930853">
        <w:t>long-term</w:t>
      </w:r>
      <w:r w:rsidR="00930853" w:rsidRPr="00930853">
        <w:t xml:space="preserve"> </w:t>
      </w:r>
      <w:r w:rsidRPr="00930853">
        <w:t xml:space="preserve">goal of raising </w:t>
      </w:r>
      <w:r w:rsidRPr="002420A7">
        <w:t>£</w:t>
      </w:r>
      <w:r w:rsidR="00562537" w:rsidRPr="002420A7">
        <w:t>3</w:t>
      </w:r>
      <w:r w:rsidR="00DD5A18">
        <w:t>.</w:t>
      </w:r>
      <w:r w:rsidR="007F568A">
        <w:t>7</w:t>
      </w:r>
      <w:r w:rsidR="00DD5A18">
        <w:t>5</w:t>
      </w:r>
      <w:r w:rsidRPr="002420A7">
        <w:t xml:space="preserve">m every </w:t>
      </w:r>
      <w:r w:rsidR="001239F8">
        <w:t>year</w:t>
      </w:r>
    </w:p>
    <w:p w14:paraId="63DD6DF7" w14:textId="7A0ACAB7" w:rsidR="000B1774" w:rsidRPr="00F54A7B" w:rsidRDefault="00530AF0" w:rsidP="00562537">
      <w:pPr>
        <w:pStyle w:val="Bullet"/>
        <w:rPr>
          <w:i/>
          <w:iCs/>
        </w:rPr>
      </w:pPr>
      <w:r w:rsidRPr="002420A7">
        <w:t xml:space="preserve">review the grants that we could apply for. </w:t>
      </w:r>
      <w:r w:rsidR="001B7C23" w:rsidRPr="00B57A7E">
        <w:rPr>
          <w:b/>
          <w:bCs/>
          <w:i/>
          <w:iCs/>
        </w:rPr>
        <w:t>Until 2019</w:t>
      </w:r>
      <w:r w:rsidRPr="00B57A7E">
        <w:rPr>
          <w:b/>
          <w:bCs/>
          <w:i/>
          <w:iCs/>
        </w:rPr>
        <w:t xml:space="preserve"> we received relatively little income from grants. We are </w:t>
      </w:r>
      <w:r w:rsidR="00A311A4" w:rsidRPr="00B57A7E">
        <w:rPr>
          <w:b/>
          <w:bCs/>
          <w:i/>
          <w:iCs/>
        </w:rPr>
        <w:t xml:space="preserve">actively exploring </w:t>
      </w:r>
      <w:r w:rsidRPr="00B57A7E">
        <w:rPr>
          <w:b/>
          <w:bCs/>
          <w:i/>
          <w:iCs/>
        </w:rPr>
        <w:t>look</w:t>
      </w:r>
      <w:r w:rsidR="00A311A4" w:rsidRPr="00B57A7E">
        <w:rPr>
          <w:b/>
          <w:bCs/>
          <w:i/>
          <w:iCs/>
        </w:rPr>
        <w:t>ing</w:t>
      </w:r>
      <w:r w:rsidRPr="00B57A7E">
        <w:rPr>
          <w:b/>
          <w:bCs/>
          <w:i/>
          <w:iCs/>
        </w:rPr>
        <w:t xml:space="preserve"> at other grant making bodies to see whether</w:t>
      </w:r>
      <w:r w:rsidR="003A4658" w:rsidRPr="00B57A7E">
        <w:rPr>
          <w:b/>
          <w:bCs/>
          <w:i/>
          <w:iCs/>
        </w:rPr>
        <w:t xml:space="preserve"> we</w:t>
      </w:r>
      <w:r w:rsidR="00A311A4" w:rsidRPr="00B57A7E">
        <w:rPr>
          <w:b/>
          <w:bCs/>
          <w:i/>
          <w:iCs/>
        </w:rPr>
        <w:t xml:space="preserve"> are eligible </w:t>
      </w:r>
      <w:r w:rsidR="003A4658" w:rsidRPr="00B57A7E">
        <w:rPr>
          <w:b/>
          <w:bCs/>
          <w:i/>
          <w:iCs/>
        </w:rPr>
        <w:t>for other grants that we can use to fund the research that is undertaken by our corporate trustee</w:t>
      </w:r>
      <w:r w:rsidR="00A90CBE" w:rsidRPr="00B57A7E">
        <w:rPr>
          <w:b/>
          <w:bCs/>
          <w:i/>
          <w:iCs/>
        </w:rPr>
        <w:t xml:space="preserve">, </w:t>
      </w:r>
      <w:r w:rsidR="001C25EE" w:rsidRPr="00B57A7E">
        <w:rPr>
          <w:b/>
          <w:bCs/>
          <w:i/>
          <w:iCs/>
        </w:rPr>
        <w:t>such as the</w:t>
      </w:r>
      <w:r w:rsidR="00A311A4" w:rsidRPr="00B57A7E">
        <w:rPr>
          <w:b/>
          <w:bCs/>
          <w:i/>
          <w:iCs/>
        </w:rPr>
        <w:t xml:space="preserve"> </w:t>
      </w:r>
      <w:r w:rsidR="001A2802" w:rsidRPr="00B57A7E">
        <w:rPr>
          <w:b/>
          <w:bCs/>
          <w:i/>
          <w:iCs/>
        </w:rPr>
        <w:t xml:space="preserve">from the </w:t>
      </w:r>
      <w:hyperlink r:id="rId27" w:history="1">
        <w:r w:rsidR="00500B95" w:rsidRPr="00F54A7B">
          <w:rPr>
            <w:rStyle w:val="Hyperlink"/>
            <w:b/>
            <w:bCs/>
            <w:i/>
            <w:iCs/>
            <w:lang w:val="en-US"/>
          </w:rPr>
          <w:t>National Institute for Health and Care Research</w:t>
        </w:r>
      </w:hyperlink>
      <w:r w:rsidR="001A2802" w:rsidRPr="00DB7011">
        <w:rPr>
          <w:rStyle w:val="Hyperlink"/>
          <w:b/>
          <w:bCs/>
          <w:i/>
          <w:iCs/>
          <w:lang w:val="en-US"/>
        </w:rPr>
        <w:t xml:space="preserve"> </w:t>
      </w:r>
      <w:r w:rsidR="001A2802" w:rsidRPr="00DB7011">
        <w:rPr>
          <w:b/>
          <w:bCs/>
          <w:i/>
          <w:iCs/>
        </w:rPr>
        <w:t xml:space="preserve">and </w:t>
      </w:r>
      <w:hyperlink r:id="rId28" w:history="1">
        <w:r w:rsidR="001A2802" w:rsidRPr="00F54A7B">
          <w:rPr>
            <w:rStyle w:val="Hyperlink"/>
            <w:b/>
            <w:bCs/>
            <w:i/>
            <w:iCs/>
          </w:rPr>
          <w:t>Wellcome</w:t>
        </w:r>
      </w:hyperlink>
      <w:r w:rsidR="00500B95" w:rsidRPr="00F54A7B">
        <w:rPr>
          <w:i/>
          <w:iCs/>
        </w:rPr>
        <w:t>.</w:t>
      </w:r>
    </w:p>
    <w:p w14:paraId="1BC5A9A8" w14:textId="30CF5503" w:rsidR="000B1774" w:rsidRPr="00562537" w:rsidRDefault="000B1774" w:rsidP="00562537">
      <w:pPr>
        <w:pStyle w:val="Bullet"/>
      </w:pPr>
      <w:r w:rsidRPr="00562537">
        <w:t>spend the funds we raised before the pandemic for the Paediatric Burns and Trauma Centre of almost £</w:t>
      </w:r>
      <w:r w:rsidR="00FF1F9A">
        <w:t>3</w:t>
      </w:r>
      <w:r w:rsidRPr="00562537">
        <w:t>m and the Education Centre of just under £1m in 202</w:t>
      </w:r>
      <w:r w:rsidR="001B25DD">
        <w:t>4</w:t>
      </w:r>
      <w:r w:rsidRPr="00562537">
        <w:t xml:space="preserve"> as planned in order to equip and provide these facilities in collaboration with our NHS partner.</w:t>
      </w:r>
    </w:p>
    <w:p w14:paraId="090A5A7E" w14:textId="77777777" w:rsidR="000B1774" w:rsidRPr="00562537" w:rsidRDefault="000B1774" w:rsidP="00562537">
      <w:pPr>
        <w:pStyle w:val="Bullet"/>
      </w:pPr>
      <w:r w:rsidRPr="00562537">
        <w:t>to maintain our research support at £1m per year to fund the development of future techniques and therapies to save our patients from future ill-health</w:t>
      </w:r>
    </w:p>
    <w:p w14:paraId="6D3E39AF" w14:textId="757963C6" w:rsidR="000B1774" w:rsidRPr="00F54A7B" w:rsidRDefault="000B1774" w:rsidP="002420A7">
      <w:pPr>
        <w:pStyle w:val="Bullet"/>
        <w:spacing w:after="120"/>
        <w:rPr>
          <w:i/>
          <w:iCs/>
        </w:rPr>
      </w:pPr>
      <w:r w:rsidRPr="00F54A7B">
        <w:rPr>
          <w:b/>
          <w:bCs/>
          <w:i/>
          <w:iCs/>
        </w:rPr>
        <w:t xml:space="preserve">to maintain </w:t>
      </w:r>
      <w:r w:rsidR="001618E3" w:rsidRPr="00F54A7B">
        <w:rPr>
          <w:b/>
          <w:bCs/>
          <w:i/>
          <w:iCs/>
        </w:rPr>
        <w:t xml:space="preserve">and improve </w:t>
      </w:r>
      <w:r w:rsidR="002F20F9" w:rsidRPr="00F54A7B">
        <w:rPr>
          <w:b/>
          <w:bCs/>
          <w:i/>
          <w:iCs/>
        </w:rPr>
        <w:t xml:space="preserve">the </w:t>
      </w:r>
      <w:r w:rsidR="00C30140" w:rsidRPr="00F54A7B">
        <w:rPr>
          <w:b/>
          <w:bCs/>
          <w:i/>
          <w:iCs/>
        </w:rPr>
        <w:t>environments enhanced beyond st</w:t>
      </w:r>
      <w:r w:rsidR="001618E3" w:rsidRPr="00F54A7B">
        <w:rPr>
          <w:b/>
          <w:bCs/>
          <w:i/>
          <w:iCs/>
        </w:rPr>
        <w:t>a</w:t>
      </w:r>
      <w:r w:rsidR="00C30140" w:rsidRPr="00F54A7B">
        <w:rPr>
          <w:b/>
          <w:bCs/>
          <w:i/>
          <w:iCs/>
        </w:rPr>
        <w:t>t</w:t>
      </w:r>
      <w:r w:rsidR="001618E3" w:rsidRPr="00F54A7B">
        <w:rPr>
          <w:b/>
          <w:bCs/>
          <w:i/>
          <w:iCs/>
        </w:rPr>
        <w:t>u</w:t>
      </w:r>
      <w:r w:rsidR="00C30140" w:rsidRPr="00F54A7B">
        <w:rPr>
          <w:b/>
          <w:bCs/>
          <w:i/>
          <w:iCs/>
        </w:rPr>
        <w:t xml:space="preserve">tory requirements through charitable funds at a level </w:t>
      </w:r>
      <w:r w:rsidRPr="00F54A7B">
        <w:rPr>
          <w:b/>
          <w:bCs/>
          <w:i/>
          <w:iCs/>
        </w:rPr>
        <w:t xml:space="preserve">for equipment and buildings </w:t>
      </w:r>
      <w:r w:rsidR="001618E3" w:rsidRPr="00F54A7B">
        <w:rPr>
          <w:b/>
          <w:bCs/>
          <w:i/>
          <w:iCs/>
        </w:rPr>
        <w:t>of</w:t>
      </w:r>
      <w:r w:rsidRPr="00F54A7B">
        <w:rPr>
          <w:b/>
          <w:bCs/>
          <w:i/>
          <w:iCs/>
        </w:rPr>
        <w:t xml:space="preserve"> £1m per year</w:t>
      </w:r>
      <w:r w:rsidRPr="00F54A7B">
        <w:rPr>
          <w:i/>
          <w:iCs/>
        </w:rPr>
        <w:t>.</w:t>
      </w:r>
    </w:p>
    <w:p w14:paraId="0737EB55" w14:textId="77777777" w:rsidR="000B1774" w:rsidRPr="006644A8" w:rsidRDefault="000B1774" w:rsidP="000B1774">
      <w:pPr>
        <w:pStyle w:val="Bodytext"/>
        <w:numPr>
          <w:ilvl w:val="0"/>
          <w:numId w:val="38"/>
        </w:numPr>
      </w:pPr>
      <w:bookmarkStart w:id="27" w:name="_Ref431822660"/>
      <w:r w:rsidRPr="006644A8">
        <w:t>Your support makes these plans possible and to help us please do consider making a donation.</w:t>
      </w:r>
      <w:bookmarkEnd w:id="27"/>
    </w:p>
    <w:p w14:paraId="074BDFFE" w14:textId="77777777" w:rsidR="000B1774" w:rsidRPr="006644A8" w:rsidRDefault="000B1774" w:rsidP="000B1774">
      <w:pPr>
        <w:pStyle w:val="Heading2"/>
      </w:pPr>
      <w:r w:rsidRPr="006644A8">
        <w:t>How we manage the money</w:t>
      </w:r>
    </w:p>
    <w:p w14:paraId="04DCCB06" w14:textId="77777777" w:rsidR="000B1774" w:rsidRPr="00605DCE" w:rsidRDefault="000B1774" w:rsidP="00B00F4F">
      <w:pPr>
        <w:pStyle w:val="TableTitle"/>
      </w:pPr>
      <w:r w:rsidRPr="00605DCE">
        <w:t>Our grant making policy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3"/>
      </w:tblGrid>
      <w:tr w:rsidR="000B1774" w:rsidRPr="006644A8" w14:paraId="0A0AAD65" w14:textId="77777777" w:rsidTr="00EC1B15">
        <w:tc>
          <w:tcPr>
            <w:tcW w:w="9396" w:type="dxa"/>
            <w:shd w:val="clear" w:color="auto" w:fill="auto"/>
          </w:tcPr>
          <w:p w14:paraId="25655E0D" w14:textId="77777777" w:rsidR="000B1774" w:rsidRDefault="000B1774" w:rsidP="00EC1B15">
            <w:pPr>
              <w:pStyle w:val="Bodytext"/>
            </w:pPr>
            <w:r w:rsidRPr="006644A8">
              <w:t xml:space="preserve">Paragraph 1.38 of the </w:t>
            </w:r>
            <w:r>
              <w:t>SORP FRS 102</w:t>
            </w:r>
            <w:r w:rsidRPr="006644A8">
              <w:t xml:space="preserve"> requires larger charities to include an explanation of the use the charity makes of the following:</w:t>
            </w:r>
          </w:p>
          <w:p w14:paraId="3CD5ED64" w14:textId="77777777" w:rsidR="000B1774" w:rsidRPr="00B00F4F" w:rsidRDefault="000B1774" w:rsidP="00B00F4F">
            <w:pPr>
              <w:pStyle w:val="Bullet"/>
            </w:pPr>
            <w:r w:rsidRPr="00B00F4F">
              <w:t>social investment, when this forms a material part of its charitable activities</w:t>
            </w:r>
          </w:p>
          <w:p w14:paraId="7600F8E8" w14:textId="77777777" w:rsidR="000B1774" w:rsidRPr="00B00F4F" w:rsidRDefault="000B1774" w:rsidP="00B00F4F">
            <w:pPr>
              <w:pStyle w:val="Bullet"/>
            </w:pPr>
            <w:r w:rsidRPr="00B00F4F">
              <w:t>grant-making, when this forms a material part of its charitable activities</w:t>
            </w:r>
          </w:p>
          <w:p w14:paraId="1E59C57C" w14:textId="77777777" w:rsidR="000B1774" w:rsidRPr="006644A8" w:rsidRDefault="000B1774" w:rsidP="00B00F4F">
            <w:pPr>
              <w:pStyle w:val="Bullet"/>
            </w:pPr>
            <w:r w:rsidRPr="00B00F4F">
              <w:t>volunteers</w:t>
            </w:r>
            <w:r w:rsidRPr="006644A8">
              <w:t xml:space="preserve">, when their contribution is significant to a charity’s ability to undertake a particular activity. </w:t>
            </w:r>
          </w:p>
          <w:p w14:paraId="74F9DA6B" w14:textId="77777777" w:rsidR="000B1774" w:rsidRDefault="000B1774" w:rsidP="00EC1B15">
            <w:pPr>
              <w:pStyle w:val="Bodytext"/>
            </w:pPr>
            <w:r w:rsidRPr="006644A8">
              <w:t>In this case, the charity does not make social investments and volunteers do not make a significant contribution to the charity</w:t>
            </w:r>
            <w:r>
              <w:t>’s activities</w:t>
            </w:r>
            <w:r w:rsidRPr="006644A8">
              <w:t>.</w:t>
            </w:r>
            <w:r>
              <w:t xml:space="preserve"> </w:t>
            </w:r>
            <w:r w:rsidRPr="006644A8">
              <w:t>However, grant making is a material part of its charitable activities.</w:t>
            </w:r>
            <w:r>
              <w:t xml:space="preserve"> </w:t>
            </w:r>
            <w:r w:rsidRPr="006644A8">
              <w:t xml:space="preserve">The </w:t>
            </w:r>
            <w:r>
              <w:t>SORP FRS 102</w:t>
            </w:r>
            <w:r w:rsidRPr="006644A8">
              <w:t xml:space="preserve"> says that ‘in particular, the report must explain the charity’s grant-making policy and explain how its grant-making activities contribute to the achievement of its aims and objectives.’</w:t>
            </w:r>
          </w:p>
          <w:p w14:paraId="37DF3BEC" w14:textId="1C3D2EC4" w:rsidR="000B1774" w:rsidRPr="006644A8" w:rsidRDefault="000B1774" w:rsidP="00EC1B15">
            <w:pPr>
              <w:pStyle w:val="Bodytext"/>
              <w:rPr>
                <w:b/>
                <w:bCs/>
              </w:rPr>
            </w:pPr>
            <w:r>
              <w:t>P</w:t>
            </w:r>
            <w:r w:rsidRPr="006644A8">
              <w:t xml:space="preserve">aragraph </w:t>
            </w:r>
            <w:r w:rsidRPr="006644A8">
              <w:fldChar w:fldCharType="begin"/>
            </w:r>
            <w:r w:rsidRPr="006644A8">
              <w:instrText xml:space="preserve"> REF _Ref431885344 \r \h </w:instrText>
            </w:r>
            <w:r>
              <w:instrText xml:space="preserve"> \* MERGEFORMAT </w:instrText>
            </w:r>
            <w:r w:rsidRPr="006644A8">
              <w:fldChar w:fldCharType="separate"/>
            </w:r>
            <w:r w:rsidR="00E6322B">
              <w:t>51</w:t>
            </w:r>
            <w:r w:rsidRPr="006644A8">
              <w:fldChar w:fldCharType="end"/>
            </w:r>
            <w:r w:rsidRPr="006644A8">
              <w:t xml:space="preserve"> of the annual report achieves this requirement.</w:t>
            </w:r>
          </w:p>
        </w:tc>
      </w:tr>
    </w:tbl>
    <w:p w14:paraId="56AABB4E" w14:textId="77777777" w:rsidR="000B1774" w:rsidRPr="009A0B3A" w:rsidRDefault="000B1774" w:rsidP="000B1774">
      <w:pPr>
        <w:pStyle w:val="Bodytext"/>
        <w:rPr>
          <w:rFonts w:cs="Arial"/>
          <w:sz w:val="18"/>
        </w:rPr>
      </w:pPr>
    </w:p>
    <w:p w14:paraId="6EE08157" w14:textId="507697FA" w:rsidR="000B1774" w:rsidRPr="006644A8" w:rsidRDefault="000B1774" w:rsidP="000B1774">
      <w:pPr>
        <w:pStyle w:val="Bodytext"/>
        <w:numPr>
          <w:ilvl w:val="0"/>
          <w:numId w:val="38"/>
        </w:numPr>
      </w:pPr>
      <w:bookmarkStart w:id="28" w:name="_Ref431885344"/>
      <w:r>
        <w:t>OtM</w:t>
      </w:r>
      <w:r w:rsidRPr="006644A8">
        <w:t xml:space="preserve"> makes grants from both its unrestricted and restricted funds. </w:t>
      </w:r>
      <w:r w:rsidRPr="009A0B3A">
        <w:t xml:space="preserve">The grants from restricted funds must be used in accordance with the conditions attached to the donation. </w:t>
      </w:r>
      <w:r w:rsidRPr="002420A7">
        <w:t>In 2020/21 a restricted fund was established for the grants received from NHS Charities Together –</w:t>
      </w:r>
      <w:r w:rsidR="009A0B3A" w:rsidRPr="002420A7">
        <w:t>these</w:t>
      </w:r>
      <w:r w:rsidRPr="002420A7">
        <w:t xml:space="preserve"> grants </w:t>
      </w:r>
      <w:r w:rsidR="009A0B3A" w:rsidRPr="002420A7">
        <w:t xml:space="preserve">have </w:t>
      </w:r>
      <w:r w:rsidR="000C7549" w:rsidRPr="002420A7">
        <w:t xml:space="preserve">now </w:t>
      </w:r>
      <w:r w:rsidR="009A0B3A" w:rsidRPr="002420A7">
        <w:t xml:space="preserve">been </w:t>
      </w:r>
      <w:r w:rsidRPr="002420A7">
        <w:t>spent</w:t>
      </w:r>
      <w:r w:rsidR="000C7549" w:rsidRPr="002420A7">
        <w:t>.</w:t>
      </w:r>
      <w:r w:rsidRPr="002420A7">
        <w:t xml:space="preserve"> </w:t>
      </w:r>
      <w:r w:rsidRPr="006644A8">
        <w:t>Within the unrestricted funds, grants are made from general funds, designated (earmarked) funds and designated research funds:</w:t>
      </w:r>
      <w:bookmarkEnd w:id="28"/>
    </w:p>
    <w:p w14:paraId="35CED6ED" w14:textId="15C02040" w:rsidR="000B1774" w:rsidRPr="009A0B3A" w:rsidRDefault="000B1774" w:rsidP="009A0B3A">
      <w:pPr>
        <w:pStyle w:val="Bullet"/>
      </w:pPr>
      <w:r w:rsidRPr="009A0B3A">
        <w:t>general funds. These funds are received by OtM with no particular preference expressed by donors. Once each year, the charitable funds committee invites applications from any member of the hospital, and also from specialist partner charities, for example MacMillan</w:t>
      </w:r>
      <w:r w:rsidR="00213C18">
        <w:t xml:space="preserve"> Cancer Support</w:t>
      </w:r>
      <w:r w:rsidRPr="009A0B3A">
        <w:t xml:space="preserve">, and patient groups working with the hospital. Based on their knowledge of the hospital, the committee agree funding priorities and score the applications for quality and value for money. Grants are particularly targeted at </w:t>
      </w:r>
      <w:r w:rsidRPr="009A0B3A">
        <w:lastRenderedPageBreak/>
        <w:t>projects in areas of the hospital that do not have available designated funds to assist them.</w:t>
      </w:r>
    </w:p>
    <w:p w14:paraId="5B18005D" w14:textId="77777777" w:rsidR="000B1774" w:rsidRPr="009A0B3A" w:rsidRDefault="000B1774" w:rsidP="009A0B3A">
      <w:pPr>
        <w:pStyle w:val="Bullet"/>
      </w:pPr>
      <w:r w:rsidRPr="009A0B3A">
        <w:t xml:space="preserve">designated (earmarked) funds. These funds are established for a particular part of the hospital or activity nominated for support by the donor. They are overseen by fund advisors who can make recommendations on how to spend the money within the designated area. Fund advisors’ recommendations are generally accepted, and these funds can be spent at any time. </w:t>
      </w:r>
    </w:p>
    <w:p w14:paraId="42D2C774" w14:textId="77777777" w:rsidR="000B1774" w:rsidRPr="009A0B3A" w:rsidRDefault="000B1774" w:rsidP="009A0B3A">
      <w:pPr>
        <w:pStyle w:val="Bullet"/>
      </w:pPr>
      <w:r w:rsidRPr="009A0B3A">
        <w:t>designated research funds. These are funds which are designated for general research. Applications are invited once a year by the HHFT Research Foundation which undertakes and commissions internal and external peer reviews, assesses the quality of the proposed research and its correlation with existing hospital research priorities. Grants are normally awarded for between twelve months and three years and are targeted on pump-priming high-quality pilot projects which are likely to lead to externally funded research projects.</w:t>
      </w:r>
    </w:p>
    <w:p w14:paraId="2B3A748D" w14:textId="77777777" w:rsidR="000B1774" w:rsidRPr="009A0B3A" w:rsidRDefault="000B1774" w:rsidP="009A0B3A">
      <w:pPr>
        <w:pStyle w:val="Bullet"/>
      </w:pPr>
      <w:r w:rsidRPr="009A0B3A">
        <w:t>Guptah income. OtM manages a separate endowment, the Guptah Charity, which cannot be spent but which produces an income. The income is held in a separate fund to promote the preservation of health and recovery of patients and former patients of the Healthville Hospital, and other named eligible hospitals, from which grants are awarded each year. The charitable funds committee decides which, if any, projects to fund based an assessment of quality, value for money and how well they match the objects of the charity.</w:t>
      </w:r>
    </w:p>
    <w:p w14:paraId="04BD6D69" w14:textId="77777777" w:rsidR="00144991" w:rsidRDefault="00144991" w:rsidP="00171192">
      <w:pPr>
        <w:pStyle w:val="TableTitle"/>
      </w:pPr>
    </w:p>
    <w:p w14:paraId="7C95FCAB" w14:textId="7A756555" w:rsidR="000B1774" w:rsidRPr="006644A8" w:rsidRDefault="000B1774" w:rsidP="00171192">
      <w:pPr>
        <w:pStyle w:val="TableTitle"/>
      </w:pPr>
      <w:r w:rsidRPr="006644A8">
        <w:t xml:space="preserve">Our reserves policy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3"/>
      </w:tblGrid>
      <w:tr w:rsidR="000B1774" w:rsidRPr="006644A8" w14:paraId="506ECD3C" w14:textId="77777777" w:rsidTr="307DE6DA">
        <w:tc>
          <w:tcPr>
            <w:tcW w:w="9396" w:type="dxa"/>
            <w:shd w:val="clear" w:color="auto" w:fill="auto"/>
          </w:tcPr>
          <w:p w14:paraId="210B15D9" w14:textId="77777777" w:rsidR="000B1774" w:rsidRDefault="000B1774" w:rsidP="00EC1B15">
            <w:pPr>
              <w:pStyle w:val="Bodytext"/>
            </w:pPr>
            <w:r w:rsidRPr="006644A8">
              <w:t xml:space="preserve">Paragraph 1.22 of the </w:t>
            </w:r>
            <w:r>
              <w:t>SORP FRS 102</w:t>
            </w:r>
            <w:r w:rsidRPr="006644A8">
              <w:t xml:space="preserve"> says that the charity must explain any policy it has for holding reserves, the amount of those reserves and why they are held.</w:t>
            </w:r>
          </w:p>
          <w:p w14:paraId="4151E4B2" w14:textId="77777777" w:rsidR="000B1774" w:rsidRDefault="000B1774" w:rsidP="00EC1B15">
            <w:pPr>
              <w:pStyle w:val="Bodytext"/>
            </w:pPr>
            <w:r>
              <w:t>Paragraph 1.48 of the SORP FRS 102 states that the review of the charity’s reserves should: The review of the charity’s reserves should:</w:t>
            </w:r>
          </w:p>
          <w:p w14:paraId="7DBF69B6" w14:textId="77777777" w:rsidR="000B1774" w:rsidRDefault="000B1774" w:rsidP="00171192">
            <w:pPr>
              <w:pStyle w:val="Bullet"/>
            </w:pPr>
            <w:r>
              <w:t xml:space="preserve">report as at the end of the reporting period: </w:t>
            </w:r>
          </w:p>
          <w:p w14:paraId="33475E48" w14:textId="77777777" w:rsidR="000B1774" w:rsidRPr="00171192" w:rsidRDefault="000B1774" w:rsidP="00171192">
            <w:pPr>
              <w:pStyle w:val="Bullet2ndlevel"/>
            </w:pPr>
            <w:r w:rsidRPr="00171192">
              <w:t xml:space="preserve">the amount of total funds the charity holds </w:t>
            </w:r>
          </w:p>
          <w:p w14:paraId="53F8D10A" w14:textId="77777777" w:rsidR="000B1774" w:rsidRPr="00171192" w:rsidRDefault="000B1774" w:rsidP="00171192">
            <w:pPr>
              <w:pStyle w:val="Bullet2ndlevel"/>
            </w:pPr>
            <w:r w:rsidRPr="00171192">
              <w:t xml:space="preserve">the amount of funds which are restricted and not available for general purposes </w:t>
            </w:r>
          </w:p>
          <w:p w14:paraId="0B784128" w14:textId="77777777" w:rsidR="000B1774" w:rsidRPr="00171192" w:rsidRDefault="000B1774" w:rsidP="00171192">
            <w:pPr>
              <w:pStyle w:val="Bullet2ndlevel"/>
            </w:pPr>
            <w:r w:rsidRPr="00171192">
              <w:t xml:space="preserve">material amounts which have been designated or otherwise committed </w:t>
            </w:r>
          </w:p>
          <w:p w14:paraId="1F684AD0" w14:textId="77777777" w:rsidR="000B1774" w:rsidRPr="00171192" w:rsidRDefault="000B1774" w:rsidP="00171192">
            <w:pPr>
              <w:pStyle w:val="Bullet2ndlevel"/>
            </w:pPr>
            <w:r w:rsidRPr="00171192">
              <w:t xml:space="preserve">the likely timing of the expenditure of any material amounts designated or otherwise committed </w:t>
            </w:r>
          </w:p>
          <w:p w14:paraId="7F0AD8A3" w14:textId="77777777" w:rsidR="000B1774" w:rsidRDefault="000B1774" w:rsidP="00171192">
            <w:pPr>
              <w:pStyle w:val="Bullet2ndlevel"/>
            </w:pPr>
            <w:r w:rsidRPr="00171192">
              <w:t>the amount of reserves the charity holds after making allowance for any restricted funds, and the amount of designations, commitments</w:t>
            </w:r>
            <w:r>
              <w:t xml:space="preserve"> (not provided for as a liability in the accounts) or the carrying amount of functional assets which the charity considers to represent a commitment of the reserves they hold</w:t>
            </w:r>
          </w:p>
          <w:p w14:paraId="5E25E591" w14:textId="77777777" w:rsidR="000B1774" w:rsidRPr="00171192" w:rsidRDefault="000B1774" w:rsidP="00171192">
            <w:pPr>
              <w:pStyle w:val="Bullet"/>
            </w:pPr>
            <w:r w:rsidRPr="00171192">
              <w:t>identify the amount of any fund that can only be realised by disposing of tangible fixed assets or programme related investments</w:t>
            </w:r>
          </w:p>
          <w:p w14:paraId="6EE4CB5B" w14:textId="77777777" w:rsidR="000B1774" w:rsidRDefault="000B1774" w:rsidP="00171192">
            <w:pPr>
              <w:pStyle w:val="Bullet"/>
            </w:pPr>
            <w:r w:rsidRPr="00171192">
              <w:t>compare the amount of reserves with the charity’s reserves policy and explain, where relevant, what steps it is taking to bring the</w:t>
            </w:r>
            <w:r>
              <w:t xml:space="preserve"> amount of reserves it holds into line with the level of reserves identified by the trustees as appropriate given their plans for the future activities of the charity.</w:t>
            </w:r>
          </w:p>
          <w:p w14:paraId="3D8A570D" w14:textId="77777777" w:rsidR="00DA002E" w:rsidRDefault="00DA002E" w:rsidP="00EC1B15">
            <w:pPr>
              <w:pStyle w:val="Bodytext"/>
            </w:pPr>
          </w:p>
          <w:p w14:paraId="583658FC" w14:textId="5E6AAD61" w:rsidR="000B1774" w:rsidRPr="00A04572" w:rsidRDefault="000B1774" w:rsidP="00EC1B15">
            <w:pPr>
              <w:pStyle w:val="Bodytext"/>
            </w:pPr>
            <w:r w:rsidRPr="00A04572">
              <w:t>In 2018, the Charity Commission for England and Wales reviewed 106 sets of charity accounts</w:t>
            </w:r>
            <w:r w:rsidRPr="00A04572">
              <w:rPr>
                <w:rStyle w:val="FootnoteReference"/>
              </w:rPr>
              <w:footnoteReference w:id="21"/>
            </w:r>
            <w:r w:rsidRPr="00A04572">
              <w:t xml:space="preserve"> to assess whether the charity had:</w:t>
            </w:r>
          </w:p>
          <w:p w14:paraId="3800A6FF" w14:textId="77777777" w:rsidR="000B1774" w:rsidRPr="00A04572" w:rsidRDefault="000B1774" w:rsidP="00075A92">
            <w:pPr>
              <w:pStyle w:val="Bullet"/>
            </w:pPr>
            <w:r w:rsidRPr="00A04572">
              <w:t>explained its reserves policy in accordance with the SORP FRS 102’s requirements</w:t>
            </w:r>
          </w:p>
          <w:p w14:paraId="0C134A40" w14:textId="77777777" w:rsidR="000B1774" w:rsidRPr="00A04572" w:rsidRDefault="000B1774" w:rsidP="00075A92">
            <w:pPr>
              <w:pStyle w:val="Bullet"/>
            </w:pPr>
            <w:r w:rsidRPr="00A04572">
              <w:t>calculated its stated level of reserves correctly.</w:t>
            </w:r>
          </w:p>
          <w:p w14:paraId="5B1422E9" w14:textId="018CEE4B" w:rsidR="000B1774" w:rsidRPr="00A04572" w:rsidRDefault="000B1774" w:rsidP="00EC1B15">
            <w:pPr>
              <w:pStyle w:val="Bodytext"/>
            </w:pPr>
            <w:r w:rsidRPr="00A04572">
              <w:t xml:space="preserve">While </w:t>
            </w:r>
            <w:r w:rsidR="00075A92">
              <w:t>most</w:t>
            </w:r>
            <w:r w:rsidRPr="00A04572">
              <w:t xml:space="preserve"> charities </w:t>
            </w:r>
            <w:r w:rsidR="003C2231" w:rsidRPr="00A04572">
              <w:t>includ</w:t>
            </w:r>
            <w:r w:rsidR="003C2231">
              <w:t>ed</w:t>
            </w:r>
            <w:r w:rsidRPr="00A04572">
              <w:t xml:space="preserve"> a reference to their reserves policy, more than a third did not include all of the basic information required. The most common omission was a statement of the level of reserves held.</w:t>
            </w:r>
          </w:p>
          <w:p w14:paraId="2E8C1E2F" w14:textId="61204C9F" w:rsidR="000B1774" w:rsidRPr="00D408DC" w:rsidRDefault="000B1774" w:rsidP="00EC1B15">
            <w:pPr>
              <w:pStyle w:val="Bodytext"/>
              <w:rPr>
                <w:b/>
                <w:bCs/>
                <w:i/>
                <w:iCs/>
              </w:rPr>
            </w:pPr>
            <w:r>
              <w:lastRenderedPageBreak/>
              <w:t>Paragraph</w:t>
            </w:r>
            <w:r w:rsidRPr="00A04572">
              <w:t xml:space="preserve"> </w:t>
            </w:r>
            <w:r w:rsidRPr="00A04572">
              <w:fldChar w:fldCharType="begin"/>
            </w:r>
            <w:r w:rsidRPr="00A04572">
              <w:instrText xml:space="preserve"> REF _Ref66288647 \r \h  \* MERGEFORMAT </w:instrText>
            </w:r>
            <w:r w:rsidRPr="00A04572">
              <w:fldChar w:fldCharType="separate"/>
            </w:r>
            <w:r w:rsidR="00E6322B">
              <w:t>56</w:t>
            </w:r>
            <w:r w:rsidRPr="00A04572">
              <w:fldChar w:fldCharType="end"/>
            </w:r>
            <w:r w:rsidRPr="00A04572">
              <w:t xml:space="preserve"> of the example annual report and accounts reflect</w:t>
            </w:r>
            <w:r>
              <w:t>s</w:t>
            </w:r>
            <w:r w:rsidRPr="00A04572">
              <w:t xml:space="preserve"> the charity’s approach to managing designated funds.</w:t>
            </w:r>
          </w:p>
        </w:tc>
      </w:tr>
    </w:tbl>
    <w:p w14:paraId="19BD7337" w14:textId="77777777" w:rsidR="000B1774" w:rsidRPr="006644A8" w:rsidRDefault="000B1774" w:rsidP="000B1774">
      <w:pPr>
        <w:pStyle w:val="Bodytext"/>
        <w:numPr>
          <w:ilvl w:val="0"/>
          <w:numId w:val="38"/>
        </w:numPr>
      </w:pPr>
      <w:bookmarkStart w:id="29" w:name="_Ref66290995"/>
      <w:r w:rsidRPr="006644A8">
        <w:lastRenderedPageBreak/>
        <w:t xml:space="preserve">The </w:t>
      </w:r>
      <w:r>
        <w:t>charitable funds committee</w:t>
      </w:r>
      <w:r w:rsidRPr="006644A8">
        <w:t xml:space="preserve"> ha</w:t>
      </w:r>
      <w:r>
        <w:t>s</w:t>
      </w:r>
      <w:r w:rsidRPr="006644A8">
        <w:t xml:space="preserve"> established a reserves policy as part of </w:t>
      </w:r>
      <w:r>
        <w:t>its</w:t>
      </w:r>
      <w:r w:rsidRPr="006644A8">
        <w:t xml:space="preserve"> plans to provide long term support to </w:t>
      </w:r>
      <w:r>
        <w:t>OtM</w:t>
      </w:r>
      <w:r w:rsidRPr="006644A8">
        <w:t>.</w:t>
      </w:r>
      <w:bookmarkEnd w:id="29"/>
    </w:p>
    <w:p w14:paraId="13F9B876" w14:textId="77777777" w:rsidR="000B1774" w:rsidRPr="006644A8" w:rsidRDefault="000B1774" w:rsidP="000B1774">
      <w:pPr>
        <w:pStyle w:val="Bodytext"/>
        <w:numPr>
          <w:ilvl w:val="0"/>
          <w:numId w:val="38"/>
        </w:numPr>
      </w:pPr>
      <w:r w:rsidRPr="006644A8">
        <w:t xml:space="preserve">The </w:t>
      </w:r>
      <w:r>
        <w:t>charitable funds committee</w:t>
      </w:r>
      <w:r w:rsidRPr="006644A8">
        <w:t xml:space="preserve"> calculate the reserves as that part of the charity’s unrestricted income funds that is freely available after taking account of designated funds</w:t>
      </w:r>
      <w:r>
        <w:t xml:space="preserve"> that </w:t>
      </w:r>
      <w:r w:rsidRPr="006644A8">
        <w:t xml:space="preserve">have been earmarked for specific projects. </w:t>
      </w:r>
    </w:p>
    <w:p w14:paraId="6E26322C" w14:textId="465F8E1A" w:rsidR="000B1774" w:rsidRPr="004F2318" w:rsidRDefault="000B1774" w:rsidP="000B1774">
      <w:pPr>
        <w:pStyle w:val="Bodytext"/>
        <w:numPr>
          <w:ilvl w:val="0"/>
          <w:numId w:val="38"/>
        </w:numPr>
      </w:pPr>
      <w:r w:rsidRPr="004F2318">
        <w:t>The free reserves currently stand at £</w:t>
      </w:r>
      <w:r w:rsidR="00B749B8">
        <w:t>754</w:t>
      </w:r>
      <w:r w:rsidRPr="004F2318">
        <w:t>,000 and are calculated as follows:</w:t>
      </w:r>
    </w:p>
    <w:tbl>
      <w:tblPr>
        <w:tblStyle w:val="TableGrid"/>
        <w:tblW w:w="705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2356"/>
      </w:tblGrid>
      <w:tr w:rsidR="000B1774" w:rsidRPr="004F2318" w14:paraId="298DD917" w14:textId="77777777" w:rsidTr="00021532">
        <w:trPr>
          <w:jc w:val="center"/>
        </w:trPr>
        <w:tc>
          <w:tcPr>
            <w:tcW w:w="4698" w:type="dxa"/>
          </w:tcPr>
          <w:p w14:paraId="4A5FC1BD" w14:textId="77777777" w:rsidR="000B1774" w:rsidRPr="004F2318" w:rsidRDefault="000B1774" w:rsidP="00021532">
            <w:pPr>
              <w:pStyle w:val="Bodytext"/>
              <w:ind w:left="321"/>
            </w:pPr>
            <w:r w:rsidRPr="004F2318">
              <w:t>Total unrestricted funds of</w:t>
            </w:r>
          </w:p>
        </w:tc>
        <w:tc>
          <w:tcPr>
            <w:tcW w:w="2356" w:type="dxa"/>
          </w:tcPr>
          <w:p w14:paraId="56983DF6" w14:textId="0C97F3B9" w:rsidR="000B1774" w:rsidRPr="004F2318" w:rsidRDefault="000B1774" w:rsidP="00EC1B15">
            <w:pPr>
              <w:pStyle w:val="Bodytext"/>
              <w:jc w:val="right"/>
            </w:pPr>
            <w:r w:rsidRPr="004F2318">
              <w:t>£</w:t>
            </w:r>
            <w:r w:rsidR="006365A9" w:rsidRPr="004F2318">
              <w:t>1,</w:t>
            </w:r>
            <w:r w:rsidR="00F95F56" w:rsidRPr="004F2318">
              <w:t>701</w:t>
            </w:r>
            <w:r w:rsidR="00FC42D1" w:rsidRPr="004F2318">
              <w:t>,</w:t>
            </w:r>
            <w:r w:rsidR="00E56DC8" w:rsidRPr="004F2318">
              <w:t>000</w:t>
            </w:r>
          </w:p>
        </w:tc>
      </w:tr>
      <w:tr w:rsidR="000B1774" w:rsidRPr="004F2318" w14:paraId="0B794160" w14:textId="77777777" w:rsidTr="00021532">
        <w:trPr>
          <w:jc w:val="center"/>
        </w:trPr>
        <w:tc>
          <w:tcPr>
            <w:tcW w:w="4698" w:type="dxa"/>
          </w:tcPr>
          <w:p w14:paraId="41CE0F36" w14:textId="77777777" w:rsidR="000B1774" w:rsidRPr="004F2318" w:rsidRDefault="000B1774" w:rsidP="00021532">
            <w:pPr>
              <w:pStyle w:val="Bodytext"/>
              <w:ind w:left="321"/>
            </w:pPr>
            <w:r w:rsidRPr="004F2318">
              <w:t>Less designated funds</w:t>
            </w:r>
          </w:p>
        </w:tc>
        <w:tc>
          <w:tcPr>
            <w:tcW w:w="2356" w:type="dxa"/>
          </w:tcPr>
          <w:p w14:paraId="192A6BE0" w14:textId="2345D18F" w:rsidR="000B1774" w:rsidRPr="004F2318" w:rsidRDefault="000B1774" w:rsidP="00EC1B15">
            <w:pPr>
              <w:pStyle w:val="Bodytext"/>
              <w:jc w:val="right"/>
            </w:pPr>
            <w:r w:rsidRPr="004F2318">
              <w:t>(£</w:t>
            </w:r>
            <w:r w:rsidR="00530EFF" w:rsidRPr="004F2318">
              <w:t>9</w:t>
            </w:r>
            <w:r w:rsidR="00DF28E5" w:rsidRPr="004F2318">
              <w:t>47</w:t>
            </w:r>
            <w:r w:rsidRPr="004F2318">
              <w:t>,000)</w:t>
            </w:r>
          </w:p>
        </w:tc>
      </w:tr>
      <w:tr w:rsidR="000B1774" w14:paraId="0BAEAEC0" w14:textId="77777777" w:rsidTr="00021532">
        <w:trPr>
          <w:jc w:val="center"/>
        </w:trPr>
        <w:tc>
          <w:tcPr>
            <w:tcW w:w="4698" w:type="dxa"/>
          </w:tcPr>
          <w:p w14:paraId="45CDC0EA" w14:textId="364C451C" w:rsidR="000B1774" w:rsidRPr="004F2318" w:rsidRDefault="000B1774" w:rsidP="00021532">
            <w:pPr>
              <w:pStyle w:val="Bodytext"/>
              <w:ind w:left="321"/>
            </w:pPr>
            <w:r w:rsidRPr="004F2318">
              <w:rPr>
                <w:b/>
              </w:rPr>
              <w:t xml:space="preserve">Total </w:t>
            </w:r>
            <w:r w:rsidR="00FC42D1" w:rsidRPr="004F2318">
              <w:rPr>
                <w:b/>
              </w:rPr>
              <w:t xml:space="preserve">free </w:t>
            </w:r>
            <w:r w:rsidRPr="004F2318">
              <w:rPr>
                <w:b/>
              </w:rPr>
              <w:t>reserves</w:t>
            </w:r>
          </w:p>
        </w:tc>
        <w:tc>
          <w:tcPr>
            <w:tcW w:w="2356" w:type="dxa"/>
          </w:tcPr>
          <w:p w14:paraId="016E9DF7" w14:textId="2F50D482" w:rsidR="000B1774" w:rsidRDefault="000B1774" w:rsidP="00EC1B15">
            <w:pPr>
              <w:pStyle w:val="Bodytext"/>
              <w:jc w:val="right"/>
            </w:pPr>
            <w:r w:rsidRPr="004F2318">
              <w:rPr>
                <w:b/>
              </w:rPr>
              <w:t>£</w:t>
            </w:r>
            <w:r w:rsidR="00EB4D83" w:rsidRPr="004F2318">
              <w:rPr>
                <w:b/>
              </w:rPr>
              <w:t>7</w:t>
            </w:r>
            <w:r w:rsidR="004E3F57" w:rsidRPr="004F2318">
              <w:rPr>
                <w:b/>
              </w:rPr>
              <w:t>54</w:t>
            </w:r>
            <w:r w:rsidR="00FC42D1" w:rsidRPr="004F2318">
              <w:rPr>
                <w:b/>
              </w:rPr>
              <w:t>,000</w:t>
            </w:r>
          </w:p>
        </w:tc>
      </w:tr>
      <w:tr w:rsidR="00AD3476" w14:paraId="7399E8D8" w14:textId="77777777" w:rsidTr="00021532">
        <w:trPr>
          <w:jc w:val="center"/>
        </w:trPr>
        <w:tc>
          <w:tcPr>
            <w:tcW w:w="4698" w:type="dxa"/>
          </w:tcPr>
          <w:p w14:paraId="6C318AE4" w14:textId="77777777" w:rsidR="00AD3476" w:rsidRPr="00AD3476" w:rsidRDefault="00AD3476" w:rsidP="00021532">
            <w:pPr>
              <w:pStyle w:val="Bodytext"/>
              <w:ind w:left="321"/>
              <w:rPr>
                <w:b/>
                <w:highlight w:val="yellow"/>
              </w:rPr>
            </w:pPr>
          </w:p>
        </w:tc>
        <w:tc>
          <w:tcPr>
            <w:tcW w:w="2356" w:type="dxa"/>
          </w:tcPr>
          <w:p w14:paraId="43AA3401" w14:textId="77777777" w:rsidR="00AD3476" w:rsidRPr="00AD3476" w:rsidRDefault="00AD3476" w:rsidP="00EC1B15">
            <w:pPr>
              <w:pStyle w:val="Bodytext"/>
              <w:jc w:val="right"/>
              <w:rPr>
                <w:b/>
                <w:highlight w:val="yellow"/>
              </w:rPr>
            </w:pPr>
          </w:p>
        </w:tc>
      </w:tr>
    </w:tbl>
    <w:p w14:paraId="4772C10F" w14:textId="77777777" w:rsidR="000B1774" w:rsidRPr="006644A8" w:rsidRDefault="000B1774" w:rsidP="00B407C0">
      <w:pPr>
        <w:pStyle w:val="Bodytext"/>
        <w:numPr>
          <w:ilvl w:val="0"/>
          <w:numId w:val="38"/>
        </w:numPr>
      </w:pPr>
      <w:r w:rsidRPr="006644A8">
        <w:t xml:space="preserve">The </w:t>
      </w:r>
      <w:r>
        <w:t>charitable funds committee</w:t>
      </w:r>
      <w:r w:rsidRPr="006644A8">
        <w:t xml:space="preserve"> intend</w:t>
      </w:r>
      <w:r>
        <w:t>s</w:t>
      </w:r>
      <w:r w:rsidRPr="006644A8">
        <w:t xml:space="preserve"> that designated funds are spent within a reasonable period of receipt and therefore </w:t>
      </w:r>
      <w:r>
        <w:t xml:space="preserve">expects </w:t>
      </w:r>
      <w:r w:rsidRPr="006644A8">
        <w:t xml:space="preserve">to </w:t>
      </w:r>
      <w:r>
        <w:t xml:space="preserve">only </w:t>
      </w:r>
      <w:r w:rsidRPr="006644A8">
        <w:t>maintain reserves sufficient to provide certainty of funding for the research programme and continuity for general grant making. Therefore</w:t>
      </w:r>
      <w:r>
        <w:t>,</w:t>
      </w:r>
      <w:r w:rsidRPr="006644A8">
        <w:t xml:space="preserve"> the target range for reserves is between £1.5m to £2m to ensure the stability of grant funding. </w:t>
      </w:r>
    </w:p>
    <w:p w14:paraId="18654278" w14:textId="6FED99C4" w:rsidR="000B1774" w:rsidRPr="006644A8" w:rsidRDefault="000B1774" w:rsidP="00021532">
      <w:pPr>
        <w:pStyle w:val="Bodytext"/>
        <w:ind w:left="360"/>
      </w:pPr>
      <w:r w:rsidRPr="006644A8">
        <w:t>The minimum reserve requirement is calculated as follows: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2356"/>
      </w:tblGrid>
      <w:tr w:rsidR="000B1774" w14:paraId="3A5CCF20" w14:textId="77777777" w:rsidTr="00EC1B15">
        <w:trPr>
          <w:jc w:val="center"/>
        </w:trPr>
        <w:tc>
          <w:tcPr>
            <w:tcW w:w="4698" w:type="dxa"/>
          </w:tcPr>
          <w:p w14:paraId="7FB3A180" w14:textId="77777777" w:rsidR="000B1774" w:rsidRDefault="000B1774" w:rsidP="00021532">
            <w:pPr>
              <w:pStyle w:val="Bodytext"/>
              <w:ind w:left="321"/>
            </w:pPr>
            <w:r w:rsidRPr="006644A8">
              <w:t>Requirement for medical research activity</w:t>
            </w:r>
          </w:p>
        </w:tc>
        <w:tc>
          <w:tcPr>
            <w:tcW w:w="2356" w:type="dxa"/>
          </w:tcPr>
          <w:p w14:paraId="29479646" w14:textId="77777777" w:rsidR="000B1774" w:rsidRDefault="000B1774" w:rsidP="00021532">
            <w:pPr>
              <w:pStyle w:val="Bodytext"/>
              <w:jc w:val="right"/>
            </w:pPr>
            <w:r w:rsidRPr="006644A8">
              <w:t>£1,000,000</w:t>
            </w:r>
          </w:p>
        </w:tc>
      </w:tr>
      <w:tr w:rsidR="000B1774" w14:paraId="76089D51" w14:textId="77777777" w:rsidTr="00EC1B15">
        <w:trPr>
          <w:jc w:val="center"/>
        </w:trPr>
        <w:tc>
          <w:tcPr>
            <w:tcW w:w="4698" w:type="dxa"/>
          </w:tcPr>
          <w:p w14:paraId="1582D459" w14:textId="77777777" w:rsidR="000B1774" w:rsidRDefault="000B1774" w:rsidP="00021532">
            <w:pPr>
              <w:pStyle w:val="Bodytext"/>
              <w:ind w:left="321"/>
            </w:pPr>
            <w:r w:rsidRPr="006644A8">
              <w:t xml:space="preserve">Requirement for all other charitable expenditure </w:t>
            </w:r>
          </w:p>
        </w:tc>
        <w:tc>
          <w:tcPr>
            <w:tcW w:w="2356" w:type="dxa"/>
          </w:tcPr>
          <w:p w14:paraId="57190604" w14:textId="77777777" w:rsidR="000B1774" w:rsidRDefault="000B1774" w:rsidP="00021532">
            <w:pPr>
              <w:pStyle w:val="Bodytext"/>
              <w:jc w:val="right"/>
            </w:pPr>
            <w:r>
              <w:t>£</w:t>
            </w:r>
            <w:r w:rsidRPr="006644A8">
              <w:t>500,000</w:t>
            </w:r>
          </w:p>
        </w:tc>
      </w:tr>
      <w:tr w:rsidR="000B1774" w14:paraId="28623F31" w14:textId="77777777" w:rsidTr="00EC1B15">
        <w:trPr>
          <w:jc w:val="center"/>
        </w:trPr>
        <w:tc>
          <w:tcPr>
            <w:tcW w:w="4698" w:type="dxa"/>
          </w:tcPr>
          <w:p w14:paraId="438832C6" w14:textId="77777777" w:rsidR="000B1774" w:rsidRDefault="000B1774" w:rsidP="00021532">
            <w:pPr>
              <w:pStyle w:val="Bodytext"/>
              <w:ind w:left="321"/>
            </w:pPr>
            <w:r w:rsidRPr="006644A8">
              <w:rPr>
                <w:b/>
              </w:rPr>
              <w:t>Total reserve requirement</w:t>
            </w:r>
          </w:p>
        </w:tc>
        <w:tc>
          <w:tcPr>
            <w:tcW w:w="2356" w:type="dxa"/>
          </w:tcPr>
          <w:p w14:paraId="5B10A3A1" w14:textId="77777777" w:rsidR="000B1774" w:rsidRDefault="000B1774" w:rsidP="00EC1B15">
            <w:pPr>
              <w:pStyle w:val="Bodytext"/>
              <w:jc w:val="right"/>
            </w:pPr>
            <w:r w:rsidRPr="006644A8">
              <w:rPr>
                <w:b/>
              </w:rPr>
              <w:t>£1,500,000</w:t>
            </w:r>
          </w:p>
        </w:tc>
      </w:tr>
    </w:tbl>
    <w:p w14:paraId="5C1EFD43" w14:textId="5B21380F" w:rsidR="000B1774" w:rsidRDefault="000B1774" w:rsidP="000B1774">
      <w:pPr>
        <w:pStyle w:val="Bodytext"/>
        <w:ind w:left="360"/>
        <w:rPr>
          <w:b/>
          <w:bCs/>
          <w:i/>
          <w:iCs/>
        </w:rPr>
      </w:pPr>
      <w:r w:rsidRPr="002420A7">
        <w:t xml:space="preserve">The reserves held are </w:t>
      </w:r>
      <w:r w:rsidR="00A16A3F" w:rsidRPr="002420A7">
        <w:t xml:space="preserve">not within our target range – this is due to </w:t>
      </w:r>
      <w:r w:rsidR="001E1949">
        <w:t xml:space="preserve">the impact of </w:t>
      </w:r>
      <w:r w:rsidR="001E1949" w:rsidRPr="00A05123">
        <w:rPr>
          <w:b/>
          <w:bCs/>
          <w:i/>
          <w:iCs/>
        </w:rPr>
        <w:t xml:space="preserve">the </w:t>
      </w:r>
      <w:r w:rsidR="00A05123" w:rsidRPr="00A05123">
        <w:rPr>
          <w:b/>
          <w:bCs/>
          <w:i/>
          <w:iCs/>
        </w:rPr>
        <w:t>cost-of-living</w:t>
      </w:r>
      <w:r w:rsidR="001E1949" w:rsidRPr="00A05123">
        <w:rPr>
          <w:b/>
          <w:bCs/>
          <w:i/>
          <w:iCs/>
        </w:rPr>
        <w:t xml:space="preserve"> crisis</w:t>
      </w:r>
      <w:r w:rsidR="00BC4F81" w:rsidRPr="00A05123">
        <w:rPr>
          <w:b/>
          <w:bCs/>
          <w:i/>
          <w:iCs/>
        </w:rPr>
        <w:t xml:space="preserve">, and the </w:t>
      </w:r>
      <w:r w:rsidR="00FF466C" w:rsidRPr="00A05123">
        <w:rPr>
          <w:b/>
          <w:bCs/>
          <w:i/>
          <w:iCs/>
        </w:rPr>
        <w:t xml:space="preserve">increasingly challenging </w:t>
      </w:r>
      <w:r w:rsidR="00FC3793" w:rsidRPr="00A05123">
        <w:rPr>
          <w:b/>
          <w:bCs/>
          <w:i/>
          <w:iCs/>
        </w:rPr>
        <w:t xml:space="preserve">public funding </w:t>
      </w:r>
      <w:r w:rsidR="00FF466C" w:rsidRPr="00A05123">
        <w:rPr>
          <w:b/>
          <w:bCs/>
          <w:i/>
          <w:iCs/>
        </w:rPr>
        <w:t xml:space="preserve">environment which makes it harder to </w:t>
      </w:r>
      <w:r w:rsidR="00F3163E" w:rsidRPr="00A05123">
        <w:rPr>
          <w:b/>
          <w:bCs/>
          <w:i/>
          <w:iCs/>
        </w:rPr>
        <w:t>secure</w:t>
      </w:r>
      <w:r w:rsidR="00EA3938" w:rsidRPr="00A05123">
        <w:rPr>
          <w:b/>
          <w:bCs/>
          <w:i/>
          <w:iCs/>
        </w:rPr>
        <w:t xml:space="preserve"> public donations</w:t>
      </w:r>
      <w:r w:rsidR="00F3163E" w:rsidRPr="00A05123">
        <w:rPr>
          <w:b/>
          <w:bCs/>
          <w:i/>
          <w:iCs/>
        </w:rPr>
        <w:t>,</w:t>
      </w:r>
      <w:r w:rsidR="00F3163E">
        <w:t xml:space="preserve"> o</w:t>
      </w:r>
      <w:r w:rsidR="00A16A3F" w:rsidRPr="002420A7">
        <w:t>n our planned fundraising</w:t>
      </w:r>
      <w:r w:rsidR="00B90AB4" w:rsidRPr="00CC296B">
        <w:rPr>
          <w:b/>
          <w:bCs/>
          <w:i/>
          <w:iCs/>
        </w:rPr>
        <w:t>.</w:t>
      </w:r>
    </w:p>
    <w:p w14:paraId="2BE6D19A" w14:textId="08CC0F71" w:rsidR="000B1774" w:rsidRDefault="000B1774" w:rsidP="000B1774">
      <w:pPr>
        <w:pStyle w:val="Bodytext"/>
        <w:numPr>
          <w:ilvl w:val="0"/>
          <w:numId w:val="38"/>
        </w:numPr>
      </w:pPr>
      <w:bookmarkStart w:id="30" w:name="_Ref66288647"/>
      <w:r w:rsidRPr="000772E3">
        <w:t xml:space="preserve">The </w:t>
      </w:r>
      <w:r>
        <w:t>charitable funds committee</w:t>
      </w:r>
      <w:r w:rsidRPr="000772E3">
        <w:t xml:space="preserve"> </w:t>
      </w:r>
      <w:r>
        <w:t xml:space="preserve">expects that designated funds will be spent within three years. It therefore regularly </w:t>
      </w:r>
      <w:r w:rsidRPr="000772E3">
        <w:t>review</w:t>
      </w:r>
      <w:r>
        <w:t>s</w:t>
      </w:r>
      <w:r w:rsidRPr="000772E3">
        <w:t xml:space="preserve"> the balances </w:t>
      </w:r>
      <w:r w:rsidRPr="000772E3">
        <w:t xml:space="preserve">held in designated funds </w:t>
      </w:r>
      <w:r>
        <w:t>against this benchmark unless it has been agreed that a different period is more appropriate based on the reason for the designation. Where the fund has not been spent within three years, the charitable funds committee will</w:t>
      </w:r>
      <w:r w:rsidRPr="000772E3">
        <w:t xml:space="preserve"> determine whether </w:t>
      </w:r>
      <w:r>
        <w:t xml:space="preserve">the fund is </w:t>
      </w:r>
      <w:r w:rsidRPr="000772E3">
        <w:t xml:space="preserve">likely to be committed </w:t>
      </w:r>
      <w:r w:rsidR="00F84379" w:rsidRPr="000772E3">
        <w:t>soon</w:t>
      </w:r>
      <w:r w:rsidRPr="000772E3">
        <w:t xml:space="preserve"> and the extent to which there is a continuing need for </w:t>
      </w:r>
      <w:r>
        <w:t xml:space="preserve">the </w:t>
      </w:r>
      <w:r w:rsidRPr="000772E3">
        <w:t>particular designated fund(s).</w:t>
      </w:r>
      <w:r>
        <w:t xml:space="preserve"> Where it is decided that the designation is no longer necessary or the designated </w:t>
      </w:r>
      <w:r w:rsidRPr="000772E3">
        <w:t xml:space="preserve">fund </w:t>
      </w:r>
      <w:r>
        <w:t xml:space="preserve">has been inactive for more than five years, the funds are </w:t>
      </w:r>
      <w:r w:rsidRPr="000772E3">
        <w:t xml:space="preserve">closed and transferred to </w:t>
      </w:r>
      <w:r w:rsidR="009D6CCC">
        <w:t xml:space="preserve">general unrestricted </w:t>
      </w:r>
      <w:r w:rsidRPr="000772E3">
        <w:t>reserves.</w:t>
      </w:r>
      <w:bookmarkEnd w:id="30"/>
      <w:r>
        <w:t xml:space="preserve"> </w:t>
      </w:r>
    </w:p>
    <w:p w14:paraId="2BEFD066" w14:textId="77777777" w:rsidR="000B1774" w:rsidRPr="00E64496" w:rsidRDefault="000B1774" w:rsidP="000B1774">
      <w:pPr>
        <w:pStyle w:val="Heading2"/>
      </w:pPr>
      <w:r w:rsidRPr="006644A8">
        <w:t>About our investments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3"/>
      </w:tblGrid>
      <w:tr w:rsidR="000B1774" w:rsidRPr="006644A8" w14:paraId="590F3DBF" w14:textId="77777777" w:rsidTr="00EC1B15">
        <w:tc>
          <w:tcPr>
            <w:tcW w:w="9396" w:type="dxa"/>
            <w:shd w:val="clear" w:color="auto" w:fill="auto"/>
          </w:tcPr>
          <w:p w14:paraId="2A1A9693" w14:textId="37710BE8" w:rsidR="000B1774" w:rsidRPr="00E9043E" w:rsidRDefault="000B1774" w:rsidP="00EC1B15">
            <w:pPr>
              <w:pStyle w:val="Bodytext"/>
            </w:pPr>
            <w:r w:rsidRPr="00E9043E">
              <w:t xml:space="preserve">Paragraphs </w:t>
            </w:r>
            <w:r w:rsidRPr="00E9043E">
              <w:fldChar w:fldCharType="begin"/>
            </w:r>
            <w:r w:rsidRPr="00E9043E">
              <w:instrText xml:space="preserve"> REF _Ref431885449 \r \h  \* MERGEFORMAT </w:instrText>
            </w:r>
            <w:r w:rsidRPr="00E9043E">
              <w:fldChar w:fldCharType="separate"/>
            </w:r>
            <w:r w:rsidR="00E6322B">
              <w:t>57</w:t>
            </w:r>
            <w:r w:rsidRPr="00E9043E">
              <w:fldChar w:fldCharType="end"/>
            </w:r>
            <w:r w:rsidRPr="00E9043E">
              <w:t xml:space="preserve"> to </w:t>
            </w:r>
            <w:r w:rsidRPr="00E9043E">
              <w:fldChar w:fldCharType="begin"/>
            </w:r>
            <w:r w:rsidRPr="00E9043E">
              <w:instrText xml:space="preserve"> REF _Ref431885457 \r \h  \* MERGEFORMAT </w:instrText>
            </w:r>
            <w:r w:rsidRPr="00E9043E">
              <w:fldChar w:fldCharType="separate"/>
            </w:r>
            <w:r w:rsidR="00E6322B">
              <w:t>60</w:t>
            </w:r>
            <w:r w:rsidRPr="00E9043E">
              <w:fldChar w:fldCharType="end"/>
            </w:r>
            <w:r w:rsidRPr="00E9043E">
              <w:t xml:space="preserve"> of the annual report meet the fourth requirement of paragraph 1.41 of the </w:t>
            </w:r>
            <w:r>
              <w:t>SORP FRS 102</w:t>
            </w:r>
            <w:r w:rsidRPr="00E9043E">
              <w:t xml:space="preserve">. </w:t>
            </w:r>
          </w:p>
        </w:tc>
      </w:tr>
    </w:tbl>
    <w:p w14:paraId="38C0B901" w14:textId="77777777" w:rsidR="000B1774" w:rsidRPr="00F84069" w:rsidRDefault="000B1774" w:rsidP="000B1774">
      <w:pPr>
        <w:pStyle w:val="Bodytext"/>
        <w:rPr>
          <w:rFonts w:cs="Arial"/>
          <w:sz w:val="18"/>
        </w:rPr>
      </w:pPr>
    </w:p>
    <w:p w14:paraId="5486356D" w14:textId="77777777" w:rsidR="000B1774" w:rsidRPr="006644A8" w:rsidRDefault="000B1774" w:rsidP="000B1774">
      <w:pPr>
        <w:pStyle w:val="Bodytext"/>
        <w:numPr>
          <w:ilvl w:val="0"/>
          <w:numId w:val="38"/>
        </w:numPr>
      </w:pPr>
      <w:bookmarkStart w:id="31" w:name="_Ref431885449"/>
      <w:r w:rsidRPr="006644A8">
        <w:t>The trustee hold</w:t>
      </w:r>
      <w:r>
        <w:t>s</w:t>
      </w:r>
      <w:r w:rsidRPr="006644A8">
        <w:t xml:space="preserve"> the Guptah endowment as XYZ Charities Investment Fund Income Units, on the advice of C Investment Management Limited with a view to striking a balance between income yield and the preservation of the real value of capital.</w:t>
      </w:r>
      <w:r>
        <w:t xml:space="preserve"> Investments are made on a total return basis. </w:t>
      </w:r>
      <w:r w:rsidRPr="006644A8">
        <w:t>Income is credited to a separate bank account and held as cash.</w:t>
      </w:r>
      <w:bookmarkEnd w:id="31"/>
      <w:r>
        <w:t xml:space="preserve"> </w:t>
      </w:r>
    </w:p>
    <w:p w14:paraId="3BBC7D2D" w14:textId="17ED358E" w:rsidR="000B1774" w:rsidRPr="006644A8" w:rsidRDefault="000B1774" w:rsidP="000B1774">
      <w:pPr>
        <w:pStyle w:val="Bodytext"/>
        <w:numPr>
          <w:ilvl w:val="0"/>
          <w:numId w:val="38"/>
        </w:numPr>
      </w:pPr>
      <w:r w:rsidRPr="006644A8">
        <w:t xml:space="preserve">Other investments of </w:t>
      </w:r>
      <w:r>
        <w:t>OtM</w:t>
      </w:r>
      <w:r w:rsidRPr="006644A8">
        <w:t xml:space="preserve"> are managed by Schumann &amp; Co Limited with the objective to maximise the income receivable whilst allowing a degree of capital growth. Since these funds represent unrestricted income funds including reserves, the emphasis is on maintaining a high level of liquidity and a low to moderate investment risk. The governing documents allow</w:t>
      </w:r>
      <w:r>
        <w:t>s</w:t>
      </w:r>
      <w:r w:rsidRPr="006644A8">
        <w:t xml:space="preserve"> the trustee to invest in a wide range of shares and investments, provided they are not speculative. The portfolio is structured to permit a range of investments intended to yield a competitive rate of return in difficult market conditions and part of the portfolio is invested in hedge funds. In addition, the </w:t>
      </w:r>
      <w:r>
        <w:t>charitable funds committee</w:t>
      </w:r>
      <w:r w:rsidRPr="006644A8">
        <w:t xml:space="preserve"> ha</w:t>
      </w:r>
      <w:r>
        <w:t>s</w:t>
      </w:r>
      <w:r w:rsidRPr="006644A8">
        <w:t xml:space="preserve"> decided not to invest in tobacco securities</w:t>
      </w:r>
      <w:r w:rsidR="00DF5E66">
        <w:t xml:space="preserve"> </w:t>
      </w:r>
      <w:r w:rsidR="00DF5E66" w:rsidRPr="00E81498">
        <w:rPr>
          <w:b/>
          <w:bCs/>
          <w:i/>
          <w:iCs/>
        </w:rPr>
        <w:t xml:space="preserve">or </w:t>
      </w:r>
      <w:r w:rsidR="00EA5D85" w:rsidRPr="00E81498">
        <w:rPr>
          <w:b/>
          <w:bCs/>
          <w:i/>
          <w:iCs/>
        </w:rPr>
        <w:t>fossil fuels</w:t>
      </w:r>
      <w:r w:rsidR="00B741F4">
        <w:t xml:space="preserve"> </w:t>
      </w:r>
      <w:r w:rsidRPr="006644A8">
        <w:t>because of the proven link</w:t>
      </w:r>
      <w:r w:rsidR="003500DF">
        <w:t>s</w:t>
      </w:r>
      <w:r w:rsidRPr="006644A8">
        <w:t xml:space="preserve"> between smoking</w:t>
      </w:r>
      <w:r w:rsidR="00DF5E66">
        <w:t xml:space="preserve">, </w:t>
      </w:r>
      <w:r w:rsidR="00DF5E66" w:rsidRPr="00A05123">
        <w:rPr>
          <w:b/>
          <w:bCs/>
          <w:i/>
          <w:iCs/>
        </w:rPr>
        <w:t>pollution</w:t>
      </w:r>
      <w:r w:rsidRPr="00A05123">
        <w:rPr>
          <w:b/>
          <w:bCs/>
          <w:i/>
          <w:iCs/>
        </w:rPr>
        <w:t xml:space="preserve"> and</w:t>
      </w:r>
      <w:r w:rsidRPr="006644A8">
        <w:t xml:space="preserve"> poor health which would make such investments contrary to our charitable aims.</w:t>
      </w:r>
    </w:p>
    <w:p w14:paraId="491AF460" w14:textId="77777777" w:rsidR="000B1774" w:rsidRPr="00AB49EF" w:rsidRDefault="000B1774" w:rsidP="000B1774">
      <w:pPr>
        <w:pStyle w:val="Bodytext"/>
        <w:numPr>
          <w:ilvl w:val="0"/>
          <w:numId w:val="38"/>
        </w:numPr>
        <w:rPr>
          <w:rFonts w:cs="Arial"/>
        </w:rPr>
      </w:pPr>
      <w:r w:rsidRPr="00AB49EF">
        <w:rPr>
          <w:rFonts w:cs="Arial"/>
        </w:rPr>
        <w:t>Appeal funds and funds intended to be used to pay grants in the near future are held on deposit to minimise investment risk.</w:t>
      </w:r>
    </w:p>
    <w:p w14:paraId="2A1DD63A" w14:textId="37A66F1C" w:rsidR="000B1774" w:rsidRPr="00361E7F" w:rsidRDefault="000B1774" w:rsidP="000B1774">
      <w:pPr>
        <w:pStyle w:val="Bodytext"/>
        <w:numPr>
          <w:ilvl w:val="0"/>
          <w:numId w:val="38"/>
        </w:numPr>
        <w:rPr>
          <w:rFonts w:asciiTheme="minorHAnsi" w:hAnsiTheme="minorHAnsi" w:cstheme="minorHAnsi"/>
          <w:szCs w:val="22"/>
        </w:rPr>
      </w:pPr>
      <w:bookmarkStart w:id="32" w:name="_Ref431885457"/>
      <w:r w:rsidRPr="00AB49EF">
        <w:rPr>
          <w:rFonts w:cs="Arial"/>
        </w:rPr>
        <w:lastRenderedPageBreak/>
        <w:t>Investment performance is monitored by the charitable funds committee</w:t>
      </w:r>
      <w:r w:rsidRPr="006644A8">
        <w:t xml:space="preserve"> </w:t>
      </w:r>
      <w:r>
        <w:t xml:space="preserve">by reviewing </w:t>
      </w:r>
      <w:r w:rsidRPr="006644A8">
        <w:t xml:space="preserve">regular reports from the investment managers. </w:t>
      </w:r>
      <w:r w:rsidRPr="002420A7">
        <w:t>T</w:t>
      </w:r>
      <w:r w:rsidR="000B6491" w:rsidRPr="002420A7">
        <w:t xml:space="preserve">he movement in the stock market affects the value of our investments. This year we have an </w:t>
      </w:r>
      <w:r w:rsidR="0033652D" w:rsidRPr="002420A7">
        <w:t xml:space="preserve">unrealised </w:t>
      </w:r>
      <w:r w:rsidR="00142654" w:rsidRPr="002420A7">
        <w:t>loss</w:t>
      </w:r>
      <w:r w:rsidR="0033652D" w:rsidRPr="002420A7">
        <w:t>. T</w:t>
      </w:r>
      <w:r w:rsidRPr="002420A7">
        <w:t>his makes little difference to the day- to-day running of the charity until the point that we have to sell our investments and realise the gain or loss.</w:t>
      </w:r>
      <w:r>
        <w:t xml:space="preserve"> </w:t>
      </w:r>
      <w:bookmarkEnd w:id="32"/>
    </w:p>
    <w:p w14:paraId="55B03042" w14:textId="77777777" w:rsidR="000B1774" w:rsidRPr="0033652D" w:rsidRDefault="000B1774" w:rsidP="0033652D">
      <w:pPr>
        <w:pStyle w:val="Heading2"/>
      </w:pPr>
      <w:r w:rsidRPr="0033652D">
        <w:t>How we organise our affairs: reference and administrative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3"/>
      </w:tblGrid>
      <w:tr w:rsidR="000B1774" w:rsidRPr="006644A8" w14:paraId="028C9D72" w14:textId="77777777" w:rsidTr="00EC1B15">
        <w:tc>
          <w:tcPr>
            <w:tcW w:w="9396" w:type="dxa"/>
            <w:shd w:val="clear" w:color="auto" w:fill="auto"/>
          </w:tcPr>
          <w:p w14:paraId="63382EDD" w14:textId="78FB19B5" w:rsidR="000B1774" w:rsidRPr="006644A8" w:rsidRDefault="000B1774" w:rsidP="00EC1B15">
            <w:pPr>
              <w:pStyle w:val="Bodytext"/>
            </w:pPr>
            <w:r w:rsidRPr="006644A8">
              <w:t xml:space="preserve">Paragraph 1.25 of the </w:t>
            </w:r>
            <w:r>
              <w:t>SORP FRS 102</w:t>
            </w:r>
            <w:r w:rsidRPr="006644A8">
              <w:t xml:space="preserve"> states that all charities must provide details of the nature of the governing document and how the charity is constituted.</w:t>
            </w:r>
            <w:r>
              <w:t xml:space="preserve"> </w:t>
            </w:r>
            <w:r w:rsidRPr="006644A8">
              <w:t xml:space="preserve">Paragraphs </w:t>
            </w:r>
            <w:r w:rsidRPr="006644A8">
              <w:fldChar w:fldCharType="begin"/>
            </w:r>
            <w:r w:rsidRPr="006644A8">
              <w:instrText xml:space="preserve"> REF _Ref431885570 \r \h </w:instrText>
            </w:r>
            <w:r>
              <w:instrText xml:space="preserve"> \* MERGEFORMAT </w:instrText>
            </w:r>
            <w:r w:rsidRPr="006644A8">
              <w:fldChar w:fldCharType="separate"/>
            </w:r>
            <w:r w:rsidR="00E6322B">
              <w:t>61</w:t>
            </w:r>
            <w:r w:rsidRPr="006644A8">
              <w:fldChar w:fldCharType="end"/>
            </w:r>
            <w:r w:rsidRPr="006644A8">
              <w:t xml:space="preserve"> to </w:t>
            </w:r>
            <w:r w:rsidRPr="006644A8">
              <w:fldChar w:fldCharType="begin"/>
            </w:r>
            <w:r w:rsidRPr="006644A8">
              <w:instrText xml:space="preserve"> REF _Ref431885558 \r \h </w:instrText>
            </w:r>
            <w:r>
              <w:instrText xml:space="preserve"> \* MERGEFORMAT </w:instrText>
            </w:r>
            <w:r w:rsidRPr="006644A8">
              <w:fldChar w:fldCharType="separate"/>
            </w:r>
            <w:r w:rsidR="00E6322B">
              <w:t>67</w:t>
            </w:r>
            <w:r w:rsidRPr="006644A8">
              <w:fldChar w:fldCharType="end"/>
            </w:r>
            <w:r w:rsidRPr="006644A8">
              <w:t xml:space="preserve"> of the annual report meet this requirement along with paragraphs </w:t>
            </w:r>
            <w:r>
              <w:fldChar w:fldCharType="begin"/>
            </w:r>
            <w:r>
              <w:instrText xml:space="preserve"> REF _Ref494705048 \r \h </w:instrText>
            </w:r>
            <w:r>
              <w:fldChar w:fldCharType="separate"/>
            </w:r>
            <w:r w:rsidR="00E6322B">
              <w:t>68</w:t>
            </w:r>
            <w:r>
              <w:fldChar w:fldCharType="end"/>
            </w:r>
            <w:r w:rsidRPr="006644A8">
              <w:t xml:space="preserve"> </w:t>
            </w:r>
            <w:r>
              <w:t xml:space="preserve">to </w:t>
            </w:r>
            <w:r>
              <w:fldChar w:fldCharType="begin"/>
            </w:r>
            <w:r>
              <w:instrText xml:space="preserve"> REF _Ref494703995 \r \h </w:instrText>
            </w:r>
            <w:r>
              <w:fldChar w:fldCharType="separate"/>
            </w:r>
            <w:r w:rsidR="00E6322B">
              <w:t>75</w:t>
            </w:r>
            <w:r>
              <w:fldChar w:fldCharType="end"/>
            </w:r>
            <w:r w:rsidRPr="006644A8">
              <w:t>.</w:t>
            </w:r>
          </w:p>
          <w:p w14:paraId="7D6ABAC9" w14:textId="354AC462" w:rsidR="000B1774" w:rsidRPr="006644A8" w:rsidRDefault="000B1774" w:rsidP="00EC1B15">
            <w:pPr>
              <w:pStyle w:val="Bodytext"/>
            </w:pPr>
            <w:r w:rsidRPr="006644A8">
              <w:t xml:space="preserve">Paragraph 1.27 of the </w:t>
            </w:r>
            <w:r>
              <w:t>SORP FRS 102</w:t>
            </w:r>
            <w:r w:rsidRPr="006644A8">
              <w:t xml:space="preserve"> requires that reference and administration information is provided in the annual report.</w:t>
            </w:r>
            <w:r>
              <w:t xml:space="preserve"> </w:t>
            </w:r>
            <w:r w:rsidRPr="006644A8">
              <w:t xml:space="preserve">The name of the charity and its charity registration numbers are given in paragraphs </w:t>
            </w:r>
            <w:r w:rsidRPr="006644A8">
              <w:fldChar w:fldCharType="begin"/>
            </w:r>
            <w:r w:rsidRPr="006644A8">
              <w:instrText xml:space="preserve"> REF _Ref431885570 \r \h </w:instrText>
            </w:r>
            <w:r>
              <w:instrText xml:space="preserve"> \* MERGEFORMAT </w:instrText>
            </w:r>
            <w:r w:rsidRPr="006644A8">
              <w:fldChar w:fldCharType="separate"/>
            </w:r>
            <w:r w:rsidR="00E6322B">
              <w:t>61</w:t>
            </w:r>
            <w:r w:rsidRPr="006644A8">
              <w:fldChar w:fldCharType="end"/>
            </w:r>
            <w:r w:rsidRPr="006644A8">
              <w:t xml:space="preserve"> to </w:t>
            </w:r>
            <w:r w:rsidRPr="006644A8">
              <w:fldChar w:fldCharType="begin"/>
            </w:r>
            <w:r w:rsidRPr="006644A8">
              <w:instrText xml:space="preserve"> REF _Ref431885558 \r \h </w:instrText>
            </w:r>
            <w:r>
              <w:instrText xml:space="preserve"> \* MERGEFORMAT </w:instrText>
            </w:r>
            <w:r w:rsidRPr="006644A8">
              <w:fldChar w:fldCharType="separate"/>
            </w:r>
            <w:r w:rsidR="00E6322B">
              <w:t>67</w:t>
            </w:r>
            <w:r w:rsidRPr="006644A8">
              <w:fldChar w:fldCharType="end"/>
            </w:r>
            <w:r w:rsidRPr="006644A8">
              <w:t>.</w:t>
            </w:r>
            <w:r>
              <w:t xml:space="preserve"> </w:t>
            </w:r>
            <w:r w:rsidRPr="006644A8">
              <w:t xml:space="preserve">The address of the principal office is provided after paragraph </w:t>
            </w:r>
            <w:r w:rsidRPr="006644A8">
              <w:fldChar w:fldCharType="begin"/>
            </w:r>
            <w:r w:rsidRPr="006644A8">
              <w:instrText xml:space="preserve"> REF _Ref431885558 \r \h </w:instrText>
            </w:r>
            <w:r>
              <w:instrText xml:space="preserve"> \* MERGEFORMAT </w:instrText>
            </w:r>
            <w:r w:rsidRPr="006644A8">
              <w:fldChar w:fldCharType="separate"/>
            </w:r>
            <w:r w:rsidR="00E6322B">
              <w:t>67</w:t>
            </w:r>
            <w:r w:rsidRPr="006644A8">
              <w:fldChar w:fldCharType="end"/>
            </w:r>
            <w:r w:rsidRPr="006644A8">
              <w:t xml:space="preserve">. </w:t>
            </w:r>
          </w:p>
        </w:tc>
      </w:tr>
    </w:tbl>
    <w:p w14:paraId="595C36A2" w14:textId="77777777" w:rsidR="00142654" w:rsidRPr="00142654" w:rsidRDefault="00142654" w:rsidP="00285863">
      <w:pPr>
        <w:pStyle w:val="Heading2"/>
        <w:keepNext w:val="0"/>
        <w:keepLines w:val="0"/>
        <w:rPr>
          <w:sz w:val="18"/>
          <w:szCs w:val="18"/>
        </w:rPr>
      </w:pPr>
    </w:p>
    <w:p w14:paraId="6780CB98" w14:textId="07015666" w:rsidR="000B1774" w:rsidRPr="006644A8" w:rsidRDefault="000B1774" w:rsidP="00285863">
      <w:pPr>
        <w:pStyle w:val="Heading2"/>
        <w:keepNext w:val="0"/>
        <w:keepLines w:val="0"/>
        <w:rPr>
          <w:bCs w:val="0"/>
        </w:rPr>
      </w:pPr>
      <w:r w:rsidRPr="006644A8">
        <w:t>The charities</w:t>
      </w:r>
    </w:p>
    <w:p w14:paraId="530F745D" w14:textId="77777777" w:rsidR="000B1774" w:rsidRPr="006644A8" w:rsidRDefault="000B1774" w:rsidP="00285863">
      <w:pPr>
        <w:pStyle w:val="Bodytext"/>
        <w:numPr>
          <w:ilvl w:val="0"/>
          <w:numId w:val="38"/>
        </w:numPr>
      </w:pPr>
      <w:bookmarkStart w:id="33" w:name="_Ref431885570"/>
      <w:r w:rsidRPr="006644A8">
        <w:t xml:space="preserve">The </w:t>
      </w:r>
      <w:r>
        <w:t>OtM</w:t>
      </w:r>
      <w:r w:rsidRPr="006644A8">
        <w:t xml:space="preserve"> are registered with the Charity Commission under the single Registered Number 107XXX0. There are three charities administered by the trustee, as follows:</w:t>
      </w:r>
      <w:bookmarkEnd w:id="33"/>
    </w:p>
    <w:p w14:paraId="12F00514" w14:textId="77777777" w:rsidR="000B1774" w:rsidRPr="006644A8" w:rsidRDefault="000B1774" w:rsidP="000B1774">
      <w:pPr>
        <w:pStyle w:val="Bodytext"/>
        <w:rPr>
          <w:b/>
          <w:i/>
        </w:rPr>
      </w:pPr>
      <w:r>
        <w:rPr>
          <w:b/>
          <w:i/>
        </w:rPr>
        <w:t>On the Mend NHS</w:t>
      </w:r>
      <w:r w:rsidRPr="006644A8">
        <w:rPr>
          <w:b/>
          <w:i/>
        </w:rPr>
        <w:t xml:space="preserve"> Charity (Registered Number 107XXX0-1)</w:t>
      </w:r>
    </w:p>
    <w:p w14:paraId="1CFF9C52" w14:textId="77777777" w:rsidR="000B1774" w:rsidRPr="006644A8" w:rsidRDefault="000B1774" w:rsidP="000B1774">
      <w:pPr>
        <w:pStyle w:val="Bodytext"/>
        <w:numPr>
          <w:ilvl w:val="0"/>
          <w:numId w:val="38"/>
        </w:numPr>
      </w:pPr>
      <w:r w:rsidRPr="006644A8">
        <w:t xml:space="preserve">Formerly known as the </w:t>
      </w:r>
      <w:r>
        <w:t>Healthville</w:t>
      </w:r>
      <w:r w:rsidRPr="006644A8">
        <w:t xml:space="preserve"> Hospital NHS Charity, the governing document is </w:t>
      </w:r>
      <w:r w:rsidRPr="000772E3">
        <w:t>a deed dated 5 October 1998</w:t>
      </w:r>
    </w:p>
    <w:p w14:paraId="151CB748" w14:textId="77777777" w:rsidR="000B1774" w:rsidRPr="000772E3" w:rsidRDefault="000B1774" w:rsidP="000B1774">
      <w:pPr>
        <w:pStyle w:val="Bodytext"/>
        <w:numPr>
          <w:ilvl w:val="0"/>
          <w:numId w:val="38"/>
        </w:numPr>
      </w:pPr>
      <w:r w:rsidRPr="006644A8">
        <w:t xml:space="preserve">Its objects are ‘for any charitable purpose or purposes relating to the National Health </w:t>
      </w:r>
      <w:r w:rsidRPr="000772E3">
        <w:t>Service.’</w:t>
      </w:r>
    </w:p>
    <w:p w14:paraId="09AFEF32" w14:textId="77777777" w:rsidR="000B1774" w:rsidRPr="002A19D1" w:rsidRDefault="000B1774" w:rsidP="000B1774">
      <w:pPr>
        <w:pStyle w:val="Bodytext"/>
        <w:rPr>
          <w:b/>
          <w:i/>
        </w:rPr>
      </w:pPr>
      <w:r>
        <w:rPr>
          <w:b/>
          <w:i/>
        </w:rPr>
        <w:t>On the Mend</w:t>
      </w:r>
      <w:r w:rsidRPr="002A19D1">
        <w:rPr>
          <w:b/>
          <w:i/>
        </w:rPr>
        <w:t xml:space="preserve"> General Charity (Registered Number 107XXX0-2)</w:t>
      </w:r>
    </w:p>
    <w:p w14:paraId="3D7800D2" w14:textId="77777777" w:rsidR="000B1774" w:rsidRPr="002A19D1" w:rsidRDefault="000B1774" w:rsidP="000B1774">
      <w:pPr>
        <w:pStyle w:val="Bodytext"/>
        <w:numPr>
          <w:ilvl w:val="0"/>
          <w:numId w:val="38"/>
        </w:numPr>
      </w:pPr>
      <w:r w:rsidRPr="002A19D1">
        <w:t xml:space="preserve">Formerly part of the ‘The United </w:t>
      </w:r>
      <w:r>
        <w:t>Healthville</w:t>
      </w:r>
      <w:r w:rsidRPr="002A19D1">
        <w:t xml:space="preserve"> Hospitals Trust Funds General Charity’ this charity is governed by a Scheme of the Charity Commission dated 1 April 1999.</w:t>
      </w:r>
    </w:p>
    <w:p w14:paraId="3FC43FD9" w14:textId="77777777" w:rsidR="000B1774" w:rsidRPr="006644A8" w:rsidRDefault="000B1774" w:rsidP="000B1774">
      <w:pPr>
        <w:pStyle w:val="Bodytext"/>
        <w:numPr>
          <w:ilvl w:val="0"/>
          <w:numId w:val="38"/>
        </w:numPr>
      </w:pPr>
      <w:r w:rsidRPr="002A19D1">
        <w:t>Its objects are ‘to further such charitable purpose or purposes as the trustee shall think fit, relating (a) to the</w:t>
      </w:r>
      <w:r w:rsidRPr="006644A8">
        <w:t xml:space="preserve"> hospitals for which </w:t>
      </w:r>
      <w:r w:rsidRPr="00BF2602">
        <w:t xml:space="preserve">the trustee </w:t>
      </w:r>
      <w:r w:rsidRPr="00BF2602">
        <w:t>is trustee, including research; or (b) to any other part of the he</w:t>
      </w:r>
      <w:r w:rsidRPr="006644A8">
        <w:t>alth service associated with those hospitals.’</w:t>
      </w:r>
    </w:p>
    <w:p w14:paraId="66D22D37" w14:textId="77777777" w:rsidR="000B1774" w:rsidRPr="000772E3" w:rsidRDefault="000B1774" w:rsidP="00285863">
      <w:pPr>
        <w:pStyle w:val="Bodytext"/>
        <w:keepNext/>
        <w:rPr>
          <w:b/>
          <w:i/>
        </w:rPr>
      </w:pPr>
      <w:r w:rsidRPr="006644A8">
        <w:rPr>
          <w:b/>
          <w:i/>
        </w:rPr>
        <w:t xml:space="preserve">Guptah Fund (Registered Number </w:t>
      </w:r>
      <w:r w:rsidRPr="000772E3">
        <w:rPr>
          <w:b/>
          <w:i/>
        </w:rPr>
        <w:t>107XXX0-3)</w:t>
      </w:r>
    </w:p>
    <w:p w14:paraId="281D7877" w14:textId="77777777" w:rsidR="000B1774" w:rsidRPr="000772E3" w:rsidRDefault="000B1774" w:rsidP="00285863">
      <w:pPr>
        <w:pStyle w:val="Bodytext"/>
        <w:keepNext/>
        <w:numPr>
          <w:ilvl w:val="0"/>
          <w:numId w:val="38"/>
        </w:numPr>
      </w:pPr>
      <w:r w:rsidRPr="000772E3">
        <w:t>This charity is governed by a Scheme of the Charity Commission dated 12 November 1987, as amended on 1 March 2004.</w:t>
      </w:r>
    </w:p>
    <w:p w14:paraId="0DA32CC6" w14:textId="77777777" w:rsidR="000B1774" w:rsidRPr="006644A8" w:rsidRDefault="000B1774" w:rsidP="000B1774">
      <w:pPr>
        <w:pStyle w:val="Bodytext"/>
        <w:numPr>
          <w:ilvl w:val="0"/>
          <w:numId w:val="38"/>
        </w:numPr>
      </w:pPr>
      <w:bookmarkStart w:id="34" w:name="_Ref431885558"/>
      <w:r w:rsidRPr="006644A8">
        <w:t xml:space="preserve">Its objects are ‘to promote the preservation or recovery of physical or mental health or the rehabilitation of persons who have been suffering from illness and who are or have been patients </w:t>
      </w:r>
      <w:r w:rsidRPr="00F41C0E">
        <w:t>of Healthville Hospital</w:t>
      </w:r>
      <w:r w:rsidRPr="00950A26">
        <w:t xml:space="preserve"> or</w:t>
      </w:r>
      <w:r w:rsidRPr="00F41C0E">
        <w:t xml:space="preserve"> Psychiatric Hospital Healthville, </w:t>
      </w:r>
      <w:r w:rsidRPr="006644A8">
        <w:t>or such other hospitals as may from time to time form a part of the NHS Trusts (or their successors) currently responsible for the hospitals listed above.’</w:t>
      </w:r>
      <w:bookmarkEnd w:id="34"/>
    </w:p>
    <w:p w14:paraId="47F95C9B" w14:textId="77777777" w:rsidR="000B1774" w:rsidRPr="006644A8" w:rsidRDefault="000B1774" w:rsidP="000B1774">
      <w:pPr>
        <w:pStyle w:val="Heading2"/>
      </w:pPr>
      <w:r w:rsidRPr="006644A8">
        <w:t>How to contact us</w:t>
      </w:r>
    </w:p>
    <w:p w14:paraId="44627462" w14:textId="77777777" w:rsidR="000B1774" w:rsidRPr="00DC5BD5" w:rsidRDefault="000B1774" w:rsidP="000B1774">
      <w:pPr>
        <w:pStyle w:val="Bodytext"/>
        <w:rPr>
          <w:bCs/>
        </w:rPr>
      </w:pPr>
      <w:r w:rsidRPr="00DC5BD5">
        <w:rPr>
          <w:bCs/>
        </w:rPr>
        <w:t>The charity office and principal address of OtM is:</w:t>
      </w:r>
    </w:p>
    <w:p w14:paraId="3353FE24" w14:textId="643C2B2F" w:rsidR="00986A6D" w:rsidRPr="006644A8" w:rsidRDefault="000B1774" w:rsidP="000B1774">
      <w:pPr>
        <w:pStyle w:val="Bodytext"/>
      </w:pPr>
      <w:r w:rsidRPr="00986A6D">
        <w:t>On the Mend NHS Charity</w:t>
      </w:r>
      <w:r w:rsidR="00986A6D">
        <w:br/>
      </w:r>
      <w:r w:rsidRPr="00986A6D">
        <w:t>Healthville Hospital</w:t>
      </w:r>
      <w:r w:rsidR="00986A6D">
        <w:br/>
      </w:r>
      <w:r w:rsidRPr="00986A6D">
        <w:t>Healthville</w:t>
      </w:r>
      <w:r w:rsidRPr="00986A6D" w:rsidDel="0045275B">
        <w:t xml:space="preserve"> </w:t>
      </w:r>
      <w:r w:rsidR="00986A6D">
        <w:br/>
      </w:r>
      <w:r w:rsidRPr="00986A6D">
        <w:t>HV4 6WZ</w:t>
      </w:r>
      <w:r w:rsidR="00986A6D">
        <w:br/>
      </w:r>
      <w:r w:rsidRPr="00986A6D">
        <w:t>012X XXX XXX8</w:t>
      </w:r>
      <w:r w:rsidR="00C54EA2">
        <w:br/>
      </w:r>
      <w:hyperlink r:id="rId29" w:history="1">
        <w:r w:rsidR="00C54EA2" w:rsidRPr="00BB47E7">
          <w:rPr>
            <w:rStyle w:val="Hyperlink"/>
          </w:rPr>
          <w:t>chief.exec@otm.org.uk</w:t>
        </w:r>
      </w:hyperlink>
      <w:r w:rsidR="00C54EA2">
        <w:t xml:space="preserve"> </w:t>
      </w:r>
    </w:p>
    <w:p w14:paraId="076C51DF" w14:textId="66BB2E11" w:rsidR="000B1774" w:rsidRPr="00DC5BD5" w:rsidRDefault="000B1774" w:rsidP="000B1774">
      <w:pPr>
        <w:pStyle w:val="Bodytext"/>
        <w:rPr>
          <w:bCs/>
        </w:rPr>
      </w:pPr>
      <w:r w:rsidRPr="00DC5BD5">
        <w:rPr>
          <w:bCs/>
        </w:rPr>
        <w:t>For fundraising queries please contact:</w:t>
      </w:r>
    </w:p>
    <w:p w14:paraId="3D3F602B" w14:textId="7351A494" w:rsidR="00ED2AEF" w:rsidRDefault="00C54EA2" w:rsidP="00AE01AB">
      <w:pPr>
        <w:pStyle w:val="Bodytext"/>
        <w:spacing w:after="0"/>
      </w:pPr>
      <w:r>
        <w:t>Susie MacGregor</w:t>
      </w:r>
      <w:r w:rsidR="00AE01AB">
        <w:br/>
      </w:r>
      <w:r w:rsidR="000B1774" w:rsidRPr="006644A8">
        <w:t>012X XXX XXX7</w:t>
      </w:r>
      <w:r w:rsidR="00AE01AB">
        <w:br/>
      </w:r>
      <w:hyperlink r:id="rId30" w:history="1">
        <w:r w:rsidR="00AE01AB" w:rsidRPr="00BB47E7">
          <w:rPr>
            <w:rStyle w:val="Hyperlink"/>
          </w:rPr>
          <w:t>fundraising@otm.org.uk</w:t>
        </w:r>
      </w:hyperlink>
      <w:r w:rsidR="00AE01AB">
        <w:t xml:space="preserve"> </w:t>
      </w:r>
    </w:p>
    <w:p w14:paraId="26306458" w14:textId="77777777" w:rsidR="00AE01AB" w:rsidRDefault="00AE01AB" w:rsidP="00AE01AB">
      <w:pPr>
        <w:pStyle w:val="Bodytext"/>
        <w:spacing w:after="0"/>
      </w:pPr>
    </w:p>
    <w:p w14:paraId="3CC2306A" w14:textId="77777777" w:rsidR="000B1774" w:rsidRPr="00DC5BD5" w:rsidRDefault="000B1774" w:rsidP="000B1774">
      <w:pPr>
        <w:pStyle w:val="Bodytext"/>
        <w:rPr>
          <w:bCs/>
        </w:rPr>
      </w:pPr>
      <w:r w:rsidRPr="00DC5BD5">
        <w:rPr>
          <w:bCs/>
        </w:rPr>
        <w:t>The corporate trustee, HHFT’s principal address is:</w:t>
      </w:r>
    </w:p>
    <w:p w14:paraId="605431D8" w14:textId="1E23C14C" w:rsidR="000B1774" w:rsidRPr="00AF685D" w:rsidRDefault="000B1774" w:rsidP="00AF685D">
      <w:pPr>
        <w:pStyle w:val="Bodytext"/>
      </w:pPr>
      <w:r w:rsidRPr="00AF685D">
        <w:t>The Chief Executive</w:t>
      </w:r>
      <w:r w:rsidR="00AF685D">
        <w:br/>
      </w:r>
      <w:r w:rsidRPr="00AF685D">
        <w:t>Healthville Hospital NHS Foundation Trust</w:t>
      </w:r>
      <w:r w:rsidR="00AF685D">
        <w:br/>
      </w:r>
      <w:r w:rsidRPr="00AF685D">
        <w:t>Porthome Lane</w:t>
      </w:r>
      <w:r w:rsidR="00AF685D">
        <w:br/>
      </w:r>
      <w:r w:rsidRPr="00AF685D">
        <w:t>Healthville</w:t>
      </w:r>
      <w:r w:rsidRPr="00AF685D" w:rsidDel="006D4D04">
        <w:t xml:space="preserve"> </w:t>
      </w:r>
      <w:r w:rsidR="00AF685D">
        <w:br/>
      </w:r>
      <w:r w:rsidRPr="00AF685D">
        <w:t>HV4 6NH</w:t>
      </w:r>
      <w:r w:rsidR="00AF685D">
        <w:br/>
      </w:r>
      <w:r w:rsidRPr="00AF685D">
        <w:t>012X XXX XXX7</w:t>
      </w:r>
      <w:r w:rsidR="00BF575D">
        <w:br/>
      </w:r>
      <w:hyperlink r:id="rId31" w:history="1">
        <w:r w:rsidR="00DC5BD5" w:rsidRPr="00BB47E7">
          <w:rPr>
            <w:rStyle w:val="Hyperlink"/>
          </w:rPr>
          <w:t>chief.exec@hhft.org.uk</w:t>
        </w:r>
      </w:hyperlink>
      <w:r w:rsidR="00BF575D">
        <w:t xml:space="preserve"> </w:t>
      </w:r>
    </w:p>
    <w:p w14:paraId="19090BF1" w14:textId="77777777" w:rsidR="000B1774" w:rsidRPr="00293AC7" w:rsidRDefault="000B1774" w:rsidP="000B1774">
      <w:pPr>
        <w:pStyle w:val="Heading2"/>
      </w:pPr>
      <w:r w:rsidRPr="00293AC7">
        <w:lastRenderedPageBreak/>
        <w:t>Trustee arrangements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3"/>
      </w:tblGrid>
      <w:tr w:rsidR="000B1774" w:rsidRPr="006644A8" w14:paraId="44DE9E08" w14:textId="77777777" w:rsidTr="307DE6DA">
        <w:tc>
          <w:tcPr>
            <w:tcW w:w="9396" w:type="dxa"/>
            <w:shd w:val="clear" w:color="auto" w:fill="auto"/>
          </w:tcPr>
          <w:p w14:paraId="0B1BDDE4" w14:textId="4CB1F9B4" w:rsidR="000B1774" w:rsidRDefault="000B1774" w:rsidP="00EC1B15">
            <w:pPr>
              <w:pStyle w:val="Bodytext"/>
            </w:pPr>
            <w:r w:rsidRPr="006644A8">
              <w:t xml:space="preserve">Paragraph 1.27 of the </w:t>
            </w:r>
            <w:r>
              <w:t>SORP FRS 102</w:t>
            </w:r>
            <w:r w:rsidRPr="006644A8">
              <w:t xml:space="preserve"> requires that reference and administration information is provided in the annual report.</w:t>
            </w:r>
            <w:r>
              <w:t xml:space="preserve"> </w:t>
            </w:r>
            <w:r w:rsidRPr="006644A8">
              <w:t>The names of all of th</w:t>
            </w:r>
            <w:r>
              <w:t>o</w:t>
            </w:r>
            <w:r w:rsidRPr="006644A8">
              <w:t xml:space="preserve">se who were the charity’s trustees on the date that the annual report and accounts were approved or in the reporting period are given after paragraph </w:t>
            </w:r>
            <w:r w:rsidRPr="006644A8">
              <w:fldChar w:fldCharType="begin"/>
            </w:r>
            <w:r w:rsidRPr="006644A8">
              <w:instrText xml:space="preserve"> REF _Ref431886035 \r \h </w:instrText>
            </w:r>
            <w:r>
              <w:instrText xml:space="preserve"> \* MERGEFORMAT </w:instrText>
            </w:r>
            <w:r w:rsidRPr="006644A8">
              <w:fldChar w:fldCharType="separate"/>
            </w:r>
            <w:r w:rsidR="00E6322B">
              <w:t>68</w:t>
            </w:r>
            <w:r w:rsidRPr="006644A8">
              <w:fldChar w:fldCharType="end"/>
            </w:r>
            <w:r w:rsidRPr="006644A8">
              <w:t>.</w:t>
            </w:r>
            <w:r>
              <w:t xml:space="preserve"> </w:t>
            </w:r>
          </w:p>
          <w:p w14:paraId="471C364A" w14:textId="77777777" w:rsidR="000B1774" w:rsidRPr="00950A26" w:rsidRDefault="000B1774" w:rsidP="00EC1B15">
            <w:pPr>
              <w:pStyle w:val="Bodytext"/>
            </w:pPr>
            <w:r w:rsidRPr="00950A26">
              <w:t>As this charity has a corporate trustee, technically, that is all that needs to be included in the annual report and accounts. However, the corporate trustee is given personality by the members of the board. In this case, reference is made to the HHFT’s own annual report and accounts and website but the full list of board members in post for the years covered by the annual report and accounts to the date that the annual report and accounts is approved could be included. Where there is a charitable fund sub-committee, the members of that committee should be listed as a matter of best practice.</w:t>
            </w:r>
          </w:p>
          <w:p w14:paraId="205B9325" w14:textId="77777777" w:rsidR="000B1774" w:rsidRDefault="000B1774" w:rsidP="00EC1B15">
            <w:pPr>
              <w:pStyle w:val="Bodytext"/>
            </w:pPr>
            <w:r w:rsidRPr="006644A8">
              <w:t xml:space="preserve">Paragraph 1.25 of the </w:t>
            </w:r>
            <w:r>
              <w:t>SORP FRS 102</w:t>
            </w:r>
            <w:r w:rsidRPr="006644A8">
              <w:t xml:space="preserve"> requires charities to provide details of the methods used to recruit an</w:t>
            </w:r>
            <w:r>
              <w:t>d appoint new charity trustees. This is not applicable to this charity as it has a corporate trustee.</w:t>
            </w:r>
          </w:p>
          <w:p w14:paraId="7428B93F" w14:textId="77777777" w:rsidR="000B1774" w:rsidRPr="00950A26" w:rsidRDefault="000B1774" w:rsidP="00EC1B15">
            <w:pPr>
              <w:pStyle w:val="Bodytext"/>
              <w:rPr>
                <w:highlight w:val="yellow"/>
              </w:rPr>
            </w:pPr>
            <w:r w:rsidRPr="00950A26">
              <w:t>For NHS charities that have status under the NHS (Charitable Trusts Etc) Act 2016</w:t>
            </w:r>
            <w:r w:rsidRPr="00950A26">
              <w:rPr>
                <w:rStyle w:val="FootnoteReference"/>
                <w:rFonts w:cstheme="minorHAnsi"/>
                <w:szCs w:val="22"/>
              </w:rPr>
              <w:footnoteReference w:id="22"/>
            </w:r>
            <w:r w:rsidRPr="00950A26">
              <w:t xml:space="preserve"> the full list of trustees in post for the years covered by the annual report and accounts to the date that the annual report and accounts is approved could be included as well as the arrangements for their recruitment and appointment.</w:t>
            </w:r>
          </w:p>
          <w:p w14:paraId="595798AD" w14:textId="77777777" w:rsidR="000B1774" w:rsidRPr="004177CD" w:rsidRDefault="000B1774" w:rsidP="00EC1B15">
            <w:pPr>
              <w:pStyle w:val="Bodytext"/>
            </w:pPr>
            <w:r w:rsidRPr="004177CD">
              <w:t>Paragraph 1.51 of the SORP FRS 102 requires larger charities to explain:</w:t>
            </w:r>
          </w:p>
          <w:p w14:paraId="1089092E" w14:textId="25F15C55" w:rsidR="000B1774" w:rsidRPr="000A1AEF" w:rsidRDefault="000B1774" w:rsidP="000A1AEF">
            <w:pPr>
              <w:pStyle w:val="Bullet"/>
            </w:pPr>
            <w:r w:rsidRPr="000A1AEF">
              <w:t xml:space="preserve">the charity’s organisational structure and, where relevant, those of its subsidiary undertakings (met in paragraphs </w:t>
            </w:r>
            <w:r w:rsidRPr="000A1AEF">
              <w:fldChar w:fldCharType="begin"/>
            </w:r>
            <w:r w:rsidRPr="000A1AEF">
              <w:instrText xml:space="preserve"> REF _Ref431885570 \r \h  \* MERGEFORMAT </w:instrText>
            </w:r>
            <w:r w:rsidRPr="000A1AEF">
              <w:fldChar w:fldCharType="separate"/>
            </w:r>
            <w:r w:rsidR="00E6322B">
              <w:t>61</w:t>
            </w:r>
            <w:r w:rsidRPr="000A1AEF">
              <w:fldChar w:fldCharType="end"/>
            </w:r>
            <w:r w:rsidRPr="000A1AEF">
              <w:t xml:space="preserve"> to </w:t>
            </w:r>
            <w:r w:rsidRPr="000A1AEF">
              <w:fldChar w:fldCharType="begin"/>
            </w:r>
            <w:r w:rsidRPr="000A1AEF">
              <w:instrText xml:space="preserve"> REF _Ref431885558 \r \h  \* MERGEFORMAT </w:instrText>
            </w:r>
            <w:r w:rsidRPr="000A1AEF">
              <w:fldChar w:fldCharType="separate"/>
            </w:r>
            <w:r w:rsidR="00E6322B">
              <w:t>67</w:t>
            </w:r>
            <w:r w:rsidRPr="000A1AEF">
              <w:fldChar w:fldCharType="end"/>
            </w:r>
            <w:r w:rsidRPr="000A1AEF">
              <w:t xml:space="preserve"> of the annual report)</w:t>
            </w:r>
          </w:p>
          <w:p w14:paraId="7431E580" w14:textId="25F3987A" w:rsidR="000B1774" w:rsidRPr="000A1AEF" w:rsidRDefault="000B1774" w:rsidP="000A1AEF">
            <w:pPr>
              <w:pStyle w:val="Bullet"/>
            </w:pPr>
            <w:r w:rsidRPr="000A1AEF">
              <w:t xml:space="preserve">how the charity makes decisions, for example which types of decisions are taken by the charity’s trustees and which are delegated to staff (met in paragraphs </w:t>
            </w:r>
            <w:r w:rsidRPr="000A1AEF">
              <w:fldChar w:fldCharType="begin"/>
            </w:r>
            <w:r w:rsidRPr="000A1AEF">
              <w:instrText xml:space="preserve"> REF _Ref494703922 \r \h  \* MERGEFORMAT </w:instrText>
            </w:r>
            <w:r w:rsidRPr="000A1AEF">
              <w:fldChar w:fldCharType="separate"/>
            </w:r>
            <w:r w:rsidR="00E6322B">
              <w:t>70</w:t>
            </w:r>
            <w:r w:rsidRPr="000A1AEF">
              <w:fldChar w:fldCharType="end"/>
            </w:r>
            <w:r w:rsidRPr="000A1AEF">
              <w:t xml:space="preserve"> and </w:t>
            </w:r>
            <w:r w:rsidRPr="000A1AEF">
              <w:fldChar w:fldCharType="begin"/>
            </w:r>
            <w:r w:rsidRPr="000A1AEF">
              <w:instrText xml:space="preserve"> REF _Ref494703925 \r \h  \* MERGEFORMAT </w:instrText>
            </w:r>
            <w:r w:rsidRPr="000A1AEF">
              <w:fldChar w:fldCharType="separate"/>
            </w:r>
            <w:r w:rsidR="00E6322B">
              <w:t>71</w:t>
            </w:r>
            <w:r w:rsidRPr="000A1AEF">
              <w:fldChar w:fldCharType="end"/>
            </w:r>
            <w:r w:rsidRPr="000A1AEF">
              <w:t xml:space="preserve"> of the annual report)</w:t>
            </w:r>
          </w:p>
          <w:p w14:paraId="393E5DC1" w14:textId="6EC1FA2D" w:rsidR="000B1774" w:rsidRPr="000A1AEF" w:rsidRDefault="000B1774" w:rsidP="000A1AEF">
            <w:pPr>
              <w:pStyle w:val="Bullet"/>
            </w:pPr>
            <w:r w:rsidRPr="000A1AEF">
              <w:t xml:space="preserve">the policies and procedures for the induction and training of trustees (met by paragraphs </w:t>
            </w:r>
            <w:r w:rsidRPr="000A1AEF">
              <w:fldChar w:fldCharType="begin"/>
            </w:r>
            <w:r w:rsidRPr="000A1AEF">
              <w:instrText xml:space="preserve"> REF _Ref494703993 \r \h  \* MERGEFORMAT </w:instrText>
            </w:r>
            <w:r w:rsidRPr="000A1AEF">
              <w:fldChar w:fldCharType="separate"/>
            </w:r>
            <w:r w:rsidR="00E6322B">
              <w:t>74</w:t>
            </w:r>
            <w:r w:rsidRPr="000A1AEF">
              <w:fldChar w:fldCharType="end"/>
            </w:r>
            <w:r w:rsidRPr="000A1AEF">
              <w:t xml:space="preserve"> and </w:t>
            </w:r>
            <w:r w:rsidRPr="000A1AEF">
              <w:fldChar w:fldCharType="begin"/>
            </w:r>
            <w:r w:rsidRPr="000A1AEF">
              <w:instrText xml:space="preserve"> REF _Ref494703995 \r \h  \* MERGEFORMAT </w:instrText>
            </w:r>
            <w:r w:rsidRPr="000A1AEF">
              <w:fldChar w:fldCharType="separate"/>
            </w:r>
            <w:r w:rsidR="00E6322B">
              <w:t>75</w:t>
            </w:r>
            <w:r w:rsidRPr="000A1AEF">
              <w:fldChar w:fldCharType="end"/>
            </w:r>
            <w:r w:rsidRPr="000A1AEF">
              <w:t>)</w:t>
            </w:r>
          </w:p>
          <w:p w14:paraId="289F9180" w14:textId="10C8E9E7" w:rsidR="000B1774" w:rsidRPr="000A1AEF" w:rsidRDefault="000B1774" w:rsidP="000A1AEF">
            <w:pPr>
              <w:pStyle w:val="Bullet"/>
            </w:pPr>
            <w:r w:rsidRPr="000A1AEF">
              <w:t xml:space="preserve">the arrangements for setting the pay and remuneration of the charity’s key management personnel and any benchmarks, parameters or criteria used in setting their pay (met in paragraph </w:t>
            </w:r>
            <w:r w:rsidRPr="000A1AEF">
              <w:fldChar w:fldCharType="begin"/>
            </w:r>
            <w:r w:rsidRPr="000A1AEF">
              <w:instrText xml:space="preserve"> REF _Ref431888095 \r \h  \* MERGEFORMAT </w:instrText>
            </w:r>
            <w:r w:rsidRPr="000A1AEF">
              <w:fldChar w:fldCharType="separate"/>
            </w:r>
            <w:r w:rsidR="00E6322B">
              <w:t>82</w:t>
            </w:r>
            <w:r w:rsidRPr="000A1AEF">
              <w:fldChar w:fldCharType="end"/>
            </w:r>
            <w:r w:rsidRPr="000A1AEF">
              <w:t xml:space="preserve"> of the annual report) </w:t>
            </w:r>
          </w:p>
          <w:p w14:paraId="0C9DB3EB" w14:textId="5A586F63" w:rsidR="000B1774" w:rsidRPr="000A1AEF" w:rsidRDefault="000B1774" w:rsidP="000A1AEF">
            <w:pPr>
              <w:pStyle w:val="Bullet"/>
            </w:pPr>
            <w:r w:rsidRPr="000A1AEF">
              <w:t xml:space="preserve">if the charity is part of a wider network (for example if it is affiliated with an umbrella group), how, if at all, this impacts on the operating policies adopted by the charity (this is met paragraph </w:t>
            </w:r>
            <w:r w:rsidRPr="000A1AEF">
              <w:fldChar w:fldCharType="begin"/>
            </w:r>
            <w:r w:rsidRPr="000A1AEF">
              <w:instrText xml:space="preserve"> REF  _Ref495637679 \h \r </w:instrText>
            </w:r>
            <w:r w:rsidR="000A1AEF">
              <w:instrText xml:space="preserve"> \* MERGEFORMAT </w:instrText>
            </w:r>
            <w:r w:rsidRPr="000A1AEF">
              <w:fldChar w:fldCharType="separate"/>
            </w:r>
            <w:r w:rsidR="00E6322B">
              <w:t>91</w:t>
            </w:r>
            <w:r w:rsidRPr="000A1AEF">
              <w:fldChar w:fldCharType="end"/>
            </w:r>
            <w:r w:rsidRPr="000A1AEF">
              <w:t xml:space="preserve">). </w:t>
            </w:r>
          </w:p>
          <w:p w14:paraId="190BFEBD" w14:textId="3CF8DACC" w:rsidR="000B1774" w:rsidRPr="000A1AEF" w:rsidRDefault="000B1774" w:rsidP="000A1AEF">
            <w:pPr>
              <w:pStyle w:val="Bullet"/>
            </w:pPr>
            <w:r w:rsidRPr="000A1AEF">
              <w:t xml:space="preserve">relationships between the charity and related parties, including its subsidiary undertakings, and with any other charities and organisations with which it cooperates in the pursuit of its charitable objectives (met by paragraphs </w:t>
            </w:r>
            <w:r w:rsidRPr="000A1AEF">
              <w:fldChar w:fldCharType="begin"/>
            </w:r>
            <w:r w:rsidRPr="000A1AEF">
              <w:instrText xml:space="preserve"> REF _Ref431888094 \r \h  \* MERGEFORMAT </w:instrText>
            </w:r>
            <w:r w:rsidRPr="000A1AEF">
              <w:fldChar w:fldCharType="separate"/>
            </w:r>
            <w:r w:rsidR="00E6322B">
              <w:t>78</w:t>
            </w:r>
            <w:r w:rsidRPr="000A1AEF">
              <w:fldChar w:fldCharType="end"/>
            </w:r>
            <w:r w:rsidRPr="000A1AEF">
              <w:t xml:space="preserve"> to </w:t>
            </w:r>
            <w:r w:rsidRPr="000A1AEF">
              <w:fldChar w:fldCharType="begin"/>
            </w:r>
            <w:r w:rsidRPr="000A1AEF">
              <w:instrText xml:space="preserve"> REF _Ref431888095 \r \h  \* MERGEFORMAT </w:instrText>
            </w:r>
            <w:r w:rsidRPr="000A1AEF">
              <w:fldChar w:fldCharType="separate"/>
            </w:r>
            <w:r w:rsidR="00E6322B">
              <w:t>82</w:t>
            </w:r>
            <w:r w:rsidRPr="000A1AEF">
              <w:fldChar w:fldCharType="end"/>
            </w:r>
            <w:r w:rsidRPr="000A1AEF">
              <w:t xml:space="preserve"> and paragraphs </w:t>
            </w:r>
            <w:r w:rsidRPr="000A1AEF">
              <w:fldChar w:fldCharType="begin"/>
            </w:r>
            <w:r w:rsidRPr="000A1AEF">
              <w:instrText xml:space="preserve"> REF _Ref441141610 \r \h  \* MERGEFORMAT </w:instrText>
            </w:r>
            <w:r w:rsidRPr="000A1AEF">
              <w:fldChar w:fldCharType="separate"/>
            </w:r>
            <w:r w:rsidR="00E6322B">
              <w:t>93</w:t>
            </w:r>
            <w:r w:rsidRPr="000A1AEF">
              <w:fldChar w:fldCharType="end"/>
            </w:r>
            <w:r w:rsidRPr="000A1AEF">
              <w:t xml:space="preserve"> and </w:t>
            </w:r>
            <w:r w:rsidRPr="000A1AEF">
              <w:fldChar w:fldCharType="begin"/>
            </w:r>
            <w:r w:rsidRPr="000A1AEF">
              <w:instrText xml:space="preserve"> REF _Ref441141612 \r \h  \* MERGEFORMAT </w:instrText>
            </w:r>
            <w:r w:rsidRPr="000A1AEF">
              <w:fldChar w:fldCharType="separate"/>
            </w:r>
            <w:r w:rsidR="00E6322B">
              <w:t>94</w:t>
            </w:r>
            <w:r w:rsidRPr="000A1AEF">
              <w:fldChar w:fldCharType="end"/>
            </w:r>
            <w:r w:rsidRPr="000A1AEF">
              <w:t xml:space="preserve"> of the annual report).</w:t>
            </w:r>
          </w:p>
          <w:p w14:paraId="7C384D42" w14:textId="77777777" w:rsidR="000B1774" w:rsidRDefault="000B1774" w:rsidP="00EC1B15">
            <w:pPr>
              <w:pStyle w:val="Bodytext"/>
            </w:pPr>
            <w:r>
              <w:t>Section 26 of the SORP FRS 102 deals with charities as subsidiaries. Where the charity is a subsidiary of another entity, paragraph 26.6 requires the following disclosures to be made:</w:t>
            </w:r>
          </w:p>
          <w:p w14:paraId="16F8CA73" w14:textId="77777777" w:rsidR="000B1774" w:rsidRPr="000A1AEF" w:rsidRDefault="000B1774" w:rsidP="000A1AEF">
            <w:pPr>
              <w:pStyle w:val="Bullet"/>
            </w:pPr>
            <w:r w:rsidRPr="000A1AEF">
              <w:t>the country of incorporation of its parent entity, if it is outside the UK or the Republic of Ireland (not applicable in this case)</w:t>
            </w:r>
          </w:p>
          <w:p w14:paraId="617B5FCA" w14:textId="2AD4FD73" w:rsidR="000B1774" w:rsidRPr="000A1AEF" w:rsidRDefault="000B1774" w:rsidP="000A1AEF">
            <w:pPr>
              <w:pStyle w:val="Bullet"/>
            </w:pPr>
            <w:r w:rsidRPr="000A1AEF">
              <w:t xml:space="preserve">if unincorporated, the address of its parent’s place of business (this is met in the ‘How to contact us section’ following paragraph </w:t>
            </w:r>
            <w:r w:rsidRPr="000A1AEF">
              <w:fldChar w:fldCharType="begin"/>
            </w:r>
            <w:r w:rsidRPr="000A1AEF">
              <w:instrText xml:space="preserve"> REF _Ref431885558 \r \h  \* MERGEFORMAT </w:instrText>
            </w:r>
            <w:r w:rsidRPr="000A1AEF">
              <w:fldChar w:fldCharType="separate"/>
            </w:r>
            <w:r w:rsidR="00E6322B">
              <w:t>67</w:t>
            </w:r>
            <w:r w:rsidRPr="000A1AEF">
              <w:fldChar w:fldCharType="end"/>
            </w:r>
            <w:r w:rsidRPr="000A1AEF">
              <w:t>)</w:t>
            </w:r>
          </w:p>
          <w:p w14:paraId="5516A332" w14:textId="77777777" w:rsidR="000B1774" w:rsidRPr="000A1AEF" w:rsidRDefault="000B1774" w:rsidP="000A1AEF">
            <w:pPr>
              <w:pStyle w:val="Bullet"/>
            </w:pPr>
            <w:r w:rsidRPr="000A1AEF">
              <w:t>if the parent is a charity, its charity registration number and, if applicable, its company registration number in the jurisdiction of its registration (not applicable in this case)</w:t>
            </w:r>
          </w:p>
          <w:p w14:paraId="607F94B2" w14:textId="0DCF551C" w:rsidR="000B1774" w:rsidRPr="000A1AEF" w:rsidRDefault="000B1774" w:rsidP="000A1AEF">
            <w:pPr>
              <w:pStyle w:val="Bullet"/>
            </w:pPr>
            <w:r w:rsidRPr="000A1AEF">
              <w:t xml:space="preserve">the parent’s principal purposes and activities (this is met in paragraph </w:t>
            </w:r>
            <w:r w:rsidRPr="000A1AEF">
              <w:fldChar w:fldCharType="begin"/>
            </w:r>
            <w:r w:rsidRPr="000A1AEF">
              <w:instrText xml:space="preserve"> REF _Ref494705259 \r \h  \* MERGEFORMAT </w:instrText>
            </w:r>
            <w:r w:rsidRPr="000A1AEF">
              <w:fldChar w:fldCharType="separate"/>
            </w:r>
            <w:r w:rsidR="00E6322B">
              <w:t>8</w:t>
            </w:r>
            <w:r w:rsidRPr="000A1AEF">
              <w:fldChar w:fldCharType="end"/>
            </w:r>
            <w:r w:rsidRPr="000A1AEF">
              <w:t>)</w:t>
            </w:r>
          </w:p>
          <w:p w14:paraId="19786136" w14:textId="4897CB8B" w:rsidR="000B1774" w:rsidRPr="000A1AEF" w:rsidRDefault="000B1774" w:rsidP="000A1AEF">
            <w:pPr>
              <w:pStyle w:val="Bullet"/>
            </w:pPr>
            <w:r w:rsidRPr="000A1AEF">
              <w:t xml:space="preserve">how control can be exercised by the parent, for example through corporate trusteeship or through a power to appoint or remove the majority of trustees (this is met in paragraph </w:t>
            </w:r>
            <w:r w:rsidRPr="000A1AEF">
              <w:fldChar w:fldCharType="begin"/>
            </w:r>
            <w:r w:rsidRPr="000A1AEF">
              <w:instrText xml:space="preserve"> REF _Ref494705048 \r \h  \* MERGEFORMAT </w:instrText>
            </w:r>
            <w:r w:rsidRPr="000A1AEF">
              <w:fldChar w:fldCharType="separate"/>
            </w:r>
            <w:r w:rsidR="00E6322B">
              <w:t>68</w:t>
            </w:r>
            <w:r w:rsidRPr="000A1AEF">
              <w:fldChar w:fldCharType="end"/>
            </w:r>
            <w:r w:rsidRPr="000A1AEF">
              <w:t>)</w:t>
            </w:r>
          </w:p>
          <w:p w14:paraId="3A36015A" w14:textId="7B4E4CE0" w:rsidR="000B1774" w:rsidRPr="006644A8" w:rsidRDefault="000B1774" w:rsidP="000A1AEF">
            <w:pPr>
              <w:pStyle w:val="Bullet"/>
            </w:pPr>
            <w:r w:rsidRPr="000A1AEF">
              <w:t>the address from which the public can obtain the consolidated accounts that include the subsidiary charity’s accounts (whilst not strictly necessary as the accounts are not consolidated, this is met in par</w:t>
            </w:r>
            <w:r>
              <w:t xml:space="preserve">agraph </w:t>
            </w:r>
            <w:r>
              <w:fldChar w:fldCharType="begin"/>
            </w:r>
            <w:r>
              <w:instrText xml:space="preserve"> REF _Ref494705115 \r \h  \* MERGEFORMAT </w:instrText>
            </w:r>
            <w:r>
              <w:fldChar w:fldCharType="separate"/>
            </w:r>
            <w:r w:rsidR="00E6322B">
              <w:t>69</w:t>
            </w:r>
            <w:r>
              <w:fldChar w:fldCharType="end"/>
            </w:r>
            <w:r>
              <w:t>)</w:t>
            </w:r>
            <w:r w:rsidRPr="00FE39B0">
              <w:t>.</w:t>
            </w:r>
          </w:p>
        </w:tc>
      </w:tr>
    </w:tbl>
    <w:p w14:paraId="2B61658F" w14:textId="77777777" w:rsidR="000B1774" w:rsidRPr="000A1AEF" w:rsidRDefault="000B1774" w:rsidP="000B1774">
      <w:pPr>
        <w:pStyle w:val="Bodytext"/>
        <w:rPr>
          <w:rFonts w:cs="Arial"/>
          <w:sz w:val="18"/>
        </w:rPr>
      </w:pPr>
    </w:p>
    <w:p w14:paraId="5281F1D2" w14:textId="77777777" w:rsidR="000B1774" w:rsidRDefault="000B1774" w:rsidP="000B1774">
      <w:pPr>
        <w:pStyle w:val="Bodytext"/>
        <w:numPr>
          <w:ilvl w:val="0"/>
          <w:numId w:val="38"/>
        </w:numPr>
      </w:pPr>
      <w:bookmarkStart w:id="35" w:name="_Ref494705048"/>
      <w:bookmarkStart w:id="36" w:name="_Ref431886035"/>
      <w:r>
        <w:t>The HHFT is the sole corporate trustee of the charity. The corporate trustee’s responsibilities are therefore carried out by HHFT’s board of directors. The board is appointed in accordance with the FT’s constitution. Details of HHFT board membership can be found in its annual report and accounts and on its website.</w:t>
      </w:r>
      <w:bookmarkEnd w:id="35"/>
    </w:p>
    <w:p w14:paraId="5E26DB15" w14:textId="77777777" w:rsidR="000B1774" w:rsidRPr="00FE39B0" w:rsidRDefault="000B1774" w:rsidP="000B1774">
      <w:pPr>
        <w:pStyle w:val="Bodytext"/>
        <w:numPr>
          <w:ilvl w:val="0"/>
          <w:numId w:val="38"/>
        </w:numPr>
      </w:pPr>
      <w:bookmarkStart w:id="37" w:name="_Ref494705115"/>
      <w:r>
        <w:t>As OtM has a corporate trustee it is, in accounting terms, controlled by HHFT and is therefore its subsidiary. Financially, the charity is not material to HHFT, so it is not consolidated into the FT’s accounts.</w:t>
      </w:r>
      <w:bookmarkEnd w:id="37"/>
      <w:r>
        <w:t xml:space="preserve"> </w:t>
      </w:r>
    </w:p>
    <w:p w14:paraId="13AF8DA6" w14:textId="77777777" w:rsidR="000B1774" w:rsidRPr="003E074A" w:rsidRDefault="000B1774" w:rsidP="000B1774">
      <w:pPr>
        <w:pStyle w:val="Bodytext"/>
        <w:numPr>
          <w:ilvl w:val="0"/>
          <w:numId w:val="38"/>
        </w:numPr>
      </w:pPr>
      <w:bookmarkStart w:id="38" w:name="_Ref494703922"/>
      <w:r>
        <w:rPr>
          <w:szCs w:val="22"/>
        </w:rPr>
        <w:t>HHFT</w:t>
      </w:r>
      <w:r w:rsidRPr="00EF6408">
        <w:rPr>
          <w:szCs w:val="22"/>
        </w:rPr>
        <w:t>’s board meet</w:t>
      </w:r>
      <w:r>
        <w:rPr>
          <w:szCs w:val="22"/>
        </w:rPr>
        <w:t xml:space="preserve"> annually as corporate trustee to:</w:t>
      </w:r>
      <w:bookmarkEnd w:id="38"/>
    </w:p>
    <w:p w14:paraId="50D9C4B0" w14:textId="77777777" w:rsidR="000B1774" w:rsidRPr="00A90DFE" w:rsidRDefault="000B1774" w:rsidP="00A90DFE">
      <w:pPr>
        <w:pStyle w:val="Bullet"/>
      </w:pPr>
      <w:r w:rsidRPr="00A90DFE">
        <w:t>review and approve OtM’s strategic plan</w:t>
      </w:r>
    </w:p>
    <w:p w14:paraId="4D5B744B" w14:textId="77777777" w:rsidR="000B1774" w:rsidRPr="00A90DFE" w:rsidRDefault="000B1774" w:rsidP="00A90DFE">
      <w:pPr>
        <w:pStyle w:val="Bullet"/>
      </w:pPr>
      <w:r w:rsidRPr="00A90DFE">
        <w:t>re-appoint or appoint members of the charitable funds committee and</w:t>
      </w:r>
    </w:p>
    <w:p w14:paraId="488951B7" w14:textId="77777777" w:rsidR="000B1774" w:rsidRDefault="000B1774" w:rsidP="00A90DFE">
      <w:pPr>
        <w:pStyle w:val="Bullet"/>
      </w:pPr>
      <w:r w:rsidRPr="00A90DFE">
        <w:t>approve</w:t>
      </w:r>
      <w:r>
        <w:t xml:space="preserve"> the trustee’s annual report and accounts for the year.</w:t>
      </w:r>
    </w:p>
    <w:p w14:paraId="5F3C2342" w14:textId="77777777" w:rsidR="00274F0F" w:rsidRPr="003E074A" w:rsidRDefault="00274F0F" w:rsidP="00021532">
      <w:pPr>
        <w:pStyle w:val="Bullet"/>
        <w:numPr>
          <w:ilvl w:val="0"/>
          <w:numId w:val="0"/>
        </w:numPr>
        <w:ind w:left="357"/>
      </w:pPr>
    </w:p>
    <w:p w14:paraId="5710A59B" w14:textId="77777777" w:rsidR="000B1774" w:rsidRPr="003E074A" w:rsidRDefault="000B1774" w:rsidP="000B1774">
      <w:pPr>
        <w:pStyle w:val="Bodytext"/>
        <w:numPr>
          <w:ilvl w:val="0"/>
          <w:numId w:val="38"/>
        </w:numPr>
      </w:pPr>
      <w:bookmarkStart w:id="39" w:name="_Ref494703925"/>
      <w:r>
        <w:t xml:space="preserve">The board of directors of HHFT delegate responsibility for the day-to-day management of the OtM to the charitable funds committee and the trust fund director in accordance with the scheme of delegation and standing financial instructions. </w:t>
      </w:r>
      <w:r w:rsidRPr="003E074A">
        <w:rPr>
          <w:szCs w:val="22"/>
        </w:rPr>
        <w:t xml:space="preserve">Together, they are responsible for </w:t>
      </w:r>
      <w:r>
        <w:rPr>
          <w:szCs w:val="22"/>
        </w:rPr>
        <w:t>fulfilling the</w:t>
      </w:r>
      <w:r w:rsidRPr="003E074A">
        <w:rPr>
          <w:szCs w:val="22"/>
        </w:rPr>
        <w:t xml:space="preserve"> corporate trustee</w:t>
      </w:r>
      <w:r>
        <w:rPr>
          <w:szCs w:val="22"/>
        </w:rPr>
        <w:t>’s strategic plan</w:t>
      </w:r>
      <w:r w:rsidRPr="003E074A">
        <w:rPr>
          <w:szCs w:val="22"/>
        </w:rPr>
        <w:t xml:space="preserve"> and for working with the professional advisors and with the representatives of </w:t>
      </w:r>
      <w:r>
        <w:rPr>
          <w:szCs w:val="22"/>
        </w:rPr>
        <w:t>HHFT</w:t>
      </w:r>
      <w:r w:rsidRPr="003E074A">
        <w:rPr>
          <w:szCs w:val="22"/>
        </w:rPr>
        <w:t xml:space="preserve"> and </w:t>
      </w:r>
      <w:r>
        <w:t>Healthville</w:t>
      </w:r>
      <w:r w:rsidRPr="003E074A">
        <w:rPr>
          <w:szCs w:val="22"/>
        </w:rPr>
        <w:t xml:space="preserve"> NHS Foundation Trust who provide the financial services to the charities.</w:t>
      </w:r>
      <w:bookmarkEnd w:id="39"/>
      <w:r w:rsidRPr="003E074A">
        <w:rPr>
          <w:szCs w:val="22"/>
        </w:rPr>
        <w:t xml:space="preserve"> </w:t>
      </w:r>
    </w:p>
    <w:p w14:paraId="34AE1A21" w14:textId="77777777" w:rsidR="000B1774" w:rsidRPr="00CF0D7B" w:rsidRDefault="000B1774" w:rsidP="000B1774">
      <w:pPr>
        <w:pStyle w:val="Bodytext"/>
        <w:numPr>
          <w:ilvl w:val="0"/>
          <w:numId w:val="38"/>
        </w:numPr>
        <w:rPr>
          <w:szCs w:val="22"/>
        </w:rPr>
      </w:pPr>
      <w:r>
        <w:t>The charitable funds committee comprises two executive members of the board and two non-executive members. Other members of HHFT staff are invited to attend committee meetings but do not have a vote at those meetings.</w:t>
      </w:r>
      <w:bookmarkEnd w:id="36"/>
      <w:r>
        <w:t xml:space="preserve"> </w:t>
      </w:r>
      <w:r w:rsidRPr="00CF0D7B">
        <w:rPr>
          <w:szCs w:val="22"/>
        </w:rPr>
        <w:t xml:space="preserve">During the year, the </w:t>
      </w:r>
      <w:r>
        <w:rPr>
          <w:szCs w:val="22"/>
        </w:rPr>
        <w:t xml:space="preserve">committee members were: </w:t>
      </w:r>
    </w:p>
    <w:tbl>
      <w:tblPr>
        <w:tblW w:w="5000" w:type="pct"/>
        <w:tblLook w:val="01E0" w:firstRow="1" w:lastRow="1" w:firstColumn="1" w:lastColumn="1" w:noHBand="0" w:noVBand="0"/>
      </w:tblPr>
      <w:tblGrid>
        <w:gridCol w:w="1398"/>
        <w:gridCol w:w="2178"/>
        <w:gridCol w:w="3557"/>
      </w:tblGrid>
      <w:tr w:rsidR="000B1774" w:rsidRPr="00887C0C" w14:paraId="2E245C0B" w14:textId="77777777" w:rsidTr="00EC1B15">
        <w:trPr>
          <w:cantSplit/>
          <w:tblHeader/>
        </w:trPr>
        <w:tc>
          <w:tcPr>
            <w:tcW w:w="980" w:type="pct"/>
            <w:shd w:val="clear" w:color="auto" w:fill="auto"/>
          </w:tcPr>
          <w:p w14:paraId="162D3045" w14:textId="77777777" w:rsidR="000B1774" w:rsidRPr="00887C0C" w:rsidRDefault="000B1774" w:rsidP="00193B2A">
            <w:pPr>
              <w:pStyle w:val="Bodytext"/>
              <w:spacing w:after="60"/>
              <w:rPr>
                <w:b/>
              </w:rPr>
            </w:pPr>
            <w:r w:rsidRPr="00887C0C">
              <w:rPr>
                <w:b/>
              </w:rPr>
              <w:t>Name</w:t>
            </w:r>
          </w:p>
        </w:tc>
        <w:tc>
          <w:tcPr>
            <w:tcW w:w="1527" w:type="pct"/>
            <w:shd w:val="clear" w:color="auto" w:fill="auto"/>
          </w:tcPr>
          <w:p w14:paraId="5EA17718" w14:textId="77777777" w:rsidR="000B1774" w:rsidRPr="00887C0C" w:rsidRDefault="000B1774" w:rsidP="00193B2A">
            <w:pPr>
              <w:pStyle w:val="Bodytext"/>
              <w:spacing w:after="60"/>
              <w:rPr>
                <w:b/>
              </w:rPr>
            </w:pPr>
            <w:r w:rsidRPr="00887C0C">
              <w:rPr>
                <w:b/>
              </w:rPr>
              <w:t xml:space="preserve">Date </w:t>
            </w:r>
            <w:r>
              <w:rPr>
                <w:b/>
              </w:rPr>
              <w:t>a</w:t>
            </w:r>
            <w:r w:rsidRPr="00887C0C">
              <w:rPr>
                <w:b/>
              </w:rPr>
              <w:t>ppointed</w:t>
            </w:r>
            <w:r>
              <w:rPr>
                <w:b/>
              </w:rPr>
              <w:t xml:space="preserve">/ </w:t>
            </w:r>
            <w:r w:rsidRPr="00D408DC">
              <w:rPr>
                <w:b/>
                <w:color w:val="FF0000"/>
              </w:rPr>
              <w:t>(resigned)</w:t>
            </w:r>
          </w:p>
        </w:tc>
        <w:tc>
          <w:tcPr>
            <w:tcW w:w="2493" w:type="pct"/>
            <w:shd w:val="clear" w:color="auto" w:fill="auto"/>
          </w:tcPr>
          <w:p w14:paraId="7362BE1D" w14:textId="77777777" w:rsidR="000B1774" w:rsidRPr="00887C0C" w:rsidRDefault="000B1774" w:rsidP="00193B2A">
            <w:pPr>
              <w:pStyle w:val="Bodytext"/>
              <w:spacing w:after="60"/>
              <w:rPr>
                <w:b/>
              </w:rPr>
            </w:pPr>
            <w:r w:rsidRPr="00887C0C">
              <w:rPr>
                <w:b/>
              </w:rPr>
              <w:t>Notes</w:t>
            </w:r>
          </w:p>
        </w:tc>
      </w:tr>
      <w:tr w:rsidR="000B1774" w:rsidRPr="006644A8" w14:paraId="70F1B8EA" w14:textId="77777777" w:rsidTr="00EC1B15">
        <w:trPr>
          <w:cantSplit/>
        </w:trPr>
        <w:tc>
          <w:tcPr>
            <w:tcW w:w="980" w:type="pct"/>
            <w:shd w:val="clear" w:color="auto" w:fill="D9D9D9" w:themeFill="background1" w:themeFillShade="D9"/>
          </w:tcPr>
          <w:p w14:paraId="43EBCF10" w14:textId="77777777" w:rsidR="000B1774" w:rsidRPr="006644A8" w:rsidRDefault="000B1774" w:rsidP="00193B2A">
            <w:pPr>
              <w:pStyle w:val="Bodytext"/>
              <w:spacing w:after="60"/>
            </w:pPr>
            <w:r w:rsidRPr="006644A8">
              <w:t>Darren Hall</w:t>
            </w:r>
          </w:p>
        </w:tc>
        <w:tc>
          <w:tcPr>
            <w:tcW w:w="1527" w:type="pct"/>
            <w:shd w:val="clear" w:color="auto" w:fill="D9D9D9" w:themeFill="background1" w:themeFillShade="D9"/>
          </w:tcPr>
          <w:p w14:paraId="48737413" w14:textId="726F5207" w:rsidR="000B1774" w:rsidRPr="006644A8" w:rsidRDefault="000B1774" w:rsidP="00193B2A">
            <w:pPr>
              <w:pStyle w:val="Bodytext"/>
              <w:spacing w:after="60"/>
            </w:pPr>
            <w:r w:rsidRPr="006644A8">
              <w:t>9 Sep</w:t>
            </w:r>
            <w:r>
              <w:t>tember</w:t>
            </w:r>
            <w:r w:rsidRPr="006644A8">
              <w:t xml:space="preserve"> 20</w:t>
            </w:r>
            <w:r>
              <w:t>1</w:t>
            </w:r>
            <w:r w:rsidR="000F6873">
              <w:t>8</w:t>
            </w:r>
          </w:p>
        </w:tc>
        <w:tc>
          <w:tcPr>
            <w:tcW w:w="2493" w:type="pct"/>
            <w:shd w:val="clear" w:color="auto" w:fill="D9D9D9" w:themeFill="background1" w:themeFillShade="D9"/>
          </w:tcPr>
          <w:p w14:paraId="1038DFE3" w14:textId="33AAD59F" w:rsidR="000B1774" w:rsidRPr="006644A8" w:rsidRDefault="000B1774" w:rsidP="00193B2A">
            <w:pPr>
              <w:pStyle w:val="Bodytext"/>
              <w:spacing w:after="60"/>
            </w:pPr>
            <w:r w:rsidRPr="006644A8">
              <w:t xml:space="preserve">Term of office expires 8 September </w:t>
            </w:r>
            <w:r>
              <w:t>202</w:t>
            </w:r>
            <w:r w:rsidR="000F6873">
              <w:t>4</w:t>
            </w:r>
          </w:p>
        </w:tc>
      </w:tr>
      <w:tr w:rsidR="000B1774" w:rsidRPr="006644A8" w14:paraId="08061621" w14:textId="77777777" w:rsidTr="00EC1B15">
        <w:trPr>
          <w:cantSplit/>
        </w:trPr>
        <w:tc>
          <w:tcPr>
            <w:tcW w:w="5000" w:type="pct"/>
            <w:gridSpan w:val="3"/>
            <w:shd w:val="clear" w:color="auto" w:fill="D9D9D9" w:themeFill="background1" w:themeFillShade="D9"/>
          </w:tcPr>
          <w:p w14:paraId="49E9D9F1" w14:textId="77777777" w:rsidR="000B1774" w:rsidRDefault="000B1774" w:rsidP="00193B2A">
            <w:pPr>
              <w:pStyle w:val="Bodytext"/>
              <w:spacing w:after="60"/>
            </w:pPr>
            <w:r>
              <w:t>Chair of the HHFT board</w:t>
            </w:r>
          </w:p>
          <w:p w14:paraId="044FE4B8" w14:textId="4213BE98" w:rsidR="004E0648" w:rsidRPr="006644A8" w:rsidRDefault="004E0648" w:rsidP="00193B2A">
            <w:pPr>
              <w:pStyle w:val="Bodytext"/>
            </w:pPr>
            <w:r w:rsidRPr="006644A8">
              <w:rPr>
                <w:noProof/>
              </w:rPr>
              <mc:AlternateContent>
                <mc:Choice Requires="wps">
                  <w:drawing>
                    <wp:anchor distT="0" distB="0" distL="114300" distR="114300" simplePos="0" relativeHeight="251658240" behindDoc="0" locked="0" layoutInCell="1" allowOverlap="1" wp14:anchorId="61B2DEE6" wp14:editId="261E17EA">
                      <wp:simplePos x="0" y="0"/>
                      <wp:positionH relativeFrom="column">
                        <wp:posOffset>-1028700</wp:posOffset>
                      </wp:positionH>
                      <wp:positionV relativeFrom="paragraph">
                        <wp:posOffset>42545</wp:posOffset>
                      </wp:positionV>
                      <wp:extent cx="24130" cy="87630"/>
                      <wp:effectExtent l="0" t="0" r="444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AC5DF" w14:textId="77777777" w:rsidR="00EC1B15" w:rsidRDefault="00EC1B15" w:rsidP="004E0648">
                                  <w:r>
                                    <w:rPr>
                                      <w:color w:val="000000"/>
                                      <w:sz w:val="10"/>
                                      <w:szCs w:val="1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2DEE6" id="Rectangle 5" o:spid="_x0000_s1026" style="position:absolute;margin-left:-81pt;margin-top:3.35pt;width:1.9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" filled="f" stroked="f">
                      <v:textbox inset="0,0,0,0">
                        <w:txbxContent>
                          <w:p w14:paraId="2B5AC5DF" w14:textId="77777777" w:rsidR="00EC1B15" w:rsidRDefault="00EC1B15" w:rsidP="004E0648">
                            <w:r>
                              <w:rPr>
                                <w:color w:val="000000"/>
                                <w:sz w:val="10"/>
                                <w:szCs w:val="10"/>
                              </w:rPr>
                              <w:t xml:space="preserve"> </w:t>
                            </w:r>
                          </w:p>
                        </w:txbxContent>
                      </v:textbox>
                    </v:rect>
                  </w:pict>
                </mc:Fallback>
              </mc:AlternateContent>
            </w:r>
            <w:r w:rsidRPr="006644A8">
              <w:t xml:space="preserve">Mr Hall </w:t>
            </w:r>
            <w:r>
              <w:t xml:space="preserve">is a </w:t>
            </w:r>
            <w:r w:rsidRPr="006644A8">
              <w:t xml:space="preserve">qualified chartered surveyor and has worked in the building industry for over 40 years. </w:t>
            </w:r>
          </w:p>
        </w:tc>
      </w:tr>
      <w:tr w:rsidR="000B1774" w:rsidRPr="006644A8" w14:paraId="13FA520D" w14:textId="77777777" w:rsidTr="00EC1B15">
        <w:trPr>
          <w:cantSplit/>
        </w:trPr>
        <w:tc>
          <w:tcPr>
            <w:tcW w:w="980" w:type="pct"/>
            <w:shd w:val="clear" w:color="auto" w:fill="auto"/>
          </w:tcPr>
          <w:p w14:paraId="6C8B94B3" w14:textId="77777777" w:rsidR="000B1774" w:rsidRPr="006644A8" w:rsidRDefault="000B1774" w:rsidP="00E53084">
            <w:pPr>
              <w:pStyle w:val="Bodytext"/>
              <w:keepNext/>
              <w:spacing w:after="60"/>
            </w:pPr>
            <w:r w:rsidRPr="006644A8">
              <w:t>Christine Darbishire</w:t>
            </w:r>
            <w:r>
              <w:t xml:space="preserve"> </w:t>
            </w:r>
          </w:p>
        </w:tc>
        <w:tc>
          <w:tcPr>
            <w:tcW w:w="1527" w:type="pct"/>
            <w:shd w:val="clear" w:color="auto" w:fill="auto"/>
          </w:tcPr>
          <w:p w14:paraId="41D49761" w14:textId="3BD21100" w:rsidR="000B1774" w:rsidRPr="006644A8" w:rsidRDefault="000B1774" w:rsidP="00E53084">
            <w:pPr>
              <w:pStyle w:val="Bodytext"/>
              <w:keepNext/>
              <w:spacing w:after="60"/>
            </w:pPr>
            <w:r w:rsidRPr="006644A8">
              <w:t xml:space="preserve">1 </w:t>
            </w:r>
            <w:r>
              <w:t>September</w:t>
            </w:r>
            <w:r w:rsidRPr="006644A8">
              <w:t xml:space="preserve"> </w:t>
            </w:r>
            <w:r>
              <w:t>20</w:t>
            </w:r>
            <w:r w:rsidR="00A90DFE">
              <w:t>1</w:t>
            </w:r>
            <w:r w:rsidR="000F6873">
              <w:t>1</w:t>
            </w:r>
          </w:p>
        </w:tc>
        <w:tc>
          <w:tcPr>
            <w:tcW w:w="2493" w:type="pct"/>
            <w:shd w:val="clear" w:color="auto" w:fill="auto"/>
          </w:tcPr>
          <w:p w14:paraId="13C043ED" w14:textId="04E2F77C" w:rsidR="000B1774" w:rsidRPr="006644A8" w:rsidRDefault="000B1774" w:rsidP="00E53084">
            <w:pPr>
              <w:pStyle w:val="Bodytext"/>
              <w:keepNext/>
              <w:spacing w:after="60"/>
            </w:pPr>
            <w:r w:rsidRPr="006644A8">
              <w:t xml:space="preserve">Reappointed 1 April </w:t>
            </w:r>
            <w:r>
              <w:t>202</w:t>
            </w:r>
            <w:r w:rsidR="000F6873">
              <w:t>2</w:t>
            </w:r>
            <w:r>
              <w:t xml:space="preserve"> </w:t>
            </w:r>
            <w:r w:rsidRPr="006644A8">
              <w:t xml:space="preserve">until </w:t>
            </w:r>
          </w:p>
          <w:p w14:paraId="51FA8CD9" w14:textId="123CF24B" w:rsidR="000B1774" w:rsidRPr="006644A8" w:rsidRDefault="000B1774" w:rsidP="00E53084">
            <w:pPr>
              <w:pStyle w:val="Bodytext"/>
              <w:keepNext/>
              <w:spacing w:after="60"/>
            </w:pPr>
            <w:r w:rsidRPr="006644A8">
              <w:t xml:space="preserve">31 March </w:t>
            </w:r>
            <w:r>
              <w:t>202</w:t>
            </w:r>
            <w:r w:rsidR="000F6873">
              <w:t>5</w:t>
            </w:r>
          </w:p>
        </w:tc>
      </w:tr>
      <w:tr w:rsidR="000B1774" w:rsidRPr="006644A8" w14:paraId="4AC2A7CF" w14:textId="77777777" w:rsidTr="00EC1B15">
        <w:trPr>
          <w:cantSplit/>
        </w:trPr>
        <w:tc>
          <w:tcPr>
            <w:tcW w:w="5000" w:type="pct"/>
            <w:gridSpan w:val="3"/>
            <w:shd w:val="clear" w:color="auto" w:fill="auto"/>
          </w:tcPr>
          <w:p w14:paraId="5733C333" w14:textId="77777777" w:rsidR="000B1774" w:rsidRDefault="000B1774" w:rsidP="00E53084">
            <w:pPr>
              <w:pStyle w:val="Bodytext"/>
              <w:keepNext/>
              <w:spacing w:after="60"/>
            </w:pPr>
            <w:r>
              <w:t>Finance director of the HHFT board</w:t>
            </w:r>
          </w:p>
          <w:p w14:paraId="052A81CF" w14:textId="2CE3338D" w:rsidR="004E0648" w:rsidRPr="006644A8" w:rsidRDefault="007B2463" w:rsidP="00E53084">
            <w:pPr>
              <w:pStyle w:val="Bodytext"/>
              <w:keepNext/>
            </w:pPr>
            <w:r>
              <w:t xml:space="preserve">Ms </w:t>
            </w:r>
            <w:r w:rsidR="004E0648" w:rsidRPr="006644A8">
              <w:t xml:space="preserve">Darbishire </w:t>
            </w:r>
            <w:r w:rsidR="004E0648">
              <w:t xml:space="preserve">is a </w:t>
            </w:r>
            <w:r w:rsidR="004E0648" w:rsidRPr="006644A8">
              <w:t>qualified</w:t>
            </w:r>
            <w:r w:rsidR="004E0648">
              <w:t xml:space="preserve"> </w:t>
            </w:r>
            <w:r w:rsidR="004E0648" w:rsidRPr="006644A8">
              <w:t>accountant.</w:t>
            </w:r>
            <w:r w:rsidR="004E0648">
              <w:t xml:space="preserve"> </w:t>
            </w:r>
            <w:r w:rsidR="004E0648" w:rsidRPr="006644A8">
              <w:t xml:space="preserve">She is a </w:t>
            </w:r>
            <w:r w:rsidR="004E0648">
              <w:t xml:space="preserve">member of the Chartered Institute of Public Finance </w:t>
            </w:r>
            <w:r w:rsidR="00386973">
              <w:t>and Accountancy</w:t>
            </w:r>
            <w:r w:rsidR="004E0648" w:rsidRPr="006644A8">
              <w:t>.</w:t>
            </w:r>
          </w:p>
        </w:tc>
      </w:tr>
      <w:tr w:rsidR="000B1774" w:rsidRPr="006644A8" w14:paraId="7B94B361" w14:textId="77777777" w:rsidTr="00EC1B15">
        <w:trPr>
          <w:cantSplit/>
        </w:trPr>
        <w:tc>
          <w:tcPr>
            <w:tcW w:w="980" w:type="pct"/>
            <w:shd w:val="clear" w:color="auto" w:fill="D9D9D9" w:themeFill="background1" w:themeFillShade="D9"/>
          </w:tcPr>
          <w:p w14:paraId="28AC8039" w14:textId="77777777" w:rsidR="000B1774" w:rsidRPr="006644A8" w:rsidRDefault="000B1774" w:rsidP="00193B2A">
            <w:pPr>
              <w:pStyle w:val="Bodytext"/>
              <w:spacing w:after="60"/>
            </w:pPr>
            <w:r w:rsidRPr="006644A8">
              <w:t>Josephine Maine</w:t>
            </w:r>
            <w:r>
              <w:t xml:space="preserve"> </w:t>
            </w:r>
          </w:p>
        </w:tc>
        <w:tc>
          <w:tcPr>
            <w:tcW w:w="1527" w:type="pct"/>
            <w:shd w:val="clear" w:color="auto" w:fill="D9D9D9" w:themeFill="background1" w:themeFillShade="D9"/>
          </w:tcPr>
          <w:p w14:paraId="7CBFE43E" w14:textId="4727DB19" w:rsidR="000B1774" w:rsidRPr="006644A8" w:rsidRDefault="000B1774" w:rsidP="00193B2A">
            <w:pPr>
              <w:pStyle w:val="Bodytext"/>
              <w:spacing w:after="60"/>
            </w:pPr>
            <w:r w:rsidRPr="006644A8">
              <w:t>1 Aug</w:t>
            </w:r>
            <w:r>
              <w:t>ust</w:t>
            </w:r>
            <w:r w:rsidRPr="006644A8">
              <w:t xml:space="preserve"> 201</w:t>
            </w:r>
            <w:r w:rsidR="000F6873">
              <w:t>9</w:t>
            </w:r>
          </w:p>
        </w:tc>
        <w:tc>
          <w:tcPr>
            <w:tcW w:w="2493" w:type="pct"/>
            <w:shd w:val="clear" w:color="auto" w:fill="D9D9D9" w:themeFill="background1" w:themeFillShade="D9"/>
          </w:tcPr>
          <w:p w14:paraId="68A4210C" w14:textId="5F0D1C3B" w:rsidR="000B1774" w:rsidRPr="006644A8" w:rsidRDefault="000B1774" w:rsidP="00193B2A">
            <w:pPr>
              <w:pStyle w:val="Bodytext"/>
              <w:spacing w:after="60"/>
            </w:pPr>
            <w:r w:rsidRPr="006644A8">
              <w:t xml:space="preserve">Term of office expires 31 July </w:t>
            </w:r>
            <w:r>
              <w:t>202</w:t>
            </w:r>
            <w:r w:rsidR="000F6873">
              <w:t>5</w:t>
            </w:r>
          </w:p>
        </w:tc>
      </w:tr>
      <w:tr w:rsidR="000B1774" w:rsidRPr="006644A8" w14:paraId="677BAF73" w14:textId="77777777" w:rsidTr="00EC1B15">
        <w:trPr>
          <w:cantSplit/>
        </w:trPr>
        <w:tc>
          <w:tcPr>
            <w:tcW w:w="5000" w:type="pct"/>
            <w:gridSpan w:val="3"/>
            <w:shd w:val="clear" w:color="auto" w:fill="D9D9D9" w:themeFill="background1" w:themeFillShade="D9"/>
          </w:tcPr>
          <w:p w14:paraId="48AE8390" w14:textId="77777777" w:rsidR="000B1774" w:rsidRDefault="000B1774" w:rsidP="00193B2A">
            <w:pPr>
              <w:pStyle w:val="Bodytext"/>
              <w:spacing w:after="60"/>
            </w:pPr>
            <w:r>
              <w:t>Non-executive member of the HHFT board and chair of the charitable funds sub-committee</w:t>
            </w:r>
          </w:p>
          <w:p w14:paraId="12B29145" w14:textId="58AC79CF" w:rsidR="004E0648" w:rsidRPr="006644A8" w:rsidRDefault="004E0648" w:rsidP="00193B2A">
            <w:pPr>
              <w:pStyle w:val="Bodytext"/>
            </w:pPr>
            <w:r w:rsidRPr="006644A8">
              <w:t>Professor Maine did her medical training in London and Barset.</w:t>
            </w:r>
            <w:r>
              <w:t xml:space="preserve"> </w:t>
            </w:r>
            <w:r w:rsidRPr="006644A8">
              <w:t xml:space="preserve">She specialised in cancer and blood diseases and was a consultant for 20 years before joining </w:t>
            </w:r>
            <w:r>
              <w:t>Healthville</w:t>
            </w:r>
            <w:r w:rsidRPr="006644A8" w:rsidDel="00234038">
              <w:t xml:space="preserve"> </w:t>
            </w:r>
            <w:r w:rsidRPr="006644A8">
              <w:t xml:space="preserve">Hospital, where she developed the services for </w:t>
            </w:r>
            <w:r>
              <w:t>patients</w:t>
            </w:r>
            <w:r w:rsidRPr="006644A8">
              <w:t xml:space="preserve"> with these disorders. Now retired from clinical practice, she continues to undertake research and</w:t>
            </w:r>
            <w:r>
              <w:t xml:space="preserve"> pursue</w:t>
            </w:r>
            <w:r w:rsidRPr="006644A8">
              <w:t xml:space="preserve"> education interests.</w:t>
            </w:r>
          </w:p>
        </w:tc>
      </w:tr>
      <w:tr w:rsidR="000B1774" w:rsidRPr="006644A8" w14:paraId="56333853" w14:textId="77777777" w:rsidTr="00EC1B15">
        <w:trPr>
          <w:cantSplit/>
        </w:trPr>
        <w:tc>
          <w:tcPr>
            <w:tcW w:w="980" w:type="pct"/>
            <w:shd w:val="clear" w:color="auto" w:fill="auto"/>
          </w:tcPr>
          <w:p w14:paraId="0F06AF23" w14:textId="77777777" w:rsidR="000B1774" w:rsidRPr="006644A8" w:rsidRDefault="000B1774" w:rsidP="00193B2A">
            <w:pPr>
              <w:pStyle w:val="Bodytext"/>
              <w:spacing w:after="60"/>
            </w:pPr>
            <w:r w:rsidRPr="006644A8">
              <w:t>Jack Russell</w:t>
            </w:r>
          </w:p>
        </w:tc>
        <w:tc>
          <w:tcPr>
            <w:tcW w:w="1527" w:type="pct"/>
            <w:shd w:val="clear" w:color="auto" w:fill="auto"/>
          </w:tcPr>
          <w:p w14:paraId="0E799BD3" w14:textId="1500EE96" w:rsidR="000B1774" w:rsidRPr="006644A8" w:rsidRDefault="000B1774" w:rsidP="00193B2A">
            <w:pPr>
              <w:pStyle w:val="Bodytext"/>
              <w:spacing w:after="60"/>
            </w:pPr>
            <w:r w:rsidRPr="006644A8">
              <w:t>9 Sep</w:t>
            </w:r>
            <w:r>
              <w:t>tember</w:t>
            </w:r>
            <w:r w:rsidRPr="006644A8">
              <w:t xml:space="preserve"> 20</w:t>
            </w:r>
            <w:r>
              <w:t>1</w:t>
            </w:r>
            <w:r w:rsidR="000F6873">
              <w:t>8</w:t>
            </w:r>
          </w:p>
        </w:tc>
        <w:tc>
          <w:tcPr>
            <w:tcW w:w="2493" w:type="pct"/>
            <w:shd w:val="clear" w:color="auto" w:fill="auto"/>
          </w:tcPr>
          <w:p w14:paraId="6A5B936A" w14:textId="5FCD9A3A" w:rsidR="000B1774" w:rsidRPr="006644A8" w:rsidRDefault="000B1774" w:rsidP="00193B2A">
            <w:pPr>
              <w:pStyle w:val="Bodytext"/>
              <w:spacing w:after="60"/>
            </w:pPr>
            <w:r w:rsidRPr="006644A8">
              <w:t xml:space="preserve">Term of office expires 8 September </w:t>
            </w:r>
            <w:r>
              <w:t>202</w:t>
            </w:r>
            <w:r w:rsidR="000F6873">
              <w:t>4</w:t>
            </w:r>
          </w:p>
        </w:tc>
      </w:tr>
      <w:tr w:rsidR="000B1774" w:rsidRPr="006644A8" w14:paraId="7E7ED423" w14:textId="77777777" w:rsidTr="00EC1B15">
        <w:trPr>
          <w:cantSplit/>
        </w:trPr>
        <w:tc>
          <w:tcPr>
            <w:tcW w:w="5000" w:type="pct"/>
            <w:gridSpan w:val="3"/>
            <w:shd w:val="clear" w:color="auto" w:fill="auto"/>
          </w:tcPr>
          <w:p w14:paraId="535B4C38" w14:textId="77777777" w:rsidR="000B1774" w:rsidRDefault="000B1774" w:rsidP="00193B2A">
            <w:pPr>
              <w:pStyle w:val="Bodytext"/>
              <w:spacing w:after="60"/>
            </w:pPr>
            <w:r>
              <w:t>HR director of the HHFT board</w:t>
            </w:r>
          </w:p>
          <w:p w14:paraId="0604BACC" w14:textId="6C50D6E4" w:rsidR="00AC631B" w:rsidRPr="006644A8" w:rsidRDefault="00AC631B" w:rsidP="00193B2A">
            <w:pPr>
              <w:pStyle w:val="Bodytext"/>
            </w:pPr>
            <w:r w:rsidRPr="006644A8">
              <w:t xml:space="preserve">Mr Jack Russell is a </w:t>
            </w:r>
            <w:r>
              <w:t>member of the Chartered Institute of Personnel and Development</w:t>
            </w:r>
          </w:p>
        </w:tc>
      </w:tr>
      <w:tr w:rsidR="000B1774" w:rsidRPr="006644A8" w14:paraId="0B78F730" w14:textId="77777777" w:rsidTr="00EC1B15">
        <w:trPr>
          <w:cantSplit/>
        </w:trPr>
        <w:tc>
          <w:tcPr>
            <w:tcW w:w="980" w:type="pct"/>
            <w:shd w:val="clear" w:color="auto" w:fill="D9D9D9" w:themeFill="background1" w:themeFillShade="D9"/>
          </w:tcPr>
          <w:p w14:paraId="629D2D1C" w14:textId="77777777" w:rsidR="000B1774" w:rsidRPr="006644A8" w:rsidRDefault="000B1774" w:rsidP="00193B2A">
            <w:pPr>
              <w:pStyle w:val="Bodytext"/>
              <w:spacing w:after="60"/>
            </w:pPr>
            <w:r>
              <w:t xml:space="preserve">Sebastian Powell </w:t>
            </w:r>
          </w:p>
        </w:tc>
        <w:tc>
          <w:tcPr>
            <w:tcW w:w="1527" w:type="pct"/>
            <w:shd w:val="clear" w:color="auto" w:fill="D9D9D9" w:themeFill="background1" w:themeFillShade="D9"/>
          </w:tcPr>
          <w:p w14:paraId="42D888AD" w14:textId="29C50F83" w:rsidR="000B1774" w:rsidRPr="00D408DC" w:rsidRDefault="000B1774" w:rsidP="00193B2A">
            <w:pPr>
              <w:pStyle w:val="Bodytext"/>
              <w:spacing w:after="60"/>
              <w:rPr>
                <w:color w:val="FF0000"/>
              </w:rPr>
            </w:pPr>
            <w:r w:rsidRPr="006644A8">
              <w:t>1 Aug</w:t>
            </w:r>
            <w:r>
              <w:t>ust</w:t>
            </w:r>
            <w:r w:rsidRPr="006644A8">
              <w:t xml:space="preserve"> 201</w:t>
            </w:r>
            <w:r w:rsidR="0019034E">
              <w:t>3</w:t>
            </w:r>
            <w:r>
              <w:t xml:space="preserve">/ </w:t>
            </w:r>
            <w:r>
              <w:rPr>
                <w:color w:val="FF0000"/>
              </w:rPr>
              <w:t>(31 August 20</w:t>
            </w:r>
            <w:r w:rsidR="00623DAF">
              <w:rPr>
                <w:color w:val="FF0000"/>
              </w:rPr>
              <w:t>2</w:t>
            </w:r>
            <w:r w:rsidR="00B8498B">
              <w:rPr>
                <w:color w:val="FF0000"/>
              </w:rPr>
              <w:t>3</w:t>
            </w:r>
            <w:r>
              <w:rPr>
                <w:color w:val="FF0000"/>
              </w:rPr>
              <w:t>)</w:t>
            </w:r>
          </w:p>
        </w:tc>
        <w:tc>
          <w:tcPr>
            <w:tcW w:w="2493" w:type="pct"/>
            <w:shd w:val="clear" w:color="auto" w:fill="D9D9D9" w:themeFill="background1" w:themeFillShade="D9"/>
          </w:tcPr>
          <w:p w14:paraId="08003835" w14:textId="3CC793DF" w:rsidR="000B1774" w:rsidRPr="006644A8" w:rsidRDefault="000B1774" w:rsidP="00193B2A">
            <w:pPr>
              <w:pStyle w:val="Bodytext"/>
              <w:spacing w:after="60"/>
            </w:pPr>
            <w:r>
              <w:t>Retired on 31 August 20</w:t>
            </w:r>
            <w:r w:rsidR="00623DAF">
              <w:t>2</w:t>
            </w:r>
            <w:r w:rsidR="00B8498B">
              <w:t>3</w:t>
            </w:r>
          </w:p>
        </w:tc>
      </w:tr>
      <w:tr w:rsidR="000B1774" w:rsidRPr="006644A8" w14:paraId="00936ECB" w14:textId="77777777" w:rsidTr="00EC1B15">
        <w:trPr>
          <w:cantSplit/>
        </w:trPr>
        <w:tc>
          <w:tcPr>
            <w:tcW w:w="5000" w:type="pct"/>
            <w:gridSpan w:val="3"/>
            <w:shd w:val="clear" w:color="auto" w:fill="D9D9D9" w:themeFill="background1" w:themeFillShade="D9"/>
          </w:tcPr>
          <w:p w14:paraId="3AAFAD2D" w14:textId="77777777" w:rsidR="000B1774" w:rsidRPr="006644A8" w:rsidRDefault="000B1774" w:rsidP="00193B2A">
            <w:pPr>
              <w:pStyle w:val="Bodytext"/>
              <w:spacing w:after="60"/>
            </w:pPr>
            <w:r>
              <w:t>Finance director of the HHFT board</w:t>
            </w:r>
          </w:p>
        </w:tc>
      </w:tr>
    </w:tbl>
    <w:p w14:paraId="4AFA3244" w14:textId="77777777" w:rsidR="00AC631B" w:rsidRDefault="00AC631B" w:rsidP="00193B2A">
      <w:pPr>
        <w:pStyle w:val="Bodytext"/>
        <w:ind w:left="360"/>
      </w:pPr>
    </w:p>
    <w:p w14:paraId="34A6F32C" w14:textId="70ECE42B" w:rsidR="000B1774" w:rsidRPr="002635E0" w:rsidRDefault="000B1774" w:rsidP="000B1774">
      <w:pPr>
        <w:pStyle w:val="Bodytext"/>
        <w:numPr>
          <w:ilvl w:val="0"/>
          <w:numId w:val="38"/>
        </w:numPr>
      </w:pPr>
      <w:r>
        <w:t xml:space="preserve">Members of the charitable funds committee </w:t>
      </w:r>
      <w:r w:rsidRPr="006644A8">
        <w:t>are selected to give the charity a good mix of appropriate professional skills</w:t>
      </w:r>
      <w:r>
        <w:t xml:space="preserve"> – for example</w:t>
      </w:r>
      <w:r w:rsidRPr="006644A8">
        <w:t xml:space="preserve">, </w:t>
      </w:r>
      <w:r w:rsidRPr="002635E0">
        <w:t xml:space="preserve">medical, finance, investment and fundraising. </w:t>
      </w:r>
    </w:p>
    <w:p w14:paraId="03CBA3D9" w14:textId="5E93BB59" w:rsidR="000B1774" w:rsidRPr="00B8498B" w:rsidRDefault="00DF27B9" w:rsidP="000B1774">
      <w:pPr>
        <w:pStyle w:val="Bodytext"/>
        <w:numPr>
          <w:ilvl w:val="0"/>
          <w:numId w:val="38"/>
        </w:numPr>
      </w:pPr>
      <w:bookmarkStart w:id="40" w:name="_Ref130281984"/>
      <w:bookmarkStart w:id="41" w:name="_Ref494703993"/>
      <w:r w:rsidRPr="00B8498B">
        <w:t>All board papers include a section called public benefit which is used to</w:t>
      </w:r>
      <w:r w:rsidR="001C149B" w:rsidRPr="00B8498B">
        <w:t xml:space="preserve"> </w:t>
      </w:r>
      <w:r w:rsidRPr="00B8498B">
        <w:t xml:space="preserve">prompt </w:t>
      </w:r>
      <w:r w:rsidR="003F08A5" w:rsidRPr="00B8498B">
        <w:t>dis</w:t>
      </w:r>
      <w:r w:rsidR="001C149B" w:rsidRPr="00B8498B">
        <w:t xml:space="preserve">cussions about </w:t>
      </w:r>
      <w:r w:rsidR="004C758D" w:rsidRPr="00B8498B">
        <w:t>new projects</w:t>
      </w:r>
      <w:r w:rsidR="001C149B" w:rsidRPr="00B8498B">
        <w:t xml:space="preserve"> to include public benefit considerations.</w:t>
      </w:r>
      <w:bookmarkEnd w:id="40"/>
      <w:bookmarkEnd w:id="41"/>
    </w:p>
    <w:p w14:paraId="36596C89" w14:textId="3CD1E655" w:rsidR="000B1774" w:rsidRDefault="000B1774" w:rsidP="000B1774">
      <w:pPr>
        <w:pStyle w:val="Bodytext"/>
        <w:numPr>
          <w:ilvl w:val="0"/>
          <w:numId w:val="38"/>
        </w:numPr>
      </w:pPr>
      <w:bookmarkStart w:id="42" w:name="_Ref494703995"/>
      <w:r>
        <w:lastRenderedPageBreak/>
        <w:t xml:space="preserve">New members of the charitable funds committee </w:t>
      </w:r>
      <w:r w:rsidRPr="006644A8">
        <w:t xml:space="preserve">are provided with an induction pack consisting of the governing documents, previous </w:t>
      </w:r>
      <w:r w:rsidR="001F7AD3">
        <w:t xml:space="preserve">three </w:t>
      </w:r>
      <w:r w:rsidRPr="006644A8">
        <w:t xml:space="preserve">years </w:t>
      </w:r>
      <w:r>
        <w:t>trustee’s</w:t>
      </w:r>
      <w:r w:rsidRPr="006644A8">
        <w:t xml:space="preserve"> annual reports and accounts, policies</w:t>
      </w:r>
      <w:r>
        <w:t xml:space="preserve"> and procedures of the Charity </w:t>
      </w:r>
      <w:r w:rsidRPr="00BF08B7">
        <w:t xml:space="preserve">as well as </w:t>
      </w:r>
      <w:r w:rsidR="00E364F7" w:rsidRPr="00BF08B7">
        <w:t xml:space="preserve">the HFMA’s </w:t>
      </w:r>
      <w:r w:rsidR="00BA7DCB" w:rsidRPr="00021532">
        <w:rPr>
          <w:i/>
          <w:iCs/>
        </w:rPr>
        <w:t>Practical guide: NHS charitable funds</w:t>
      </w:r>
      <w:r w:rsidR="00BA7DCB" w:rsidRPr="00BF08B7">
        <w:t xml:space="preserve"> and </w:t>
      </w:r>
      <w:r w:rsidRPr="00BF08B7">
        <w:t>the Charity Commission</w:t>
      </w:r>
      <w:r w:rsidR="006C791D">
        <w:t xml:space="preserve"> for England and Wales</w:t>
      </w:r>
      <w:r w:rsidR="006C791D" w:rsidRPr="00BF08B7">
        <w:t>’s</w:t>
      </w:r>
      <w:r w:rsidRPr="00BF08B7">
        <w:t xml:space="preserve"> guidance </w:t>
      </w:r>
      <w:r w:rsidR="006C791D" w:rsidRPr="00021532">
        <w:rPr>
          <w:i/>
          <w:iCs/>
        </w:rPr>
        <w:t>P</w:t>
      </w:r>
      <w:r w:rsidRPr="00021532">
        <w:rPr>
          <w:i/>
          <w:iCs/>
        </w:rPr>
        <w:t>ublic</w:t>
      </w:r>
      <w:r w:rsidRPr="00021532">
        <w:rPr>
          <w:b/>
          <w:bCs/>
          <w:i/>
          <w:iCs/>
        </w:rPr>
        <w:t xml:space="preserve"> </w:t>
      </w:r>
      <w:r w:rsidRPr="00021532">
        <w:rPr>
          <w:i/>
          <w:iCs/>
        </w:rPr>
        <w:t>benefit:</w:t>
      </w:r>
      <w:r w:rsidRPr="006C791D">
        <w:rPr>
          <w:b/>
          <w:bCs/>
          <w:i/>
          <w:iCs/>
        </w:rPr>
        <w:t xml:space="preserve"> </w:t>
      </w:r>
      <w:r w:rsidR="006B2A06" w:rsidRPr="00021532">
        <w:rPr>
          <w:i/>
          <w:iCs/>
        </w:rPr>
        <w:t>running a charity</w:t>
      </w:r>
      <w:r w:rsidRPr="002420A7">
        <w:rPr>
          <w:b/>
          <w:bCs/>
          <w:i/>
          <w:iCs/>
        </w:rPr>
        <w:t>.</w:t>
      </w:r>
      <w:r>
        <w:t xml:space="preserve"> </w:t>
      </w:r>
      <w:r w:rsidRPr="006644A8">
        <w:t>Appropriate training courses are offered in charity law and administration, and the roles and responsibilities of trustees</w:t>
      </w:r>
      <w:r>
        <w:rPr>
          <w:rStyle w:val="FootnoteReference"/>
        </w:rPr>
        <w:footnoteReference w:id="23"/>
      </w:r>
      <w:r w:rsidRPr="006644A8">
        <w:t>.</w:t>
      </w:r>
      <w:r>
        <w:t xml:space="preserve"> </w:t>
      </w:r>
      <w:r w:rsidRPr="006644A8">
        <w:t xml:space="preserve">The charity’s auditors and solicitors provide useful material, and NHS Charities </w:t>
      </w:r>
      <w:r w:rsidR="00AD1B31">
        <w:t xml:space="preserve">Together </w:t>
      </w:r>
      <w:r w:rsidRPr="006644A8">
        <w:t>runs regular conferences for trustees.</w:t>
      </w:r>
      <w:bookmarkEnd w:id="42"/>
    </w:p>
    <w:p w14:paraId="1FA5A029" w14:textId="77777777" w:rsidR="000B1774" w:rsidRPr="006644A8" w:rsidRDefault="000B1774" w:rsidP="000B1774">
      <w:pPr>
        <w:pStyle w:val="Heading2"/>
      </w:pPr>
      <w:r w:rsidRPr="006644A8">
        <w:t>Our staff</w:t>
      </w:r>
      <w:r>
        <w:t xml:space="preserve"> and advisors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3"/>
      </w:tblGrid>
      <w:tr w:rsidR="000B1774" w:rsidRPr="006644A8" w14:paraId="230A5153" w14:textId="77777777" w:rsidTr="00EC1B15">
        <w:tc>
          <w:tcPr>
            <w:tcW w:w="9396" w:type="dxa"/>
            <w:shd w:val="clear" w:color="auto" w:fill="auto"/>
          </w:tcPr>
          <w:p w14:paraId="2FFDF6F3" w14:textId="77777777" w:rsidR="000B1774" w:rsidRDefault="000B1774" w:rsidP="00EC1B15">
            <w:pPr>
              <w:pStyle w:val="Bodytext"/>
            </w:pPr>
            <w:r w:rsidRPr="006644A8">
              <w:t xml:space="preserve">Paragraph 1.52 of the </w:t>
            </w:r>
            <w:r>
              <w:t>SORP FRS 102</w:t>
            </w:r>
            <w:r w:rsidRPr="006644A8">
              <w:t xml:space="preserve"> requires larger charities to state to whom the trustees delegate day-to-day management of the charity and from whom trustees are taking advice. In particular, the report must provide:</w:t>
            </w:r>
          </w:p>
          <w:p w14:paraId="3CF788A4" w14:textId="77777777" w:rsidR="000B1774" w:rsidRPr="006644A8" w:rsidRDefault="000B1774" w:rsidP="00EC1B15">
            <w:pPr>
              <w:pStyle w:val="Bodytext"/>
            </w:pPr>
            <w:r w:rsidRPr="006644A8">
              <w:t>The name of any chief executive officer or other senior management personnel to whom the charity trustees delegate day-to-day management of the charity on the date the report was approved or who served in such a position in the reporting period in question</w:t>
            </w:r>
          </w:p>
          <w:p w14:paraId="7F41D68A" w14:textId="77777777" w:rsidR="000B1774" w:rsidRPr="006644A8" w:rsidRDefault="000B1774" w:rsidP="00EC1B15">
            <w:pPr>
              <w:pStyle w:val="Bodytext"/>
              <w:rPr>
                <w:b/>
                <w:bCs/>
              </w:rPr>
            </w:pPr>
            <w:r w:rsidRPr="006644A8">
              <w:t>The names and addresses of any other relevant organisations or persons providing banking services or professional advice to the charity, including its solicitors, auditor and investment advis</w:t>
            </w:r>
            <w:r>
              <w:t>o</w:t>
            </w:r>
            <w:r w:rsidRPr="006644A8">
              <w:t>rs.</w:t>
            </w:r>
          </w:p>
          <w:p w14:paraId="1BD0599B" w14:textId="706B694E" w:rsidR="000B1774" w:rsidRPr="00293AC7" w:rsidRDefault="000B1774" w:rsidP="00EC1B15">
            <w:pPr>
              <w:pStyle w:val="Bodytext"/>
            </w:pPr>
            <w:r w:rsidRPr="006644A8">
              <w:t>These points are covered in paragraph</w:t>
            </w:r>
            <w:r>
              <w:t>s</w:t>
            </w:r>
            <w:r w:rsidRPr="006644A8">
              <w:t xml:space="preserve"> </w:t>
            </w:r>
            <w:r w:rsidRPr="006644A8">
              <w:fldChar w:fldCharType="begin"/>
            </w:r>
            <w:r w:rsidRPr="006644A8">
              <w:instrText xml:space="preserve"> REF _Ref431886811 \r \h </w:instrText>
            </w:r>
            <w:r>
              <w:instrText xml:space="preserve"> \* MERGEFORMAT </w:instrText>
            </w:r>
            <w:r w:rsidRPr="006644A8">
              <w:fldChar w:fldCharType="separate"/>
            </w:r>
            <w:r w:rsidR="00E6322B">
              <w:t>76</w:t>
            </w:r>
            <w:r w:rsidRPr="006644A8">
              <w:fldChar w:fldCharType="end"/>
            </w:r>
            <w:r>
              <w:t xml:space="preserve"> and </w:t>
            </w:r>
            <w:r>
              <w:fldChar w:fldCharType="begin"/>
            </w:r>
            <w:r>
              <w:instrText xml:space="preserve"> REF _Ref494704325 \r \h  \* MERGEFORMAT </w:instrText>
            </w:r>
            <w:r>
              <w:fldChar w:fldCharType="separate"/>
            </w:r>
            <w:r w:rsidR="00E6322B">
              <w:t>77</w:t>
            </w:r>
            <w:r>
              <w:fldChar w:fldCharType="end"/>
            </w:r>
            <w:r w:rsidRPr="006644A8">
              <w:t xml:space="preserve"> of the annual report.</w:t>
            </w:r>
          </w:p>
        </w:tc>
      </w:tr>
    </w:tbl>
    <w:p w14:paraId="5DDE919A" w14:textId="77777777" w:rsidR="000B1774" w:rsidRPr="00623DAF" w:rsidRDefault="000B1774" w:rsidP="000B1774">
      <w:pPr>
        <w:pStyle w:val="Bodytext"/>
        <w:rPr>
          <w:rFonts w:cs="Arial"/>
          <w:b/>
          <w:bCs/>
          <w:sz w:val="18"/>
        </w:rPr>
      </w:pPr>
    </w:p>
    <w:p w14:paraId="3E84A07B" w14:textId="7E2BAC13" w:rsidR="000B1774" w:rsidRDefault="000B1774" w:rsidP="000B1774">
      <w:pPr>
        <w:pStyle w:val="Bodytext"/>
        <w:numPr>
          <w:ilvl w:val="0"/>
          <w:numId w:val="38"/>
        </w:numPr>
      </w:pPr>
      <w:bookmarkStart w:id="43" w:name="_Ref431886811"/>
      <w:r>
        <w:t>OtM</w:t>
      </w:r>
      <w:r w:rsidRPr="006644A8">
        <w:t xml:space="preserve"> has two </w:t>
      </w:r>
      <w:r>
        <w:t>staff seconded full time from HHFT</w:t>
      </w:r>
      <w:r w:rsidRPr="006644A8">
        <w:t xml:space="preserve">, </w:t>
      </w:r>
      <w:r w:rsidRPr="00624C05">
        <w:rPr>
          <w:bCs/>
        </w:rPr>
        <w:t xml:space="preserve">Mr Stylone Buckeridge is the trust fund director and Ms </w:t>
      </w:r>
      <w:r w:rsidR="00386973">
        <w:rPr>
          <w:bCs/>
        </w:rPr>
        <w:t>Susi</w:t>
      </w:r>
      <w:r w:rsidR="00250763">
        <w:rPr>
          <w:bCs/>
        </w:rPr>
        <w:t>e Mac</w:t>
      </w:r>
      <w:r w:rsidR="002F247C">
        <w:rPr>
          <w:bCs/>
        </w:rPr>
        <w:t>G</w:t>
      </w:r>
      <w:r w:rsidR="00250763">
        <w:rPr>
          <w:bCs/>
        </w:rPr>
        <w:t xml:space="preserve">regor </w:t>
      </w:r>
      <w:r w:rsidR="003C7ED9">
        <w:rPr>
          <w:bCs/>
        </w:rPr>
        <w:t>is the fundraising manager.</w:t>
      </w:r>
      <w:r w:rsidRPr="006644A8">
        <w:t xml:space="preserve"> </w:t>
      </w:r>
    </w:p>
    <w:p w14:paraId="010D58DE" w14:textId="77777777" w:rsidR="000B1774" w:rsidRPr="006644A8" w:rsidRDefault="000B1774" w:rsidP="000B1774">
      <w:pPr>
        <w:pStyle w:val="Bodytext"/>
        <w:numPr>
          <w:ilvl w:val="0"/>
          <w:numId w:val="38"/>
        </w:numPr>
      </w:pPr>
      <w:bookmarkStart w:id="44" w:name="_Ref494704325"/>
      <w:r w:rsidRPr="006644A8">
        <w:t xml:space="preserve">The </w:t>
      </w:r>
      <w:r>
        <w:t>charitable funds committee is</w:t>
      </w:r>
      <w:r w:rsidRPr="006644A8">
        <w:t xml:space="preserve"> also assisted by a number of professional advis</w:t>
      </w:r>
      <w:r>
        <w:t>o</w:t>
      </w:r>
      <w:r w:rsidRPr="006644A8">
        <w:t>rs, as detailed below:</w:t>
      </w:r>
      <w:bookmarkEnd w:id="43"/>
      <w:bookmarkEnd w:id="4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3"/>
        <w:gridCol w:w="3570"/>
      </w:tblGrid>
      <w:tr w:rsidR="000B1774" w:rsidRPr="00293AC7" w14:paraId="123D8762" w14:textId="77777777" w:rsidTr="00EC1B15">
        <w:tc>
          <w:tcPr>
            <w:tcW w:w="4585" w:type="dxa"/>
          </w:tcPr>
          <w:p w14:paraId="6239F7DD" w14:textId="77777777" w:rsidR="004B5BCE" w:rsidRDefault="004B5BCE" w:rsidP="00EC1B15">
            <w:pPr>
              <w:pStyle w:val="Bodytext"/>
              <w:rPr>
                <w:b/>
              </w:rPr>
            </w:pPr>
          </w:p>
          <w:p w14:paraId="7816E961" w14:textId="38CE6D0A" w:rsidR="000B1774" w:rsidRPr="00293AC7" w:rsidRDefault="000B1774" w:rsidP="00EC1B15">
            <w:pPr>
              <w:pStyle w:val="Bodytext"/>
              <w:rPr>
                <w:b/>
              </w:rPr>
            </w:pPr>
            <w:r w:rsidRPr="00293AC7">
              <w:rPr>
                <w:b/>
              </w:rPr>
              <w:t>Investment managers:</w:t>
            </w:r>
            <w:r w:rsidRPr="00293AC7" w:rsidDel="00743104">
              <w:rPr>
                <w:b/>
              </w:rPr>
              <w:t xml:space="preserve"> </w:t>
            </w:r>
          </w:p>
        </w:tc>
        <w:tc>
          <w:tcPr>
            <w:tcW w:w="4585" w:type="dxa"/>
          </w:tcPr>
          <w:p w14:paraId="220418F1" w14:textId="77777777" w:rsidR="000B1774" w:rsidRPr="00293AC7" w:rsidRDefault="000B1774" w:rsidP="00EC1B15">
            <w:pPr>
              <w:pStyle w:val="Bodytext"/>
              <w:rPr>
                <w:b/>
              </w:rPr>
            </w:pPr>
          </w:p>
        </w:tc>
      </w:tr>
      <w:tr w:rsidR="000B1774" w14:paraId="7234E22A" w14:textId="77777777" w:rsidTr="00EC1B15">
        <w:tc>
          <w:tcPr>
            <w:tcW w:w="4585" w:type="dxa"/>
          </w:tcPr>
          <w:p w14:paraId="5D7F660F" w14:textId="77777777" w:rsidR="000B1774" w:rsidRDefault="000B1774" w:rsidP="00EC1B15">
            <w:pPr>
              <w:pStyle w:val="Bodytext"/>
              <w:spacing w:after="0"/>
            </w:pPr>
            <w:r w:rsidRPr="006644A8">
              <w:t>C Investment Management</w:t>
            </w:r>
            <w:r>
              <w:t xml:space="preserve"> </w:t>
            </w:r>
            <w:r w:rsidRPr="006644A8">
              <w:t>Limited</w:t>
            </w:r>
          </w:p>
          <w:p w14:paraId="7B7B34C6" w14:textId="77777777" w:rsidR="000B1774" w:rsidRDefault="000B1774" w:rsidP="00EC1B15">
            <w:pPr>
              <w:pStyle w:val="Bodytext"/>
              <w:spacing w:after="0"/>
            </w:pPr>
            <w:r w:rsidRPr="006644A8">
              <w:t xml:space="preserve">1000 Cheapside </w:t>
            </w:r>
          </w:p>
          <w:p w14:paraId="40A47C47" w14:textId="77777777" w:rsidR="000B1774" w:rsidRDefault="000B1774" w:rsidP="00EC1B15">
            <w:pPr>
              <w:pStyle w:val="Bodytext"/>
              <w:spacing w:after="0"/>
            </w:pPr>
            <w:r w:rsidRPr="006644A8">
              <w:t>London</w:t>
            </w:r>
            <w:r w:rsidRPr="00743104">
              <w:t xml:space="preserve"> </w:t>
            </w:r>
          </w:p>
          <w:p w14:paraId="01407C73" w14:textId="77777777" w:rsidR="000B1774" w:rsidRDefault="000B1774" w:rsidP="00EC1B15">
            <w:pPr>
              <w:pStyle w:val="Bodytext"/>
            </w:pPr>
            <w:r w:rsidRPr="006644A8">
              <w:t>EC2V 6ZZ</w:t>
            </w:r>
          </w:p>
        </w:tc>
        <w:tc>
          <w:tcPr>
            <w:tcW w:w="4585" w:type="dxa"/>
          </w:tcPr>
          <w:p w14:paraId="21F2F449" w14:textId="77777777" w:rsidR="000B1774" w:rsidRPr="006644A8" w:rsidRDefault="000B1774" w:rsidP="00EC1B15">
            <w:pPr>
              <w:pStyle w:val="Bodytext"/>
              <w:spacing w:after="0"/>
            </w:pPr>
            <w:r w:rsidRPr="006644A8">
              <w:t xml:space="preserve">Schuman </w:t>
            </w:r>
            <w:r>
              <w:t>and</w:t>
            </w:r>
            <w:r w:rsidRPr="006644A8">
              <w:t xml:space="preserve"> Co Limited</w:t>
            </w:r>
          </w:p>
          <w:p w14:paraId="00926A51" w14:textId="77777777" w:rsidR="000B1774" w:rsidRPr="006644A8" w:rsidRDefault="000B1774" w:rsidP="00EC1B15">
            <w:pPr>
              <w:pStyle w:val="Bodytext"/>
              <w:spacing w:after="0"/>
            </w:pPr>
            <w:r w:rsidRPr="006644A8">
              <w:t>1000 Wood Street West</w:t>
            </w:r>
          </w:p>
          <w:p w14:paraId="0C056395" w14:textId="77777777" w:rsidR="000B1774" w:rsidRDefault="000B1774" w:rsidP="00EC1B15">
            <w:pPr>
              <w:pStyle w:val="Bodytext"/>
              <w:spacing w:after="0"/>
            </w:pPr>
            <w:r w:rsidRPr="006644A8">
              <w:t>London</w:t>
            </w:r>
          </w:p>
          <w:p w14:paraId="45CA0529" w14:textId="77777777" w:rsidR="000B1774" w:rsidRDefault="000B1774" w:rsidP="00EC1B15">
            <w:pPr>
              <w:pStyle w:val="Bodytext"/>
            </w:pPr>
            <w:r w:rsidRPr="006644A8">
              <w:t>EC2V 7ZZ</w:t>
            </w:r>
          </w:p>
        </w:tc>
      </w:tr>
      <w:tr w:rsidR="000B1774" w:rsidRPr="00293AC7" w14:paraId="06C93C3B" w14:textId="77777777" w:rsidTr="00EC1B15">
        <w:tc>
          <w:tcPr>
            <w:tcW w:w="4585" w:type="dxa"/>
          </w:tcPr>
          <w:p w14:paraId="71D55127" w14:textId="77777777" w:rsidR="000B1774" w:rsidRPr="00293AC7" w:rsidRDefault="000B1774" w:rsidP="00E53084">
            <w:pPr>
              <w:pStyle w:val="Bodytext"/>
              <w:rPr>
                <w:b/>
              </w:rPr>
            </w:pPr>
            <w:r w:rsidRPr="00293AC7">
              <w:rPr>
                <w:b/>
              </w:rPr>
              <w:t>External auditors:</w:t>
            </w:r>
          </w:p>
        </w:tc>
        <w:tc>
          <w:tcPr>
            <w:tcW w:w="4585" w:type="dxa"/>
          </w:tcPr>
          <w:p w14:paraId="1F973497" w14:textId="77777777" w:rsidR="000B1774" w:rsidRPr="00293AC7" w:rsidRDefault="000B1774" w:rsidP="00EC1B15">
            <w:pPr>
              <w:pStyle w:val="Bodytext"/>
              <w:rPr>
                <w:b/>
              </w:rPr>
            </w:pPr>
            <w:r w:rsidRPr="00293AC7">
              <w:rPr>
                <w:b/>
              </w:rPr>
              <w:t>Internal auditors:</w:t>
            </w:r>
          </w:p>
        </w:tc>
      </w:tr>
      <w:tr w:rsidR="000B1774" w14:paraId="61F30FAB" w14:textId="77777777" w:rsidTr="00EC1B15">
        <w:tc>
          <w:tcPr>
            <w:tcW w:w="4585" w:type="dxa"/>
          </w:tcPr>
          <w:p w14:paraId="71185FD3" w14:textId="77777777" w:rsidR="000B1774" w:rsidRDefault="000B1774" w:rsidP="00E53084">
            <w:pPr>
              <w:pStyle w:val="Bodytext"/>
              <w:spacing w:after="0"/>
            </w:pPr>
            <w:r w:rsidRPr="006644A8">
              <w:t>Top Audit LLP</w:t>
            </w:r>
          </w:p>
          <w:p w14:paraId="4F210AED" w14:textId="77777777" w:rsidR="000B1774" w:rsidRDefault="000B1774" w:rsidP="00E53084">
            <w:pPr>
              <w:pStyle w:val="Bodytext"/>
              <w:spacing w:after="0"/>
            </w:pPr>
            <w:r w:rsidRPr="006644A8">
              <w:t>2 Cornwall Street</w:t>
            </w:r>
          </w:p>
          <w:p w14:paraId="41AD07E1" w14:textId="77777777" w:rsidR="000B1774" w:rsidRDefault="000B1774" w:rsidP="00E53084">
            <w:pPr>
              <w:pStyle w:val="Bodytext"/>
              <w:spacing w:after="0"/>
            </w:pPr>
            <w:r>
              <w:t>Healthville</w:t>
            </w:r>
          </w:p>
          <w:p w14:paraId="26141E27" w14:textId="77777777" w:rsidR="000B1774" w:rsidRDefault="000B1774" w:rsidP="00E53084">
            <w:pPr>
              <w:pStyle w:val="Bodytext"/>
            </w:pPr>
            <w:r>
              <w:t>HV</w:t>
            </w:r>
            <w:r w:rsidRPr="006644A8">
              <w:t>3 2DL</w:t>
            </w:r>
          </w:p>
        </w:tc>
        <w:tc>
          <w:tcPr>
            <w:tcW w:w="4585" w:type="dxa"/>
          </w:tcPr>
          <w:p w14:paraId="6CD588B8" w14:textId="77777777" w:rsidR="000B1774" w:rsidRDefault="000B1774" w:rsidP="00EC1B15">
            <w:pPr>
              <w:pStyle w:val="Bodytext"/>
              <w:spacing w:after="0"/>
            </w:pPr>
            <w:r w:rsidRPr="006644A8">
              <w:t>Bentley Audit Co</w:t>
            </w:r>
          </w:p>
          <w:p w14:paraId="56EAF0C8" w14:textId="77777777" w:rsidR="000B1774" w:rsidRDefault="000B1774" w:rsidP="00EC1B15">
            <w:pPr>
              <w:pStyle w:val="Bodytext"/>
              <w:spacing w:after="0"/>
            </w:pPr>
            <w:r w:rsidRPr="006644A8">
              <w:t>5 Ridge House</w:t>
            </w:r>
          </w:p>
          <w:p w14:paraId="0E23FEE7" w14:textId="77777777" w:rsidR="000B1774" w:rsidRDefault="000B1774" w:rsidP="00EC1B15">
            <w:pPr>
              <w:pStyle w:val="Bodytext"/>
              <w:spacing w:after="0"/>
            </w:pPr>
            <w:r w:rsidRPr="006644A8">
              <w:t xml:space="preserve">Ridge House Drive </w:t>
            </w:r>
          </w:p>
          <w:p w14:paraId="15F69A05" w14:textId="77777777" w:rsidR="000B1774" w:rsidRDefault="000B1774" w:rsidP="00EC1B15">
            <w:pPr>
              <w:pStyle w:val="Bodytext"/>
              <w:spacing w:after="0"/>
            </w:pPr>
            <w:r w:rsidRPr="006644A8">
              <w:t xml:space="preserve">Darsetshire Park </w:t>
            </w:r>
          </w:p>
          <w:p w14:paraId="307F6AD7" w14:textId="77777777" w:rsidR="000B1774" w:rsidRPr="006644A8" w:rsidRDefault="000B1774" w:rsidP="00EC1B15">
            <w:pPr>
              <w:pStyle w:val="Bodytext"/>
              <w:spacing w:after="0"/>
            </w:pPr>
            <w:r w:rsidRPr="006644A8">
              <w:t>Clasterbridge</w:t>
            </w:r>
          </w:p>
          <w:p w14:paraId="2332765A" w14:textId="77777777" w:rsidR="000B1774" w:rsidRPr="00743104" w:rsidRDefault="000B1774" w:rsidP="00EC1B15">
            <w:pPr>
              <w:pStyle w:val="Bodytext"/>
            </w:pPr>
            <w:r>
              <w:t>CL1 5SJ</w:t>
            </w:r>
          </w:p>
        </w:tc>
      </w:tr>
      <w:tr w:rsidR="000B1774" w:rsidRPr="00293AC7" w14:paraId="23392684" w14:textId="77777777" w:rsidTr="00EC1B15">
        <w:tc>
          <w:tcPr>
            <w:tcW w:w="4585" w:type="dxa"/>
          </w:tcPr>
          <w:p w14:paraId="44ACFD12" w14:textId="77777777" w:rsidR="000B1774" w:rsidRPr="00293AC7" w:rsidRDefault="000B1774" w:rsidP="00EC1B15">
            <w:pPr>
              <w:pStyle w:val="Bodytext"/>
              <w:rPr>
                <w:b/>
              </w:rPr>
            </w:pPr>
            <w:r w:rsidRPr="00293AC7">
              <w:rPr>
                <w:b/>
              </w:rPr>
              <w:t>Bankers:</w:t>
            </w:r>
          </w:p>
        </w:tc>
        <w:tc>
          <w:tcPr>
            <w:tcW w:w="4585" w:type="dxa"/>
          </w:tcPr>
          <w:p w14:paraId="3B756F3C" w14:textId="77777777" w:rsidR="000B1774" w:rsidRPr="00293AC7" w:rsidRDefault="000B1774" w:rsidP="00EC1B15">
            <w:pPr>
              <w:pStyle w:val="Bodytext"/>
              <w:rPr>
                <w:b/>
              </w:rPr>
            </w:pPr>
            <w:r w:rsidRPr="00293AC7">
              <w:rPr>
                <w:b/>
              </w:rPr>
              <w:t>Legal advisors:</w:t>
            </w:r>
          </w:p>
        </w:tc>
      </w:tr>
      <w:tr w:rsidR="000B1774" w14:paraId="00C74307" w14:textId="77777777" w:rsidTr="00EC1B15">
        <w:tc>
          <w:tcPr>
            <w:tcW w:w="4585" w:type="dxa"/>
          </w:tcPr>
          <w:p w14:paraId="628767FF" w14:textId="77777777" w:rsidR="000B1774" w:rsidRDefault="000B1774" w:rsidP="00EC1B15">
            <w:pPr>
              <w:pStyle w:val="Bodytext"/>
              <w:spacing w:after="0"/>
            </w:pPr>
            <w:r w:rsidRPr="006644A8">
              <w:t>Any Bank</w:t>
            </w:r>
          </w:p>
          <w:p w14:paraId="7FAD9DDD" w14:textId="77777777" w:rsidR="000B1774" w:rsidRDefault="000B1774" w:rsidP="00EC1B15">
            <w:pPr>
              <w:pStyle w:val="Bodytext"/>
              <w:spacing w:after="0"/>
            </w:pPr>
            <w:r w:rsidRPr="006644A8">
              <w:t>166 High Street</w:t>
            </w:r>
          </w:p>
          <w:p w14:paraId="428E2DA2" w14:textId="77777777" w:rsidR="000B1774" w:rsidRPr="006644A8" w:rsidRDefault="000B1774" w:rsidP="00EC1B15">
            <w:pPr>
              <w:pStyle w:val="Bodytext"/>
              <w:spacing w:after="0"/>
            </w:pPr>
            <w:r>
              <w:t>Healthville</w:t>
            </w:r>
          </w:p>
          <w:p w14:paraId="63796D8D" w14:textId="77777777" w:rsidR="000B1774" w:rsidRDefault="000B1774" w:rsidP="00EC1B15">
            <w:pPr>
              <w:pStyle w:val="Bodytext"/>
            </w:pPr>
            <w:r>
              <w:t>HV</w:t>
            </w:r>
            <w:r w:rsidRPr="006644A8">
              <w:t>17 9PW</w:t>
            </w:r>
          </w:p>
        </w:tc>
        <w:tc>
          <w:tcPr>
            <w:tcW w:w="4585" w:type="dxa"/>
          </w:tcPr>
          <w:p w14:paraId="446CA1EC" w14:textId="77777777" w:rsidR="000B1774" w:rsidRDefault="000B1774" w:rsidP="00EC1B15">
            <w:pPr>
              <w:pStyle w:val="Bodytext"/>
              <w:spacing w:after="0"/>
            </w:pPr>
            <w:r w:rsidRPr="006644A8">
              <w:t>Good Law</w:t>
            </w:r>
          </w:p>
          <w:p w14:paraId="168CC390" w14:textId="77777777" w:rsidR="000B1774" w:rsidRPr="006644A8" w:rsidRDefault="000B1774" w:rsidP="00EC1B15">
            <w:pPr>
              <w:pStyle w:val="Bodytext"/>
              <w:spacing w:after="0"/>
            </w:pPr>
            <w:r w:rsidRPr="006644A8">
              <w:t>115 Davenpool Road</w:t>
            </w:r>
          </w:p>
          <w:p w14:paraId="31372336" w14:textId="77777777" w:rsidR="000B1774" w:rsidRDefault="000B1774" w:rsidP="00EC1B15">
            <w:pPr>
              <w:pStyle w:val="Bodytext"/>
              <w:spacing w:after="0"/>
            </w:pPr>
            <w:r>
              <w:t>Healthville</w:t>
            </w:r>
          </w:p>
          <w:p w14:paraId="2B4E956D" w14:textId="77777777" w:rsidR="000B1774" w:rsidRDefault="000B1774" w:rsidP="00EC1B15">
            <w:pPr>
              <w:pStyle w:val="Bodytext"/>
            </w:pPr>
            <w:r>
              <w:t>HV3 3AL</w:t>
            </w:r>
          </w:p>
        </w:tc>
      </w:tr>
    </w:tbl>
    <w:p w14:paraId="77632181" w14:textId="6907A256" w:rsidR="000B1774" w:rsidRPr="006644A8" w:rsidRDefault="000B1774" w:rsidP="00E53084">
      <w:pPr>
        <w:pStyle w:val="Heading2"/>
        <w:keepNext w:val="0"/>
        <w:keepLines w:val="0"/>
      </w:pPr>
      <w:r w:rsidRPr="006644A8">
        <w:t>Key management personnel remuneration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3"/>
      </w:tblGrid>
      <w:tr w:rsidR="000B1774" w:rsidRPr="006644A8" w14:paraId="4EDD4508" w14:textId="77777777" w:rsidTr="00EC1B15">
        <w:tc>
          <w:tcPr>
            <w:tcW w:w="9396" w:type="dxa"/>
            <w:shd w:val="clear" w:color="auto" w:fill="auto"/>
          </w:tcPr>
          <w:p w14:paraId="31095A63" w14:textId="6DF99AE4" w:rsidR="000B1774" w:rsidRPr="006644A8" w:rsidRDefault="000B1774" w:rsidP="00E53084">
            <w:pPr>
              <w:pStyle w:val="Bodytext"/>
            </w:pPr>
            <w:r w:rsidRPr="006644A8">
              <w:t xml:space="preserve">Paragraphs </w:t>
            </w:r>
            <w:r w:rsidRPr="006644A8">
              <w:fldChar w:fldCharType="begin"/>
            </w:r>
            <w:r w:rsidRPr="006644A8">
              <w:instrText xml:space="preserve"> REF _Ref431888094 \r \h </w:instrText>
            </w:r>
            <w:r>
              <w:instrText xml:space="preserve"> \* MERGEFORMAT </w:instrText>
            </w:r>
            <w:r w:rsidRPr="006644A8">
              <w:fldChar w:fldCharType="separate"/>
            </w:r>
            <w:r w:rsidR="00E6322B">
              <w:t>78</w:t>
            </w:r>
            <w:r w:rsidRPr="006644A8">
              <w:fldChar w:fldCharType="end"/>
            </w:r>
            <w:r w:rsidRPr="006644A8">
              <w:t xml:space="preserve"> to </w:t>
            </w:r>
            <w:r w:rsidRPr="006644A8">
              <w:fldChar w:fldCharType="begin"/>
            </w:r>
            <w:r w:rsidRPr="006644A8">
              <w:instrText xml:space="preserve"> REF _Ref431888095 \r \h </w:instrText>
            </w:r>
            <w:r>
              <w:instrText xml:space="preserve"> \* MERGEFORMAT </w:instrText>
            </w:r>
            <w:r w:rsidRPr="006644A8">
              <w:fldChar w:fldCharType="separate"/>
            </w:r>
            <w:r w:rsidR="00E6322B">
              <w:t>82</w:t>
            </w:r>
            <w:r w:rsidRPr="006644A8">
              <w:fldChar w:fldCharType="end"/>
            </w:r>
            <w:r w:rsidRPr="006644A8">
              <w:t xml:space="preserve"> of the annual report have been inserted to meet the requirement of paragraph 1.51 of the </w:t>
            </w:r>
            <w:r>
              <w:t>SORP FRS 102</w:t>
            </w:r>
            <w:r w:rsidRPr="006644A8">
              <w:t xml:space="preserve">. </w:t>
            </w:r>
          </w:p>
        </w:tc>
      </w:tr>
    </w:tbl>
    <w:p w14:paraId="19AE1F2C" w14:textId="77777777" w:rsidR="000B1774" w:rsidRPr="006644A8" w:rsidRDefault="000B1774" w:rsidP="00E53084">
      <w:pPr>
        <w:pStyle w:val="Bodytext"/>
        <w:numPr>
          <w:ilvl w:val="0"/>
          <w:numId w:val="38"/>
        </w:numPr>
      </w:pPr>
      <w:bookmarkStart w:id="45" w:name="_Ref431888094"/>
      <w:r w:rsidRPr="006644A8">
        <w:t xml:space="preserve">The board of </w:t>
      </w:r>
      <w:r>
        <w:t>the corporate trustee</w:t>
      </w:r>
      <w:r w:rsidRPr="006644A8">
        <w:t xml:space="preserve"> and the trust fund director comprise the key management personnel of the charity as they are in charge of:</w:t>
      </w:r>
      <w:bookmarkEnd w:id="45"/>
    </w:p>
    <w:p w14:paraId="47EE979A" w14:textId="77777777" w:rsidR="000B1774" w:rsidRPr="001C6319" w:rsidRDefault="000B1774" w:rsidP="00E53084">
      <w:pPr>
        <w:pStyle w:val="Bullet"/>
      </w:pPr>
      <w:r w:rsidRPr="001C6319">
        <w:t xml:space="preserve">directing and controlling the charity </w:t>
      </w:r>
    </w:p>
    <w:p w14:paraId="273AC6C3" w14:textId="77777777" w:rsidR="000B1774" w:rsidRDefault="000B1774" w:rsidP="00E53084">
      <w:pPr>
        <w:pStyle w:val="Bullet"/>
      </w:pPr>
      <w:r w:rsidRPr="001C6319">
        <w:t>running and operating the</w:t>
      </w:r>
      <w:r w:rsidRPr="006644A8">
        <w:t xml:space="preserve"> charity on a day-to-day basis. </w:t>
      </w:r>
    </w:p>
    <w:p w14:paraId="4C9CA1C1" w14:textId="77777777" w:rsidR="00BF378D" w:rsidRPr="006644A8" w:rsidRDefault="00BF378D" w:rsidP="002F247C">
      <w:pPr>
        <w:pStyle w:val="Bullet"/>
        <w:numPr>
          <w:ilvl w:val="0"/>
          <w:numId w:val="0"/>
        </w:numPr>
        <w:ind w:left="357"/>
      </w:pPr>
    </w:p>
    <w:p w14:paraId="14E7FC30" w14:textId="77777777" w:rsidR="000B1774" w:rsidRPr="006644A8" w:rsidRDefault="000B1774" w:rsidP="000B1774">
      <w:pPr>
        <w:pStyle w:val="Bodytext"/>
        <w:numPr>
          <w:ilvl w:val="0"/>
          <w:numId w:val="38"/>
        </w:numPr>
      </w:pPr>
      <w:r>
        <w:t xml:space="preserve">HHFT’s board members are either executive members who are employees of HHFT or non-executive members who are remunerated in accordance with the HHFT’s constitution. None of the </w:t>
      </w:r>
      <w:r>
        <w:lastRenderedPageBreak/>
        <w:t xml:space="preserve">board members are specifically paid in relation to OtM, they </w:t>
      </w:r>
      <w:r w:rsidRPr="006644A8">
        <w:t xml:space="preserve">give of their time </w:t>
      </w:r>
      <w:r>
        <w:t>freely</w:t>
      </w:r>
      <w:r w:rsidRPr="006644A8">
        <w:t>.</w:t>
      </w:r>
    </w:p>
    <w:p w14:paraId="22C26CA5" w14:textId="77777777" w:rsidR="000B1774" w:rsidRPr="006644A8" w:rsidRDefault="000B1774" w:rsidP="000B1774">
      <w:pPr>
        <w:pStyle w:val="Bodytext"/>
        <w:numPr>
          <w:ilvl w:val="0"/>
          <w:numId w:val="38"/>
        </w:numPr>
      </w:pPr>
      <w:r w:rsidRPr="006644A8">
        <w:t xml:space="preserve">Details of expenses </w:t>
      </w:r>
      <w:r>
        <w:t xml:space="preserve">paid to key management personnel </w:t>
      </w:r>
      <w:r w:rsidRPr="006644A8">
        <w:t xml:space="preserve">are disclosed in note </w:t>
      </w:r>
      <w:r>
        <w:t>14</w:t>
      </w:r>
      <w:r w:rsidRPr="006644A8">
        <w:t xml:space="preserve"> to the accounts.</w:t>
      </w:r>
    </w:p>
    <w:p w14:paraId="17CEBA0E" w14:textId="77777777" w:rsidR="000B1774" w:rsidRPr="006644A8" w:rsidRDefault="000B1774" w:rsidP="000B1774">
      <w:pPr>
        <w:pStyle w:val="Bodytext"/>
        <w:numPr>
          <w:ilvl w:val="0"/>
          <w:numId w:val="38"/>
        </w:numPr>
      </w:pPr>
      <w:r>
        <w:t>Members of HHFT’s board</w:t>
      </w:r>
      <w:r w:rsidRPr="006644A8">
        <w:t xml:space="preserve"> are required to disclose all relevant interests and register them with the trust fund director and withdraw from decisions where a conflict of interest arises.</w:t>
      </w:r>
      <w:r>
        <w:t xml:space="preserve"> </w:t>
      </w:r>
      <w:r w:rsidRPr="006644A8">
        <w:t xml:space="preserve">All related party transactions are disclosed in note </w:t>
      </w:r>
      <w:r>
        <w:t>2</w:t>
      </w:r>
      <w:r w:rsidRPr="006644A8">
        <w:t xml:space="preserve"> to the accounts.</w:t>
      </w:r>
      <w:r>
        <w:t xml:space="preserve"> </w:t>
      </w:r>
    </w:p>
    <w:p w14:paraId="70C462D4" w14:textId="3E66B66F" w:rsidR="000B1774" w:rsidRPr="006644A8" w:rsidRDefault="000B1774" w:rsidP="000B1774">
      <w:pPr>
        <w:pStyle w:val="Bodytext"/>
        <w:numPr>
          <w:ilvl w:val="0"/>
          <w:numId w:val="38"/>
        </w:numPr>
      </w:pPr>
      <w:bookmarkStart w:id="46" w:name="_Ref431888095"/>
      <w:r w:rsidRPr="006644A8">
        <w:t xml:space="preserve">The trust fund director of the charity is employed </w:t>
      </w:r>
      <w:r>
        <w:t xml:space="preserve">by HHFT </w:t>
      </w:r>
      <w:r w:rsidRPr="006644A8">
        <w:t xml:space="preserve">on </w:t>
      </w:r>
      <w:r>
        <w:t>NHS terms and conditions</w:t>
      </w:r>
      <w:r w:rsidRPr="006644A8">
        <w:t>.</w:t>
      </w:r>
      <w:r>
        <w:t xml:space="preserve"> </w:t>
      </w:r>
      <w:r w:rsidRPr="006644A8">
        <w:t xml:space="preserve">His remuneration is reviewed annually and </w:t>
      </w:r>
      <w:r w:rsidRPr="000C3822">
        <w:rPr>
          <w:b/>
          <w:bCs/>
          <w:i/>
          <w:iCs/>
        </w:rPr>
        <w:t xml:space="preserve">increases </w:t>
      </w:r>
      <w:r w:rsidR="00D12D3A" w:rsidRPr="000C3822">
        <w:rPr>
          <w:b/>
          <w:bCs/>
          <w:i/>
          <w:iCs/>
        </w:rPr>
        <w:t>reflect those terms and conditions</w:t>
      </w:r>
      <w:r w:rsidR="00D12D3A">
        <w:t>.</w:t>
      </w:r>
      <w:r w:rsidR="000C3822">
        <w:t xml:space="preserve"> </w:t>
      </w:r>
      <w:bookmarkEnd w:id="46"/>
      <w:r>
        <w:t>OtM is fully recharged by the FT for the employment costs relating to the trust fund director</w:t>
      </w:r>
      <w:r w:rsidR="005C2583">
        <w:t>,</w:t>
      </w:r>
      <w:r w:rsidR="000E35F2">
        <w:t xml:space="preserve"> </w:t>
      </w:r>
      <w:r w:rsidR="000E35F2" w:rsidRPr="000C3822">
        <w:rPr>
          <w:b/>
          <w:bCs/>
          <w:i/>
          <w:iCs/>
        </w:rPr>
        <w:t xml:space="preserve">along with those of the </w:t>
      </w:r>
      <w:r w:rsidR="005C2583" w:rsidRPr="000C3822">
        <w:rPr>
          <w:b/>
          <w:bCs/>
          <w:i/>
          <w:iCs/>
        </w:rPr>
        <w:t>fundraising manager</w:t>
      </w:r>
      <w:r>
        <w:t>.</w:t>
      </w:r>
    </w:p>
    <w:p w14:paraId="3910649D" w14:textId="77777777" w:rsidR="000B1774" w:rsidRPr="001C6319" w:rsidRDefault="000B1774" w:rsidP="001C6319">
      <w:pPr>
        <w:pStyle w:val="Heading2"/>
      </w:pPr>
      <w:r w:rsidRPr="001C6319">
        <w:t xml:space="preserve"> Risk analysis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3"/>
      </w:tblGrid>
      <w:tr w:rsidR="000B1774" w:rsidRPr="006644A8" w14:paraId="34C7D02F" w14:textId="77777777" w:rsidTr="00EC1B15">
        <w:tc>
          <w:tcPr>
            <w:tcW w:w="9396" w:type="dxa"/>
            <w:shd w:val="clear" w:color="auto" w:fill="auto"/>
          </w:tcPr>
          <w:p w14:paraId="60944FD7" w14:textId="11F7F1DC" w:rsidR="000B1774" w:rsidRPr="00A04572" w:rsidRDefault="000B1774" w:rsidP="00EC1B15">
            <w:pPr>
              <w:pStyle w:val="Bodytext"/>
              <w:rPr>
                <w:b/>
                <w:bCs/>
                <w:i/>
                <w:iCs/>
              </w:rPr>
            </w:pPr>
            <w:r w:rsidRPr="006644A8">
              <w:t xml:space="preserve">Paragraphs </w:t>
            </w:r>
            <w:r w:rsidRPr="006644A8">
              <w:fldChar w:fldCharType="begin"/>
            </w:r>
            <w:r w:rsidRPr="006644A8">
              <w:instrText xml:space="preserve"> REF _Ref431822538 \r \h </w:instrText>
            </w:r>
            <w:r>
              <w:instrText xml:space="preserve"> \* MERGEFORMAT </w:instrText>
            </w:r>
            <w:r w:rsidRPr="006644A8">
              <w:fldChar w:fldCharType="separate"/>
            </w:r>
            <w:r w:rsidR="00E6322B">
              <w:t>0</w:t>
            </w:r>
            <w:r w:rsidRPr="006644A8">
              <w:fldChar w:fldCharType="end"/>
            </w:r>
            <w:r w:rsidRPr="006644A8">
              <w:t xml:space="preserve"> to </w:t>
            </w:r>
            <w:r>
              <w:fldChar w:fldCharType="begin"/>
            </w:r>
            <w:r>
              <w:instrText xml:space="preserve"> REF _Ref495637889 \r \h </w:instrText>
            </w:r>
            <w:r>
              <w:fldChar w:fldCharType="separate"/>
            </w:r>
            <w:r w:rsidR="00E6322B">
              <w:t>90</w:t>
            </w:r>
            <w:r>
              <w:fldChar w:fldCharType="end"/>
            </w:r>
            <w:r>
              <w:t xml:space="preserve"> </w:t>
            </w:r>
            <w:r w:rsidRPr="006644A8">
              <w:t xml:space="preserve">have been expanded to meet the third of the </w:t>
            </w:r>
            <w:r w:rsidRPr="00FE1DB1">
              <w:t>requirements set out in paragraph 1.46 of the SORP FRS 102.</w:t>
            </w:r>
          </w:p>
        </w:tc>
      </w:tr>
    </w:tbl>
    <w:p w14:paraId="15179568" w14:textId="77777777" w:rsidR="006950E5" w:rsidRDefault="006950E5" w:rsidP="00AB7F27">
      <w:pPr>
        <w:pStyle w:val="Bodytext"/>
        <w:ind w:left="360"/>
      </w:pPr>
      <w:bookmarkStart w:id="47" w:name="_Ref431822538"/>
    </w:p>
    <w:p w14:paraId="708A762F" w14:textId="7354BE5B" w:rsidR="000B1774" w:rsidRPr="006644A8" w:rsidRDefault="000B1774" w:rsidP="000B1774">
      <w:pPr>
        <w:pStyle w:val="Bodytext"/>
        <w:numPr>
          <w:ilvl w:val="0"/>
          <w:numId w:val="38"/>
        </w:numPr>
      </w:pPr>
      <w:r w:rsidRPr="006644A8">
        <w:t xml:space="preserve">As part of the business planning exercise carried out during the year, the </w:t>
      </w:r>
      <w:r>
        <w:t>charitable funds committee</w:t>
      </w:r>
      <w:r w:rsidRPr="006644A8">
        <w:t xml:space="preserve"> ha</w:t>
      </w:r>
      <w:r>
        <w:t>s</w:t>
      </w:r>
      <w:r w:rsidRPr="006644A8">
        <w:t xml:space="preserve"> considered the major risks to which </w:t>
      </w:r>
      <w:r>
        <w:t>OtM</w:t>
      </w:r>
      <w:r w:rsidRPr="006644A8">
        <w:t xml:space="preserve"> </w:t>
      </w:r>
      <w:r>
        <w:t>is</w:t>
      </w:r>
      <w:r w:rsidRPr="006644A8">
        <w:t xml:space="preserve"> exposed. They have reviewed systems and identified steps to mitigate those risks. Three major risks have been identified and arrangements have been put in place to mitigate those risks.</w:t>
      </w:r>
      <w:bookmarkEnd w:id="47"/>
    </w:p>
    <w:p w14:paraId="0AE4E47C" w14:textId="77777777" w:rsidR="000B1774" w:rsidRPr="006644A8" w:rsidRDefault="000B1774" w:rsidP="00FE1DB1">
      <w:pPr>
        <w:pStyle w:val="TableTitle"/>
      </w:pPr>
      <w:r w:rsidRPr="006644A8">
        <w:t>Future levels of income</w:t>
      </w:r>
    </w:p>
    <w:p w14:paraId="0A1E22D2" w14:textId="77777777" w:rsidR="000B1774" w:rsidRPr="0048707A" w:rsidRDefault="000B1774" w:rsidP="000B1774">
      <w:pPr>
        <w:pStyle w:val="Bodytext"/>
        <w:numPr>
          <w:ilvl w:val="0"/>
          <w:numId w:val="38"/>
        </w:numPr>
      </w:pPr>
      <w:bookmarkStart w:id="48" w:name="_Ref523313366"/>
      <w:r>
        <w:t>OtM</w:t>
      </w:r>
      <w:r w:rsidRPr="006644A8">
        <w:t xml:space="preserve"> is reliant on donations to allow it to make grants to NHS bodies.</w:t>
      </w:r>
      <w:r>
        <w:t xml:space="preserve"> </w:t>
      </w:r>
      <w:r w:rsidRPr="006644A8">
        <w:t xml:space="preserve">If income falls, then the </w:t>
      </w:r>
      <w:r>
        <w:t>charity</w:t>
      </w:r>
      <w:r w:rsidRPr="006644A8">
        <w:t xml:space="preserve"> would not be able to make as many grants or enter into longer term commitments with the </w:t>
      </w:r>
      <w:r w:rsidRPr="00B91D6E">
        <w:t>N</w:t>
      </w:r>
      <w:r w:rsidRPr="0048707A">
        <w:t>HS bodies it supports.</w:t>
      </w:r>
      <w:bookmarkEnd w:id="48"/>
    </w:p>
    <w:p w14:paraId="412A877D" w14:textId="3713B815" w:rsidR="000B1774" w:rsidRPr="0053642F" w:rsidRDefault="000B1774" w:rsidP="000B1774">
      <w:pPr>
        <w:pStyle w:val="Bodytext"/>
        <w:numPr>
          <w:ilvl w:val="0"/>
          <w:numId w:val="38"/>
        </w:numPr>
        <w:rPr>
          <w:b/>
          <w:bCs/>
          <w:i/>
          <w:iCs/>
        </w:rPr>
      </w:pPr>
      <w:bookmarkStart w:id="49" w:name="_Ref162960374"/>
      <w:r w:rsidRPr="00294539">
        <w:t xml:space="preserve">The committee mitigates the risk that income will fall by engaging with the </w:t>
      </w:r>
      <w:r w:rsidR="00FE1DB1">
        <w:t>f</w:t>
      </w:r>
      <w:r w:rsidRPr="00294539">
        <w:t xml:space="preserve">undraising </w:t>
      </w:r>
      <w:r w:rsidR="00FE1DB1">
        <w:t>d</w:t>
      </w:r>
      <w:r w:rsidRPr="00294539">
        <w:t xml:space="preserve">epartment. That </w:t>
      </w:r>
      <w:r w:rsidR="00FE1DB1">
        <w:t>d</w:t>
      </w:r>
      <w:r w:rsidRPr="00294539">
        <w:t xml:space="preserve">epartment comprises dedicated fundraising experts who work with HHFT as well as OtM to provide a co-ordinated approach to raising funds. Fundraising activity is regularly benchmarked against our peers and thorough reviews are </w:t>
      </w:r>
      <w:r w:rsidRPr="00294539">
        <w:t>undertaken after major campaigns and events to understand what worked well and how things could be done better.</w:t>
      </w:r>
      <w:bookmarkEnd w:id="49"/>
      <w:r w:rsidRPr="00294539">
        <w:t xml:space="preserve"> </w:t>
      </w:r>
    </w:p>
    <w:p w14:paraId="1AA2DB57" w14:textId="6F23FE3F" w:rsidR="00C07499" w:rsidRPr="000C3822" w:rsidRDefault="0053642F" w:rsidP="00B55212">
      <w:pPr>
        <w:pStyle w:val="Bodytext"/>
        <w:numPr>
          <w:ilvl w:val="0"/>
          <w:numId w:val="38"/>
        </w:numPr>
        <w:rPr>
          <w:b/>
          <w:bCs/>
        </w:rPr>
      </w:pPr>
      <w:bookmarkStart w:id="50" w:name="_Ref162960332"/>
      <w:r w:rsidRPr="000C3822">
        <w:t>NH</w:t>
      </w:r>
      <w:r w:rsidR="00961D4B" w:rsidRPr="000C3822">
        <w:t>S</w:t>
      </w:r>
      <w:r w:rsidR="00C07499" w:rsidRPr="000C3822">
        <w:t xml:space="preserve"> waiting times for treatment are getting longer</w:t>
      </w:r>
      <w:r w:rsidR="00961D4B" w:rsidRPr="000C3822">
        <w:t xml:space="preserve"> – this is partly due to the impact of the </w:t>
      </w:r>
      <w:r w:rsidR="00DC6E81" w:rsidRPr="000C3822">
        <w:t>pandemic,</w:t>
      </w:r>
      <w:r w:rsidR="00961D4B" w:rsidRPr="000C3822">
        <w:t xml:space="preserve"> but demand </w:t>
      </w:r>
      <w:r w:rsidR="00E64FC8" w:rsidRPr="000C3822">
        <w:t xml:space="preserve">also </w:t>
      </w:r>
      <w:r w:rsidR="00961D4B" w:rsidRPr="000C3822">
        <w:t>continues to rise</w:t>
      </w:r>
      <w:r w:rsidR="00C07499" w:rsidRPr="000C3822">
        <w:t xml:space="preserve">. There is a risk that the </w:t>
      </w:r>
      <w:r w:rsidR="00CA0D13" w:rsidRPr="000C3822">
        <w:t xml:space="preserve">public’s </w:t>
      </w:r>
      <w:r w:rsidR="00C07499" w:rsidRPr="000C3822">
        <w:t xml:space="preserve">goodwill for the NHS will </w:t>
      </w:r>
      <w:r w:rsidR="000A2C26" w:rsidRPr="000C3822">
        <w:t>reduc</w:t>
      </w:r>
      <w:r w:rsidR="00E64FC8" w:rsidRPr="000C3822">
        <w:t>e</w:t>
      </w:r>
      <w:r w:rsidR="000A2C26" w:rsidRPr="000C3822">
        <w:t xml:space="preserve"> </w:t>
      </w:r>
      <w:r w:rsidR="00C07499" w:rsidRPr="000C3822">
        <w:t>mak</w:t>
      </w:r>
      <w:r w:rsidR="000A2C26" w:rsidRPr="000C3822">
        <w:t>ing</w:t>
      </w:r>
      <w:r w:rsidR="00C07499" w:rsidRPr="000C3822">
        <w:t xml:space="preserve"> fundraising more difficult</w:t>
      </w:r>
      <w:r w:rsidR="00C07499" w:rsidRPr="000C3822">
        <w:rPr>
          <w:b/>
          <w:bCs/>
        </w:rPr>
        <w:t>.</w:t>
      </w:r>
      <w:bookmarkEnd w:id="50"/>
    </w:p>
    <w:p w14:paraId="5F56107C" w14:textId="580DDFC1" w:rsidR="00B25381" w:rsidRPr="000C3822" w:rsidRDefault="007F1569" w:rsidP="00E90029">
      <w:pPr>
        <w:pStyle w:val="Bodytext"/>
        <w:numPr>
          <w:ilvl w:val="0"/>
          <w:numId w:val="38"/>
        </w:numPr>
        <w:rPr>
          <w:i/>
          <w:iCs/>
        </w:rPr>
      </w:pPr>
      <w:r w:rsidRPr="000C3822">
        <w:t>T</w:t>
      </w:r>
      <w:r w:rsidR="00B25381" w:rsidRPr="000C3822">
        <w:t xml:space="preserve">he cost of living </w:t>
      </w:r>
      <w:r w:rsidR="008E4FDB" w:rsidRPr="000C3822">
        <w:t>remains a significant pressure on many people’s lives.</w:t>
      </w:r>
      <w:r w:rsidR="004C6627" w:rsidRPr="000C3822">
        <w:t xml:space="preserve"> Th</w:t>
      </w:r>
      <w:r w:rsidR="00FB5A14" w:rsidRPr="000C3822">
        <w:t xml:space="preserve">is is </w:t>
      </w:r>
      <w:r w:rsidR="007862B6" w:rsidRPr="000C3822">
        <w:t>continuing to have</w:t>
      </w:r>
      <w:r w:rsidR="00FB5A14" w:rsidRPr="000C3822">
        <w:t xml:space="preserve"> an impact on the amount </w:t>
      </w:r>
      <w:r w:rsidR="006F3CD0" w:rsidRPr="000C3822">
        <w:t xml:space="preserve">that people are able to donate to charity </w:t>
      </w:r>
      <w:r w:rsidR="000A2C26" w:rsidRPr="000C3822">
        <w:t>and is being closely monitored.</w:t>
      </w:r>
      <w:r w:rsidR="000A2C26" w:rsidRPr="000C3822">
        <w:rPr>
          <w:i/>
          <w:iCs/>
        </w:rPr>
        <w:t xml:space="preserve"> </w:t>
      </w:r>
    </w:p>
    <w:p w14:paraId="6E88CB3F" w14:textId="23A41CC3" w:rsidR="000B1774" w:rsidRPr="00B91D6E" w:rsidRDefault="000B1774" w:rsidP="00B25381">
      <w:pPr>
        <w:pStyle w:val="TableTitle"/>
      </w:pPr>
      <w:r w:rsidRPr="00B91D6E">
        <w:t xml:space="preserve">Fall in investment returns </w:t>
      </w:r>
    </w:p>
    <w:p w14:paraId="10EA2D18" w14:textId="5AA94859" w:rsidR="000B1774" w:rsidRDefault="000B1774" w:rsidP="000B1774">
      <w:pPr>
        <w:pStyle w:val="Bodytext"/>
        <w:numPr>
          <w:ilvl w:val="0"/>
          <w:numId w:val="38"/>
        </w:numPr>
        <w:rPr>
          <w:rFonts w:eastAsia="TimesNewRomanPSMT"/>
        </w:rPr>
      </w:pPr>
      <w:r w:rsidRPr="00294539">
        <w:rPr>
          <w:rFonts w:eastAsia="TimesNewRomanPSMT"/>
        </w:rPr>
        <w:t>OtM generates additional income from investing its cash balances so the committ</w:t>
      </w:r>
      <w:r>
        <w:rPr>
          <w:rFonts w:eastAsia="TimesNewRomanPSMT"/>
        </w:rPr>
        <w:t xml:space="preserve">ee </w:t>
      </w:r>
      <w:r w:rsidRPr="006644A8">
        <w:rPr>
          <w:rFonts w:eastAsia="TimesNewRomanPSMT"/>
        </w:rPr>
        <w:t>consider</w:t>
      </w:r>
      <w:r>
        <w:rPr>
          <w:rFonts w:eastAsia="TimesNewRomanPSMT"/>
        </w:rPr>
        <w:t>s</w:t>
      </w:r>
      <w:r w:rsidRPr="006644A8">
        <w:rPr>
          <w:rFonts w:eastAsia="TimesNewRomanPSMT"/>
        </w:rPr>
        <w:t xml:space="preserve"> the loss of investment income to be a major financial risk</w:t>
      </w:r>
      <w:r w:rsidRPr="00B91D6E">
        <w:rPr>
          <w:rFonts w:eastAsia="TimesNewRomanPSMT"/>
        </w:rPr>
        <w:t>.</w:t>
      </w:r>
      <w:r w:rsidRPr="0048707A">
        <w:rPr>
          <w:rFonts w:eastAsia="TimesNewRomanPSMT"/>
        </w:rPr>
        <w:t xml:space="preserve"> </w:t>
      </w:r>
      <w:r w:rsidRPr="00B91D6E">
        <w:rPr>
          <w:rFonts w:eastAsia="TimesNewRomanPSMT"/>
        </w:rPr>
        <w:t>The risk</w:t>
      </w:r>
      <w:r w:rsidRPr="006644A8">
        <w:rPr>
          <w:rFonts w:eastAsia="TimesNewRomanPSMT"/>
        </w:rPr>
        <w:t xml:space="preserve"> is mitigated by retaining expert investment managers, having a diversified investment portfolio and regularly reviewing that portfolio.</w:t>
      </w:r>
      <w:r>
        <w:rPr>
          <w:rFonts w:eastAsia="TimesNewRomanPSMT"/>
        </w:rPr>
        <w:t xml:space="preserve"> </w:t>
      </w:r>
      <w:r w:rsidRPr="006644A8">
        <w:rPr>
          <w:rFonts w:eastAsia="TimesNewRomanPSMT"/>
        </w:rPr>
        <w:t xml:space="preserve">The </w:t>
      </w:r>
      <w:r>
        <w:rPr>
          <w:rFonts w:eastAsia="TimesNewRomanPSMT"/>
        </w:rPr>
        <w:t>committee</w:t>
      </w:r>
      <w:r w:rsidRPr="006644A8">
        <w:rPr>
          <w:rFonts w:eastAsia="TimesNewRomanPSMT"/>
        </w:rPr>
        <w:t xml:space="preserve"> make</w:t>
      </w:r>
      <w:r>
        <w:rPr>
          <w:rFonts w:eastAsia="TimesNewRomanPSMT"/>
        </w:rPr>
        <w:t>s</w:t>
      </w:r>
      <w:r w:rsidRPr="006644A8">
        <w:rPr>
          <w:rFonts w:eastAsia="TimesNewRomanPSMT"/>
        </w:rPr>
        <w:t xml:space="preserve"> use of benchmarking information when reviewing the portfolio.</w:t>
      </w:r>
    </w:p>
    <w:p w14:paraId="02D0B948" w14:textId="52EFE654" w:rsidR="000B1774" w:rsidRPr="00E12124" w:rsidRDefault="000B1774" w:rsidP="000B1774">
      <w:pPr>
        <w:pStyle w:val="Bodytext"/>
        <w:numPr>
          <w:ilvl w:val="0"/>
          <w:numId w:val="38"/>
        </w:numPr>
        <w:rPr>
          <w:rFonts w:eastAsia="TimesNewRomanPSMT"/>
        </w:rPr>
      </w:pPr>
      <w:r>
        <w:rPr>
          <w:rFonts w:eastAsia="TimesNewRomanPSMT"/>
        </w:rPr>
        <w:t>OtM’s permanent endowment, the Guptah fund, is managed on a total return basi</w:t>
      </w:r>
      <w:r w:rsidR="006211E7">
        <w:rPr>
          <w:rFonts w:eastAsia="TimesNewRomanPSMT"/>
        </w:rPr>
        <w:t>s</w:t>
      </w:r>
      <w:r>
        <w:rPr>
          <w:rFonts w:eastAsia="TimesNewRomanPSMT"/>
        </w:rPr>
        <w:t xml:space="preserve"> </w:t>
      </w:r>
      <w:r w:rsidR="00857D10">
        <w:rPr>
          <w:rFonts w:eastAsia="TimesNewRomanPSMT"/>
        </w:rPr>
        <w:t xml:space="preserve">as </w:t>
      </w:r>
      <w:r>
        <w:rPr>
          <w:rFonts w:eastAsia="TimesNewRomanPSMT"/>
        </w:rPr>
        <w:t>the committee considers that the use of a total return approach helps stabilise the income available to spend on grant making.</w:t>
      </w:r>
    </w:p>
    <w:p w14:paraId="1C609E2E" w14:textId="5E40B324" w:rsidR="000B1774" w:rsidRPr="006644A8" w:rsidRDefault="000B1774" w:rsidP="00E90029">
      <w:pPr>
        <w:pStyle w:val="TableTitle"/>
      </w:pPr>
      <w:r w:rsidRPr="006644A8">
        <w:t>Unforeseen changes in the operation of the NHS</w:t>
      </w:r>
    </w:p>
    <w:p w14:paraId="41A105D5" w14:textId="77777777" w:rsidR="000B1774" w:rsidRPr="006644A8" w:rsidRDefault="000B1774" w:rsidP="000B1774">
      <w:pPr>
        <w:pStyle w:val="Bodytext"/>
        <w:numPr>
          <w:ilvl w:val="0"/>
          <w:numId w:val="38"/>
        </w:numPr>
      </w:pPr>
      <w:bookmarkStart w:id="51" w:name="_Ref495637889"/>
      <w:bookmarkStart w:id="52" w:name="_Ref431822542"/>
      <w:r w:rsidRPr="006644A8">
        <w:t>The NHS is, by its very nature, subject to national changes in government policy as well as local politically driven decisions.</w:t>
      </w:r>
      <w:r>
        <w:t xml:space="preserve"> </w:t>
      </w:r>
      <w:r w:rsidRPr="006644A8">
        <w:t xml:space="preserve">The </w:t>
      </w:r>
      <w:r>
        <w:t>charitable funds committee has</w:t>
      </w:r>
      <w:r w:rsidRPr="006644A8">
        <w:t xml:space="preserve"> identified this as a risk as it may mean initiatives or healthcare activities supported by </w:t>
      </w:r>
      <w:r>
        <w:t xml:space="preserve">OtM </w:t>
      </w:r>
      <w:r w:rsidRPr="006644A8">
        <w:t xml:space="preserve">are no longer delivered in the </w:t>
      </w:r>
      <w:r>
        <w:t>Healthville</w:t>
      </w:r>
      <w:r w:rsidRPr="006644A8">
        <w:t xml:space="preserve"> area.</w:t>
      </w:r>
      <w:r>
        <w:t xml:space="preserve"> </w:t>
      </w:r>
      <w:r w:rsidRPr="006644A8">
        <w:t xml:space="preserve">The </w:t>
      </w:r>
      <w:r>
        <w:t>committee</w:t>
      </w:r>
      <w:r w:rsidRPr="006644A8">
        <w:t xml:space="preserve"> regularly liaise</w:t>
      </w:r>
      <w:r>
        <w:t>s</w:t>
      </w:r>
      <w:r w:rsidRPr="006644A8">
        <w:t xml:space="preserve"> with NHS partners to understand the changes that they are facing at an early stage.</w:t>
      </w:r>
      <w:bookmarkEnd w:id="51"/>
      <w:bookmarkEnd w:id="52"/>
    </w:p>
    <w:p w14:paraId="596992EB" w14:textId="77777777" w:rsidR="000B1774" w:rsidRPr="006644A8" w:rsidRDefault="000B1774" w:rsidP="0092349E">
      <w:pPr>
        <w:pStyle w:val="Heading2"/>
        <w:keepLines w:val="0"/>
      </w:pPr>
      <w:r w:rsidRPr="006644A8">
        <w:t>Wider networks</w:t>
      </w:r>
    </w:p>
    <w:p w14:paraId="29DD4133" w14:textId="77777777" w:rsidR="00345CB6" w:rsidRDefault="000B1774" w:rsidP="0092349E">
      <w:pPr>
        <w:pStyle w:val="Bodytext"/>
        <w:keepNext/>
        <w:numPr>
          <w:ilvl w:val="0"/>
          <w:numId w:val="38"/>
        </w:numPr>
      </w:pPr>
      <w:bookmarkStart w:id="53" w:name="_Ref495637679"/>
      <w:r>
        <w:t>OtM</w:t>
      </w:r>
      <w:r w:rsidRPr="006644A8">
        <w:t xml:space="preserve"> is one of over </w:t>
      </w:r>
      <w:r>
        <w:t>400</w:t>
      </w:r>
      <w:r w:rsidRPr="006644A8">
        <w:t xml:space="preserve"> NHS linked charities in England and Wales who are eligible to join NHS Charities</w:t>
      </w:r>
      <w:r>
        <w:t xml:space="preserve"> Together</w:t>
      </w:r>
      <w:r w:rsidRPr="006644A8">
        <w:t>.</w:t>
      </w:r>
      <w:r>
        <w:t xml:space="preserve"> </w:t>
      </w:r>
      <w:r w:rsidRPr="006644A8">
        <w:t xml:space="preserve">As a member charity, we </w:t>
      </w:r>
      <w:r w:rsidR="00BB5187" w:rsidRPr="006644A8">
        <w:t>can</w:t>
      </w:r>
      <w:r w:rsidRPr="006644A8">
        <w:t xml:space="preserve"> discuss matters of common concern and exchange information and experiences, join together with others to lobby government departments and others, and to participate in </w:t>
      </w:r>
      <w:r w:rsidRPr="006644A8">
        <w:lastRenderedPageBreak/>
        <w:t xml:space="preserve">conferences and seminars which offer support and education for our staff and </w:t>
      </w:r>
      <w:r>
        <w:t>members of the charitable funds committee</w:t>
      </w:r>
      <w:bookmarkEnd w:id="53"/>
      <w:r>
        <w:t>.</w:t>
      </w:r>
    </w:p>
    <w:p w14:paraId="3550A3A8" w14:textId="486A1CBC" w:rsidR="000B1774" w:rsidRPr="00BB5187" w:rsidRDefault="000B1774" w:rsidP="00345CB6">
      <w:pPr>
        <w:pStyle w:val="Bodytext"/>
        <w:numPr>
          <w:ilvl w:val="0"/>
          <w:numId w:val="38"/>
        </w:numPr>
      </w:pPr>
      <w:r w:rsidRPr="00BB5187">
        <w:t>As a member of NHS Charities Together, we have also been very grateful to receive grants from their national emergency appeal.</w:t>
      </w:r>
    </w:p>
    <w:p w14:paraId="71A321C5" w14:textId="60AE1F4F" w:rsidR="000B1774" w:rsidRPr="006644A8" w:rsidRDefault="000B1774" w:rsidP="00E53084">
      <w:pPr>
        <w:pStyle w:val="Heading2"/>
        <w:keepNext w:val="0"/>
        <w:keepLines w:val="0"/>
      </w:pPr>
      <w:r w:rsidRPr="006644A8">
        <w:t>Related parties</w:t>
      </w:r>
    </w:p>
    <w:p w14:paraId="1A53762F" w14:textId="77777777" w:rsidR="000B1774" w:rsidRDefault="000B1774" w:rsidP="00E53084">
      <w:pPr>
        <w:pStyle w:val="Bodytext"/>
        <w:numPr>
          <w:ilvl w:val="0"/>
          <w:numId w:val="38"/>
        </w:numPr>
      </w:pPr>
      <w:bookmarkStart w:id="54" w:name="_Ref441141610"/>
      <w:r>
        <w:t>HHFT is the corporate trust of OtM and is therefore a related party.</w:t>
      </w:r>
      <w:r w:rsidRPr="006644A8">
        <w:t xml:space="preserve"> </w:t>
      </w:r>
    </w:p>
    <w:p w14:paraId="0EE9A70B" w14:textId="77777777" w:rsidR="000B1774" w:rsidRPr="006644A8" w:rsidRDefault="000B1774" w:rsidP="00E53084">
      <w:pPr>
        <w:pStyle w:val="Bodytext"/>
        <w:numPr>
          <w:ilvl w:val="0"/>
          <w:numId w:val="38"/>
        </w:numPr>
      </w:pPr>
      <w:r w:rsidRPr="00EB1088">
        <w:t xml:space="preserve">The University of </w:t>
      </w:r>
      <w:r>
        <w:t>Healthville</w:t>
      </w:r>
      <w:r w:rsidRPr="00EB1088">
        <w:t xml:space="preserve"> is our main research partner and we do pay grants to other NHS bodies</w:t>
      </w:r>
      <w:r>
        <w:t>, particularly, Healthville Community NHS Trust</w:t>
      </w:r>
      <w:r w:rsidRPr="00EB1088">
        <w:t xml:space="preserve"> where they provide services which align with our charitable objectives.</w:t>
      </w:r>
      <w:bookmarkStart w:id="55" w:name="_Ref441141612"/>
      <w:bookmarkEnd w:id="54"/>
      <w:r>
        <w:t xml:space="preserve"> The committee</w:t>
      </w:r>
      <w:r w:rsidRPr="006644A8">
        <w:t xml:space="preserve"> consult</w:t>
      </w:r>
      <w:r>
        <w:t>s</w:t>
      </w:r>
      <w:r w:rsidRPr="006644A8">
        <w:t xml:space="preserve"> with representatives of these organisations </w:t>
      </w:r>
      <w:r>
        <w:t xml:space="preserve">formally </w:t>
      </w:r>
      <w:r w:rsidRPr="006644A8">
        <w:t xml:space="preserve">through their committee meetings and </w:t>
      </w:r>
      <w:r>
        <w:t xml:space="preserve">via </w:t>
      </w:r>
      <w:r w:rsidRPr="006644A8">
        <w:t>other, less formal contacts</w:t>
      </w:r>
      <w:r>
        <w:t>. However</w:t>
      </w:r>
      <w:r w:rsidRPr="006644A8">
        <w:t xml:space="preserve">, they retain their independence to act in the best interests of </w:t>
      </w:r>
      <w:r>
        <w:t>OtM</w:t>
      </w:r>
      <w:r w:rsidRPr="006644A8">
        <w:t xml:space="preserve"> and the charity’s beneficiaries.</w:t>
      </w:r>
      <w:bookmarkEnd w:id="55"/>
      <w:r w:rsidRPr="006644A8">
        <w:t xml:space="preserve"> </w:t>
      </w:r>
    </w:p>
    <w:p w14:paraId="34BA0CCA" w14:textId="77777777" w:rsidR="000B1774" w:rsidRPr="006644A8" w:rsidRDefault="000B1774" w:rsidP="00E53084">
      <w:pPr>
        <w:pStyle w:val="TableTitle"/>
        <w:rPr>
          <w:bCs/>
        </w:rPr>
      </w:pPr>
      <w:r w:rsidRPr="006644A8">
        <w:t>Our relationship with the wider community</w:t>
      </w:r>
    </w:p>
    <w:p w14:paraId="60897946" w14:textId="28475641" w:rsidR="000B1774" w:rsidRPr="006644A8" w:rsidRDefault="000B1774" w:rsidP="00E53084">
      <w:pPr>
        <w:pStyle w:val="Bodytext"/>
        <w:numPr>
          <w:ilvl w:val="0"/>
          <w:numId w:val="38"/>
        </w:numPr>
      </w:pPr>
      <w:r w:rsidRPr="006644A8">
        <w:t xml:space="preserve">The ability of </w:t>
      </w:r>
      <w:r>
        <w:t>OtM</w:t>
      </w:r>
      <w:r w:rsidRPr="006644A8">
        <w:t xml:space="preserve"> to continue its vital support for </w:t>
      </w:r>
      <w:r>
        <w:t>the NHS in Healthville</w:t>
      </w:r>
      <w:r w:rsidRPr="006644A8">
        <w:t xml:space="preserve"> is dependent on its ability to </w:t>
      </w:r>
      <w:r>
        <w:t xml:space="preserve">raise funds from </w:t>
      </w:r>
      <w:r w:rsidRPr="006644A8">
        <w:t xml:space="preserve">the general public. </w:t>
      </w:r>
      <w:r>
        <w:t>OtM</w:t>
      </w:r>
      <w:r w:rsidRPr="006644A8">
        <w:t xml:space="preserve"> also continues to forge strong relationships with members of </w:t>
      </w:r>
      <w:r>
        <w:t xml:space="preserve">NHS </w:t>
      </w:r>
      <w:r w:rsidRPr="006644A8">
        <w:t xml:space="preserve">staff </w:t>
      </w:r>
      <w:r w:rsidR="00D57444">
        <w:t xml:space="preserve">without </w:t>
      </w:r>
      <w:r w:rsidRPr="006644A8">
        <w:t>whose co-operation</w:t>
      </w:r>
      <w:r w:rsidR="00D57444">
        <w:t>,</w:t>
      </w:r>
      <w:r w:rsidRPr="006644A8">
        <w:t xml:space="preserve"> the ability to make an effective contribution would be much diminished.</w:t>
      </w:r>
    </w:p>
    <w:p w14:paraId="14FE4EBF" w14:textId="77777777" w:rsidR="000B1774" w:rsidRPr="006644A8" w:rsidRDefault="000B1774" w:rsidP="00E53084">
      <w:pPr>
        <w:pStyle w:val="TableTitle"/>
      </w:pPr>
      <w:r w:rsidRPr="006644A8">
        <w:t>Volunteers</w:t>
      </w:r>
    </w:p>
    <w:p w14:paraId="7B1FA078" w14:textId="77777777" w:rsidR="000B1774" w:rsidRPr="006644A8" w:rsidRDefault="000B1774" w:rsidP="00E53084">
      <w:pPr>
        <w:pStyle w:val="Bodytext"/>
        <w:numPr>
          <w:ilvl w:val="0"/>
          <w:numId w:val="38"/>
        </w:numPr>
      </w:pPr>
      <w:r>
        <w:t>On behalf of the trustee body, t</w:t>
      </w:r>
      <w:r w:rsidRPr="006644A8">
        <w:t xml:space="preserve">he </w:t>
      </w:r>
      <w:r>
        <w:t>charitable funds committee</w:t>
      </w:r>
      <w:r w:rsidRPr="006644A8">
        <w:t xml:space="preserve"> would like to pay tribute to: </w:t>
      </w:r>
    </w:p>
    <w:p w14:paraId="075C0672" w14:textId="6EEFF03C" w:rsidR="000B1774" w:rsidRPr="00FF5AC0" w:rsidRDefault="000B1774" w:rsidP="0092349E">
      <w:pPr>
        <w:pStyle w:val="Bullet"/>
      </w:pPr>
      <w:r w:rsidRPr="00FF5AC0">
        <w:t xml:space="preserve">the members of staff who give of their time out of hours in support of the work of the OtM, in developing ideas for research and working with us to identify how we can </w:t>
      </w:r>
      <w:r w:rsidR="0092349E">
        <w:t>improve</w:t>
      </w:r>
      <w:r w:rsidRPr="00FF5AC0">
        <w:t xml:space="preserve"> patient</w:t>
      </w:r>
      <w:r w:rsidR="0092349E">
        <w:t xml:space="preserve"> care</w:t>
      </w:r>
      <w:r w:rsidRPr="00FF5AC0">
        <w:t xml:space="preserve"> </w:t>
      </w:r>
    </w:p>
    <w:p w14:paraId="706FF7C9" w14:textId="77777777" w:rsidR="000B1774" w:rsidRDefault="000B1774" w:rsidP="00E53084">
      <w:pPr>
        <w:pStyle w:val="Bullet"/>
      </w:pPr>
      <w:r w:rsidRPr="00FF5AC0">
        <w:t>our fundraisers</w:t>
      </w:r>
      <w:r w:rsidRPr="006644A8">
        <w:t xml:space="preserve"> who do so much to encourage others to enrich lives through donations and fundraising activities.</w:t>
      </w:r>
    </w:p>
    <w:p w14:paraId="255BD555" w14:textId="77777777" w:rsidR="00BB5187" w:rsidRDefault="00BB5187">
      <w:pPr>
        <w:sectPr w:rsidR="00BB5187" w:rsidSect="00237BC5">
          <w:pgSz w:w="16840" w:h="11900" w:orient="landscape"/>
          <w:pgMar w:top="1021" w:right="1134" w:bottom="1021" w:left="720" w:header="720" w:footer="737" w:gutter="0"/>
          <w:cols w:num="2" w:space="720"/>
          <w:titlePg/>
          <w:docGrid w:linePitch="360"/>
        </w:sectPr>
      </w:pPr>
    </w:p>
    <w:p w14:paraId="7AF62B29" w14:textId="77777777" w:rsidR="00D04D91" w:rsidRDefault="00D04D91" w:rsidP="00D04D91">
      <w:pPr>
        <w:pStyle w:val="Heading1"/>
      </w:pPr>
      <w:r w:rsidRPr="006644A8">
        <w:lastRenderedPageBreak/>
        <w:t>Statement of trustee</w:t>
      </w:r>
      <w:r>
        <w:t>’</w:t>
      </w:r>
      <w:r w:rsidRPr="006644A8">
        <w:t>s responsibilities in respect of the trustee</w:t>
      </w:r>
      <w:r>
        <w:t>’</w:t>
      </w:r>
      <w:r w:rsidRPr="006644A8">
        <w:t>s annual report and accounts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8"/>
      </w:tblGrid>
      <w:tr w:rsidR="00D04D91" w:rsidRPr="006644A8" w14:paraId="40698A04" w14:textId="77777777" w:rsidTr="00EC1B15">
        <w:tc>
          <w:tcPr>
            <w:tcW w:w="5000" w:type="pct"/>
            <w:shd w:val="clear" w:color="auto" w:fill="auto"/>
          </w:tcPr>
          <w:p w14:paraId="50E2AF6A" w14:textId="4C1A10BA" w:rsidR="00D04D91" w:rsidRDefault="001F3DCE" w:rsidP="00EC1B15">
            <w:pPr>
              <w:pStyle w:val="Bodytext"/>
            </w:pPr>
            <w:r>
              <w:t>I</w:t>
            </w:r>
            <w:r w:rsidR="007812AC">
              <w:t>nternational standard on auditing (I</w:t>
            </w:r>
            <w:r>
              <w:t>AS</w:t>
            </w:r>
            <w:r w:rsidR="00792B9F">
              <w:t xml:space="preserve"> UK</w:t>
            </w:r>
            <w:r w:rsidR="007812AC">
              <w:t xml:space="preserve">) </w:t>
            </w:r>
            <w:r w:rsidR="00C04F92">
              <w:t>700</w:t>
            </w:r>
            <w:r w:rsidR="001013F7">
              <w:t xml:space="preserve"> </w:t>
            </w:r>
            <w:r w:rsidR="00792B9F">
              <w:rPr>
                <w:i/>
                <w:iCs/>
              </w:rPr>
              <w:t>Forming an opinion and reporting on financial statements</w:t>
            </w:r>
            <w:r w:rsidR="00C04F92">
              <w:t xml:space="preserve"> requires auditors to include a section headed ‘responsibilities of management for the financial statement in the audit report. </w:t>
            </w:r>
            <w:r w:rsidR="001013F7">
              <w:t>However, there is no equivalent</w:t>
            </w:r>
            <w:r w:rsidR="00C85754">
              <w:t xml:space="preserve"> requirement</w:t>
            </w:r>
            <w:r w:rsidR="001013F7">
              <w:t xml:space="preserve"> in</w:t>
            </w:r>
            <w:r w:rsidR="00D04D91" w:rsidRPr="006644A8">
              <w:t xml:space="preserve"> FRS 102 or the </w:t>
            </w:r>
            <w:r w:rsidR="00D04D91">
              <w:t>SORP FRS 102</w:t>
            </w:r>
            <w:r w:rsidR="00D04D91" w:rsidRPr="006644A8">
              <w:t>.</w:t>
            </w:r>
            <w:r w:rsidR="00D04D91">
              <w:t xml:space="preserve"> </w:t>
            </w:r>
            <w:r w:rsidR="00D04D91" w:rsidRPr="006644A8">
              <w:t>It is included here because some auditors insist that this statement is included.</w:t>
            </w:r>
          </w:p>
          <w:p w14:paraId="23706886" w14:textId="77777777" w:rsidR="00D04D91" w:rsidRPr="009B66B4" w:rsidRDefault="00D04D91" w:rsidP="00EC1B15">
            <w:pPr>
              <w:pStyle w:val="Bodytext"/>
            </w:pPr>
            <w:r w:rsidRPr="009B66B4">
              <w:t>Paragraph 1.23 requires that, if at the date of signing the report and accounts, there are uncertainties about the charity’s ability to continue as a going concern, the nature of these uncertainties should be explained. The guidance on the implications of Covid-19 suggests that charities should taking the opportunity to explain any financial uncertainties regarding the charity’s financial sustainability and consideration of going concern and the steps being taken to address these uncertainties.</w:t>
            </w:r>
          </w:p>
          <w:p w14:paraId="2A66AF8D" w14:textId="280E3095" w:rsidR="00D04D91" w:rsidRPr="002420A7" w:rsidRDefault="00D04D91" w:rsidP="00EC1B15">
            <w:pPr>
              <w:pStyle w:val="Bodytext"/>
            </w:pPr>
            <w:r w:rsidRPr="002420A7">
              <w:t xml:space="preserve">This charity remains a going concern but there are uncertainties due to </w:t>
            </w:r>
            <w:r w:rsidR="009B66B4" w:rsidRPr="002420A7">
              <w:t xml:space="preserve">current economic situation </w:t>
            </w:r>
            <w:r w:rsidRPr="002420A7">
              <w:t>– these are addressed in the annual report.</w:t>
            </w:r>
          </w:p>
        </w:tc>
      </w:tr>
    </w:tbl>
    <w:p w14:paraId="4F57A776" w14:textId="77777777" w:rsidR="00181081" w:rsidRDefault="00181081" w:rsidP="00D04D91">
      <w:pPr>
        <w:pStyle w:val="Bodytext"/>
        <w:rPr>
          <w:lang w:val="en-US"/>
        </w:rPr>
        <w:sectPr w:rsidR="00181081" w:rsidSect="00237BC5">
          <w:pgSz w:w="16840" w:h="11900" w:orient="landscape"/>
          <w:pgMar w:top="1021" w:right="1701" w:bottom="1021" w:left="851" w:header="851" w:footer="851" w:gutter="0"/>
          <w:cols w:space="720"/>
          <w:titlePg/>
          <w:docGrid w:linePitch="360"/>
        </w:sectPr>
      </w:pPr>
    </w:p>
    <w:p w14:paraId="346FE2DD" w14:textId="77777777" w:rsidR="009A3DFB" w:rsidRPr="006644A8" w:rsidRDefault="009A3DFB" w:rsidP="009A3DFB">
      <w:pPr>
        <w:pStyle w:val="Bodytext"/>
        <w:rPr>
          <w:lang w:val="en-US"/>
        </w:rPr>
      </w:pPr>
      <w:r w:rsidRPr="006644A8">
        <w:rPr>
          <w:lang w:val="en-US"/>
        </w:rPr>
        <w:t>Under charity law, the trustee</w:t>
      </w:r>
      <w:r>
        <w:rPr>
          <w:lang w:val="en-US"/>
        </w:rPr>
        <w:t xml:space="preserve"> is</w:t>
      </w:r>
      <w:r w:rsidRPr="006644A8">
        <w:rPr>
          <w:lang w:val="en-US"/>
        </w:rPr>
        <w:t xml:space="preserve"> responsible for preparing the trustee</w:t>
      </w:r>
      <w:r>
        <w:rPr>
          <w:lang w:val="en-US"/>
        </w:rPr>
        <w:t>’</w:t>
      </w:r>
      <w:r w:rsidRPr="006644A8">
        <w:rPr>
          <w:lang w:val="en-US"/>
        </w:rPr>
        <w:t>s annual report and accounts for each financial year which show a true and fair view of the state of affairs of the charity and of the excess of expenditure over income for that period.</w:t>
      </w:r>
    </w:p>
    <w:p w14:paraId="435F15E0" w14:textId="77777777" w:rsidR="009A3DFB" w:rsidRDefault="009A3DFB" w:rsidP="009A3DFB">
      <w:pPr>
        <w:pStyle w:val="Bodytext"/>
        <w:rPr>
          <w:lang w:val="en-US"/>
        </w:rPr>
      </w:pPr>
      <w:r w:rsidRPr="006644A8">
        <w:rPr>
          <w:lang w:val="en-US"/>
        </w:rPr>
        <w:t xml:space="preserve">In preparing these financial statements, generally accepted accounting practice </w:t>
      </w:r>
      <w:r>
        <w:rPr>
          <w:lang w:val="en-US"/>
        </w:rPr>
        <w:t xml:space="preserve">requires </w:t>
      </w:r>
      <w:r w:rsidRPr="006644A8">
        <w:rPr>
          <w:lang w:val="en-US"/>
        </w:rPr>
        <w:t>that the trustee:</w:t>
      </w:r>
    </w:p>
    <w:p w14:paraId="31D6F7D6" w14:textId="77777777" w:rsidR="009A3DFB" w:rsidRPr="009A3DFB" w:rsidRDefault="009A3DFB" w:rsidP="009A3DFB">
      <w:pPr>
        <w:pStyle w:val="Bullet"/>
      </w:pPr>
      <w:r w:rsidRPr="009A3DFB">
        <w:t>selects suitable accounting policies and then apply them consistently</w:t>
      </w:r>
    </w:p>
    <w:p w14:paraId="1EEE8ED5" w14:textId="77777777" w:rsidR="009A3DFB" w:rsidRPr="009A3DFB" w:rsidRDefault="009A3DFB" w:rsidP="009A3DFB">
      <w:pPr>
        <w:pStyle w:val="Bullet"/>
      </w:pPr>
      <w:r w:rsidRPr="009A3DFB">
        <w:t>makes judgments and estimates that are reasonable and prudent</w:t>
      </w:r>
    </w:p>
    <w:p w14:paraId="40EA3CCC" w14:textId="77777777" w:rsidR="009A3DFB" w:rsidRPr="009A3DFB" w:rsidRDefault="009A3DFB" w:rsidP="009A3DFB">
      <w:pPr>
        <w:pStyle w:val="Bullet"/>
      </w:pPr>
      <w:r w:rsidRPr="009A3DFB">
        <w:t>states whether the recommendations of the SORP FRS 102 have been followed, subject to any material departures disclosed and explained in the financial statements</w:t>
      </w:r>
    </w:p>
    <w:p w14:paraId="752B3985" w14:textId="77777777" w:rsidR="009A3DFB" w:rsidRPr="009A3DFB" w:rsidRDefault="009A3DFB" w:rsidP="009A3DFB">
      <w:pPr>
        <w:pStyle w:val="Bullet"/>
      </w:pPr>
      <w:r w:rsidRPr="009A3DFB">
        <w:t>states whether the financial statements comply with the trust deed, subject to any material departures disclosed and explained in the financial statements</w:t>
      </w:r>
    </w:p>
    <w:p w14:paraId="164A943C" w14:textId="77777777" w:rsidR="009A3DFB" w:rsidRPr="006644A8" w:rsidRDefault="009A3DFB" w:rsidP="009A3DFB">
      <w:pPr>
        <w:pStyle w:val="Bullet"/>
      </w:pPr>
      <w:r w:rsidRPr="009A3DFB">
        <w:t>prepares the financial statements on the going concern basis unless</w:t>
      </w:r>
      <w:r w:rsidRPr="006644A8">
        <w:t xml:space="preserve"> it is inappropriate to presume that the charity will continue its activities.</w:t>
      </w:r>
    </w:p>
    <w:p w14:paraId="46259172" w14:textId="77777777" w:rsidR="009A3DFB" w:rsidRPr="006644A8" w:rsidRDefault="009A3DFB" w:rsidP="009A3DFB">
      <w:pPr>
        <w:pStyle w:val="Bodytext"/>
        <w:rPr>
          <w:lang w:val="en-US"/>
        </w:rPr>
      </w:pPr>
      <w:r w:rsidRPr="006644A8">
        <w:rPr>
          <w:lang w:val="en-US"/>
        </w:rPr>
        <w:t>The trustee</w:t>
      </w:r>
      <w:r>
        <w:rPr>
          <w:lang w:val="en-US"/>
        </w:rPr>
        <w:t xml:space="preserve"> is</w:t>
      </w:r>
      <w:r w:rsidRPr="006644A8">
        <w:rPr>
          <w:lang w:val="en-US"/>
        </w:rPr>
        <w:t xml:space="preserve"> required to act in accordance with the trust deed and the rules of the charity, within the framework of trust law. The trustee</w:t>
      </w:r>
      <w:r>
        <w:rPr>
          <w:lang w:val="en-US"/>
        </w:rPr>
        <w:t xml:space="preserve"> is</w:t>
      </w:r>
      <w:r w:rsidRPr="006644A8">
        <w:rPr>
          <w:lang w:val="en-US"/>
        </w:rPr>
        <w:t xml:space="preserve"> responsible for keeping proper accounting records, sufficient to disclose at any time, with reasonable accuracy, the financial position of the charity at that time, and to enable the trustee to ensure that, where any statements of accounts are prepared by the trustee under section 132(1) of the Charities Act 2011, those statements of accounts comply with the requirements of regulations under that provision. The trustee ha</w:t>
      </w:r>
      <w:r>
        <w:rPr>
          <w:lang w:val="en-US"/>
        </w:rPr>
        <w:t>s</w:t>
      </w:r>
      <w:r w:rsidRPr="006644A8">
        <w:rPr>
          <w:lang w:val="en-US"/>
        </w:rPr>
        <w:t xml:space="preserve"> general responsibility for taking such steps as are reasonably open to the trustee to safeguard the assets of the charity and to prevent and detect fraud and other irregularities.</w:t>
      </w:r>
    </w:p>
    <w:p w14:paraId="6577D5B9" w14:textId="77777777" w:rsidR="009A3DFB" w:rsidRPr="00084F19" w:rsidRDefault="009A3DFB" w:rsidP="009A3DFB">
      <w:pPr>
        <w:pStyle w:val="Bodytext"/>
      </w:pPr>
      <w:r w:rsidRPr="00084F19">
        <w:rPr>
          <w:lang w:val="en-US"/>
        </w:rPr>
        <w:t>Signed on behalf of the trustee:</w:t>
      </w:r>
      <w:r w:rsidRPr="00084F19">
        <w:t xml:space="preserve"> </w:t>
      </w:r>
      <w:r w:rsidRPr="002257B8">
        <w:rPr>
          <w:rFonts w:ascii="Ink Free" w:hAnsi="Ink Free"/>
          <w:sz w:val="40"/>
          <w:szCs w:val="40"/>
        </w:rPr>
        <w:t>J Maine</w:t>
      </w:r>
    </w:p>
    <w:p w14:paraId="414F0235" w14:textId="77777777" w:rsidR="009A3DFB" w:rsidRPr="006644A8" w:rsidRDefault="009A3DFB" w:rsidP="009A3DFB">
      <w:pPr>
        <w:pStyle w:val="Bodytext"/>
      </w:pPr>
      <w:r w:rsidRPr="006644A8">
        <w:t xml:space="preserve">Name: Josephine Maine (Chair of </w:t>
      </w:r>
      <w:r>
        <w:t>the charitable funds committee</w:t>
      </w:r>
      <w:r w:rsidRPr="006644A8">
        <w:t>)</w:t>
      </w:r>
    </w:p>
    <w:p w14:paraId="0F148998" w14:textId="63518A6C" w:rsidR="009A3DFB" w:rsidRDefault="009A3DFB" w:rsidP="009A3DFB">
      <w:pPr>
        <w:pStyle w:val="Bodytext"/>
        <w:rPr>
          <w:b/>
          <w:bCs/>
          <w:lang w:val="en-US"/>
        </w:rPr>
      </w:pPr>
      <w:r w:rsidRPr="006644A8">
        <w:t xml:space="preserve">Date: 30 June </w:t>
      </w:r>
      <w:r>
        <w:t>202</w:t>
      </w:r>
      <w:r w:rsidR="002E31B1">
        <w:t>4</w:t>
      </w:r>
    </w:p>
    <w:p w14:paraId="291DE2D8" w14:textId="77777777" w:rsidR="009A3DFB" w:rsidRDefault="009A3DFB" w:rsidP="00D04D91">
      <w:pPr>
        <w:pStyle w:val="Bodytext"/>
        <w:rPr>
          <w:lang w:val="en-US"/>
        </w:rPr>
        <w:sectPr w:rsidR="009A3DFB" w:rsidSect="00237BC5">
          <w:type w:val="continuous"/>
          <w:pgSz w:w="16840" w:h="11900" w:orient="landscape"/>
          <w:pgMar w:top="1021" w:right="1701" w:bottom="1021" w:left="851" w:header="851" w:footer="851" w:gutter="0"/>
          <w:cols w:num="2" w:space="720"/>
          <w:titlePg/>
          <w:docGrid w:linePitch="360"/>
        </w:sectPr>
      </w:pPr>
    </w:p>
    <w:p w14:paraId="30DF7A3E" w14:textId="5EBACAED" w:rsidR="00E53DB1" w:rsidRPr="006644A8" w:rsidRDefault="00E53DB1" w:rsidP="00E53DB1">
      <w:pPr>
        <w:pStyle w:val="Heading1"/>
      </w:pPr>
      <w:r>
        <w:lastRenderedPageBreak/>
        <w:t>On the Mend</w:t>
      </w:r>
      <w:r w:rsidRPr="006644A8">
        <w:t xml:space="preserve"> </w:t>
      </w:r>
      <w:r>
        <w:t xml:space="preserve">NHS </w:t>
      </w:r>
      <w:r w:rsidRPr="006644A8">
        <w:t>Charit</w:t>
      </w:r>
      <w:r>
        <w:t>y</w:t>
      </w:r>
      <w:r w:rsidRPr="006644A8">
        <w:t xml:space="preserve"> </w:t>
      </w:r>
      <w:r w:rsidR="00445237">
        <w:t>s</w:t>
      </w:r>
      <w:r w:rsidRPr="006644A8">
        <w:t xml:space="preserve">tatement of </w:t>
      </w:r>
      <w:r w:rsidR="00445237">
        <w:t>f</w:t>
      </w:r>
      <w:r w:rsidRPr="006644A8">
        <w:t xml:space="preserve">inancial </w:t>
      </w:r>
      <w:r w:rsidR="00445237">
        <w:t>a</w:t>
      </w:r>
      <w:r w:rsidRPr="006644A8">
        <w:t xml:space="preserve">ctivities for the year ending 31 March </w:t>
      </w:r>
      <w:r>
        <w:t>202</w:t>
      </w:r>
      <w:r w:rsidR="003B126B">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8"/>
      </w:tblGrid>
      <w:tr w:rsidR="00E53DB1" w:rsidRPr="00831E61" w14:paraId="151BDAAE" w14:textId="77777777" w:rsidTr="00EC1B15">
        <w:tc>
          <w:tcPr>
            <w:tcW w:w="5000" w:type="pct"/>
            <w:shd w:val="clear" w:color="auto" w:fill="auto"/>
          </w:tcPr>
          <w:p w14:paraId="08616CA0" w14:textId="77777777" w:rsidR="00E53DB1" w:rsidRPr="00831E61" w:rsidRDefault="00E53DB1" w:rsidP="00EC1B15">
            <w:pPr>
              <w:pStyle w:val="Bodytext"/>
            </w:pPr>
            <w:r w:rsidRPr="00831E61">
              <w:t>Paragraph 4.1 of the SORP FRS 102 states that all charities preparing their accounts on an accruals basis to give a true and fair view must prepare a statement of financial activities (SoFA).</w:t>
            </w:r>
            <w:r>
              <w:t xml:space="preserve"> </w:t>
            </w:r>
            <w:r w:rsidRPr="00831E61">
              <w:t>The structure, format and headings of the SoFA are set out in table 2 of the SORP FRS 102.</w:t>
            </w:r>
          </w:p>
          <w:p w14:paraId="1C90F046" w14:textId="77777777" w:rsidR="00E53DB1" w:rsidRPr="00831E61" w:rsidRDefault="00E53DB1" w:rsidP="00EC1B15">
            <w:pPr>
              <w:pStyle w:val="Bodytext"/>
            </w:pPr>
            <w:r w:rsidRPr="00831E61">
              <w:t>The format of the SoFA is for the trustees to decide.</w:t>
            </w:r>
            <w:r>
              <w:t xml:space="preserve"> </w:t>
            </w:r>
            <w:r w:rsidRPr="00831E61">
              <w:t>This is one way of achieving the SORP FRS 102’s requirements, there are other, equally valid, ways of achieving the same end.</w:t>
            </w:r>
          </w:p>
          <w:p w14:paraId="7F5E5F1B" w14:textId="77777777" w:rsidR="00E53DB1" w:rsidRPr="00831E61" w:rsidRDefault="00E53DB1" w:rsidP="00EC1B15">
            <w:pPr>
              <w:pStyle w:val="Bodytext"/>
            </w:pPr>
            <w:r w:rsidRPr="00831E61">
              <w:t>Paragraph 4.2 of the SORP FRS 102 states that comparative information must be provided for all amounts provided in the SoFA.</w:t>
            </w:r>
            <w:r>
              <w:t xml:space="preserve"> </w:t>
            </w:r>
            <w:r w:rsidRPr="00831E61">
              <w:t>The SORP FRS 102 requires that comparative information for the total funds of a charity must be provided on the face of the SoFA and comparative information for each class of funds can be provided either on the face of the SoFA or in a note to the accounts.</w:t>
            </w:r>
            <w:r>
              <w:t xml:space="preserve"> </w:t>
            </w:r>
            <w:r w:rsidRPr="00831E61">
              <w:t>The options available are therefore:</w:t>
            </w:r>
          </w:p>
          <w:p w14:paraId="6273790E" w14:textId="77777777" w:rsidR="00E53DB1" w:rsidRPr="00ED52DE" w:rsidRDefault="00E53DB1" w:rsidP="00ED52DE">
            <w:pPr>
              <w:pStyle w:val="Bullet"/>
            </w:pPr>
            <w:r w:rsidRPr="00ED52DE">
              <w:t>an 8 column SoFA</w:t>
            </w:r>
          </w:p>
          <w:p w14:paraId="02F7FDCF" w14:textId="77777777" w:rsidR="00E53DB1" w:rsidRPr="00ED52DE" w:rsidRDefault="00E53DB1" w:rsidP="00ED52DE">
            <w:pPr>
              <w:pStyle w:val="Bullet"/>
            </w:pPr>
            <w:r w:rsidRPr="00ED52DE">
              <w:t>comparatives for each fund included in the notes to the accounts</w:t>
            </w:r>
          </w:p>
          <w:p w14:paraId="7ED09B01" w14:textId="77777777" w:rsidR="00E53DB1" w:rsidRPr="00831E61" w:rsidRDefault="00E53DB1" w:rsidP="00ED52DE">
            <w:pPr>
              <w:pStyle w:val="Bullet"/>
            </w:pPr>
            <w:r w:rsidRPr="00ED52DE">
              <w:t>the inclu</w:t>
            </w:r>
            <w:r w:rsidRPr="00831E61">
              <w:t>sion of two SoFAs in the accounts (one for this year and one for last year).</w:t>
            </w:r>
          </w:p>
          <w:p w14:paraId="23D76709" w14:textId="2EEE24C4" w:rsidR="00E53DB1" w:rsidRPr="00950A26" w:rsidRDefault="00E53DB1" w:rsidP="00EC1B15">
            <w:pPr>
              <w:pStyle w:val="Bodytext"/>
            </w:pPr>
            <w:r w:rsidRPr="00950A26">
              <w:t>OtM have opted to prepare an 8 column SOFA.</w:t>
            </w:r>
          </w:p>
          <w:p w14:paraId="19987D71" w14:textId="77777777" w:rsidR="00E53DB1" w:rsidRPr="00831E61" w:rsidRDefault="00E53DB1" w:rsidP="00EC1B15">
            <w:pPr>
              <w:pStyle w:val="Bodytext"/>
            </w:pPr>
            <w:r w:rsidRPr="00831E61">
              <w:t>Paragraphs 4.8 to 4.21 of the SORP FRS 102 set out the requirements which apply to all charities.</w:t>
            </w:r>
            <w:r>
              <w:t xml:space="preserve"> </w:t>
            </w:r>
            <w:r w:rsidRPr="00831E61">
              <w:t>This example set of accounts therefore:</w:t>
            </w:r>
          </w:p>
          <w:p w14:paraId="0A11223C" w14:textId="77777777" w:rsidR="00E53DB1" w:rsidRPr="00ED52DE" w:rsidRDefault="00E53DB1" w:rsidP="00ED52DE">
            <w:pPr>
              <w:pStyle w:val="Bullet"/>
            </w:pPr>
            <w:r w:rsidRPr="00ED52DE">
              <w:t>excludes any rows where there is nothing to report in the current or prior year</w:t>
            </w:r>
          </w:p>
          <w:p w14:paraId="4E5B0487" w14:textId="77777777" w:rsidR="00E53DB1" w:rsidRPr="00ED52DE" w:rsidRDefault="00E53DB1" w:rsidP="00ED52DE">
            <w:pPr>
              <w:pStyle w:val="Bullet"/>
            </w:pPr>
            <w:r w:rsidRPr="00ED52DE">
              <w:t>discloses the three types of fund separately for the current year in a columnar format (where funds are not material they can be combined)</w:t>
            </w:r>
          </w:p>
          <w:p w14:paraId="14C999BE" w14:textId="77777777" w:rsidR="00E53DB1" w:rsidRPr="00831E61" w:rsidRDefault="00E53DB1" w:rsidP="00ED52DE">
            <w:pPr>
              <w:pStyle w:val="Bullet"/>
            </w:pPr>
            <w:r w:rsidRPr="00ED52DE">
              <w:t>is prepared</w:t>
            </w:r>
            <w:r w:rsidRPr="00831E61">
              <w:t xml:space="preserve"> on an activity basis – income is analysed according to the activity that produced the income and expenditure is analysed by the nature of the activities undertaken.</w:t>
            </w:r>
            <w:r>
              <w:t xml:space="preserve"> </w:t>
            </w:r>
            <w:r w:rsidRPr="00831E61">
              <w:t>Smaller charities can analyse their income and expenditure by nature, but this option has not been taken (see paras 4.24 to 4.26 of the SORP FRS 102).</w:t>
            </w:r>
          </w:p>
        </w:tc>
      </w:tr>
    </w:tbl>
    <w:p w14:paraId="68A0F1B7" w14:textId="77777777" w:rsidR="00E53DB1" w:rsidRPr="006644A8" w:rsidRDefault="00E53DB1" w:rsidP="00E53DB1">
      <w:pPr>
        <w:pStyle w:val="Bodytext"/>
        <w:rPr>
          <w:rFonts w:asciiTheme="minorHAnsi" w:hAnsiTheme="minorHAnsi" w:cstheme="minorHAnsi"/>
          <w:b/>
          <w:bCs/>
        </w:rPr>
      </w:pPr>
    </w:p>
    <w:p w14:paraId="0165F5A4" w14:textId="77777777" w:rsidR="00E53DB1" w:rsidRDefault="00E53DB1" w:rsidP="00E53DB1">
      <w:pPr>
        <w:pStyle w:val="Bodytext"/>
        <w:rPr>
          <w:rFonts w:asciiTheme="minorHAnsi" w:hAnsiTheme="minorHAnsi" w:cstheme="minorHAnsi"/>
          <w:b/>
          <w:bCs/>
          <w:szCs w:val="22"/>
        </w:rPr>
      </w:pPr>
      <w:r>
        <w:rPr>
          <w:rFonts w:asciiTheme="minorHAnsi" w:hAnsiTheme="minorHAnsi" w:cstheme="minorHAnsi"/>
          <w:b/>
          <w:bCs/>
          <w:szCs w:val="22"/>
        </w:rPr>
        <w:br w:type="page"/>
      </w:r>
    </w:p>
    <w:p w14:paraId="538437CD" w14:textId="3B44F858" w:rsidR="004F77ED" w:rsidRPr="006644A8" w:rsidRDefault="00E53DB1" w:rsidP="00E53DB1">
      <w:pPr>
        <w:pStyle w:val="Heading1"/>
      </w:pPr>
      <w:r>
        <w:lastRenderedPageBreak/>
        <w:t>On the Mend NHS</w:t>
      </w:r>
      <w:r w:rsidRPr="006644A8">
        <w:t xml:space="preserve"> Charit</w:t>
      </w:r>
      <w:r>
        <w:t>y</w:t>
      </w:r>
      <w:r w:rsidRPr="006644A8">
        <w:t xml:space="preserve"> </w:t>
      </w:r>
      <w:r w:rsidR="00445237">
        <w:t>s</w:t>
      </w:r>
      <w:r w:rsidRPr="006644A8">
        <w:t xml:space="preserve">tatement of </w:t>
      </w:r>
      <w:r w:rsidR="00445237">
        <w:t>f</w:t>
      </w:r>
      <w:r w:rsidRPr="006644A8">
        <w:t xml:space="preserve">inancial </w:t>
      </w:r>
      <w:r w:rsidR="00445237">
        <w:t>a</w:t>
      </w:r>
      <w:r w:rsidRPr="006644A8">
        <w:t xml:space="preserve">ctivities for the year ending 31 March </w:t>
      </w:r>
      <w:r>
        <w:t>202</w:t>
      </w:r>
      <w:r w:rsidR="003B126B">
        <w:t>4</w:t>
      </w:r>
    </w:p>
    <w:tbl>
      <w:tblPr>
        <w:tblW w:w="5000" w:type="pct"/>
        <w:tblLayout w:type="fixed"/>
        <w:tblLook w:val="04A0" w:firstRow="1" w:lastRow="0" w:firstColumn="1" w:lastColumn="0" w:noHBand="0" w:noVBand="1"/>
      </w:tblPr>
      <w:tblGrid>
        <w:gridCol w:w="4253"/>
        <w:gridCol w:w="850"/>
        <w:gridCol w:w="1277"/>
        <w:gridCol w:w="1134"/>
        <w:gridCol w:w="1134"/>
        <w:gridCol w:w="1134"/>
        <w:gridCol w:w="1134"/>
        <w:gridCol w:w="1132"/>
        <w:gridCol w:w="1137"/>
        <w:gridCol w:w="1103"/>
      </w:tblGrid>
      <w:tr w:rsidR="008A41BA" w:rsidRPr="003B0B89" w14:paraId="5733F34F" w14:textId="77777777" w:rsidTr="002420A7">
        <w:trPr>
          <w:trHeight w:val="285"/>
        </w:trPr>
        <w:tc>
          <w:tcPr>
            <w:tcW w:w="1488" w:type="pct"/>
            <w:vMerge w:val="restart"/>
            <w:tcBorders>
              <w:top w:val="nil"/>
              <w:left w:val="nil"/>
              <w:bottom w:val="nil"/>
              <w:right w:val="nil"/>
            </w:tcBorders>
            <w:vAlign w:val="center"/>
          </w:tcPr>
          <w:p w14:paraId="338D3551" w14:textId="77777777" w:rsidR="009C6EE9" w:rsidRPr="003B0B89" w:rsidRDefault="009C6EE9" w:rsidP="00EC1B15">
            <w:pPr>
              <w:rPr>
                <w:rFonts w:ascii="Times New Roman" w:eastAsia="Times New Roman" w:hAnsi="Times New Roman"/>
                <w:sz w:val="20"/>
                <w:szCs w:val="20"/>
                <w:lang w:val="en-GB" w:eastAsia="en-GB"/>
              </w:rPr>
            </w:pPr>
          </w:p>
        </w:tc>
        <w:tc>
          <w:tcPr>
            <w:tcW w:w="297" w:type="pct"/>
            <w:vMerge w:val="restart"/>
            <w:tcBorders>
              <w:top w:val="nil"/>
              <w:left w:val="nil"/>
              <w:bottom w:val="nil"/>
              <w:right w:val="nil"/>
            </w:tcBorders>
            <w:vAlign w:val="center"/>
          </w:tcPr>
          <w:p w14:paraId="4B43465B" w14:textId="2529CD63" w:rsidR="009C6EE9" w:rsidRPr="003B0B89" w:rsidRDefault="009C6EE9" w:rsidP="00EC1B15">
            <w:pPr>
              <w:rPr>
                <w:rFonts w:eastAsia="Times New Roman" w:cs="Arial"/>
                <w:b/>
                <w:bCs/>
                <w:color w:val="424141"/>
                <w:szCs w:val="22"/>
                <w:lang w:val="en-GB" w:eastAsia="en-GB"/>
              </w:rPr>
            </w:pPr>
            <w:r>
              <w:rPr>
                <w:rFonts w:eastAsia="Times New Roman" w:cs="Arial"/>
                <w:b/>
                <w:bCs/>
                <w:color w:val="424141"/>
                <w:szCs w:val="22"/>
                <w:lang w:val="en-GB" w:eastAsia="en-GB"/>
              </w:rPr>
              <w:t>Note</w:t>
            </w:r>
          </w:p>
        </w:tc>
        <w:tc>
          <w:tcPr>
            <w:tcW w:w="844" w:type="pct"/>
            <w:gridSpan w:val="2"/>
            <w:tcBorders>
              <w:top w:val="nil"/>
              <w:left w:val="nil"/>
              <w:bottom w:val="nil"/>
              <w:right w:val="nil"/>
            </w:tcBorders>
            <w:shd w:val="clear" w:color="auto" w:fill="auto"/>
            <w:noWrap/>
            <w:vAlign w:val="center"/>
          </w:tcPr>
          <w:p w14:paraId="61095074" w14:textId="68AED628" w:rsidR="009C6EE9" w:rsidRPr="009C6EE9" w:rsidRDefault="009C6EE9" w:rsidP="009C6EE9">
            <w:pPr>
              <w:jc w:val="center"/>
              <w:rPr>
                <w:rFonts w:eastAsia="Times New Roman" w:cs="Arial"/>
                <w:b/>
                <w:bCs/>
                <w:szCs w:val="22"/>
                <w:lang w:val="en-GB" w:eastAsia="en-GB"/>
              </w:rPr>
            </w:pPr>
            <w:r w:rsidRPr="009C6EE9">
              <w:rPr>
                <w:rFonts w:eastAsia="Times New Roman" w:cs="Arial"/>
                <w:b/>
                <w:bCs/>
                <w:szCs w:val="22"/>
                <w:lang w:val="en-GB" w:eastAsia="en-GB"/>
              </w:rPr>
              <w:t>Unrestricted funds</w:t>
            </w:r>
          </w:p>
        </w:tc>
        <w:tc>
          <w:tcPr>
            <w:tcW w:w="794" w:type="pct"/>
            <w:gridSpan w:val="2"/>
            <w:tcBorders>
              <w:top w:val="nil"/>
              <w:left w:val="nil"/>
              <w:bottom w:val="nil"/>
              <w:right w:val="nil"/>
            </w:tcBorders>
            <w:shd w:val="clear" w:color="auto" w:fill="auto"/>
            <w:noWrap/>
            <w:vAlign w:val="center"/>
          </w:tcPr>
          <w:p w14:paraId="36A53BF0" w14:textId="07E1FDCA" w:rsidR="009C6EE9" w:rsidRPr="009C6EE9" w:rsidRDefault="009C6EE9" w:rsidP="009C6EE9">
            <w:pPr>
              <w:jc w:val="center"/>
              <w:rPr>
                <w:rFonts w:eastAsia="Times New Roman" w:cs="Arial"/>
                <w:b/>
                <w:bCs/>
                <w:szCs w:val="22"/>
                <w:lang w:val="en-GB" w:eastAsia="en-GB"/>
              </w:rPr>
            </w:pPr>
            <w:r w:rsidRPr="009C6EE9">
              <w:rPr>
                <w:rFonts w:eastAsia="Times New Roman" w:cs="Arial"/>
                <w:b/>
                <w:bCs/>
                <w:szCs w:val="22"/>
                <w:lang w:val="en-GB" w:eastAsia="en-GB"/>
              </w:rPr>
              <w:t>Restricted funds</w:t>
            </w:r>
          </w:p>
        </w:tc>
        <w:tc>
          <w:tcPr>
            <w:tcW w:w="793" w:type="pct"/>
            <w:gridSpan w:val="2"/>
            <w:tcBorders>
              <w:top w:val="nil"/>
              <w:left w:val="nil"/>
              <w:bottom w:val="nil"/>
              <w:right w:val="nil"/>
            </w:tcBorders>
            <w:shd w:val="clear" w:color="auto" w:fill="auto"/>
            <w:noWrap/>
            <w:vAlign w:val="center"/>
          </w:tcPr>
          <w:p w14:paraId="215CBDC6" w14:textId="7F5884E2" w:rsidR="009C6EE9" w:rsidRPr="009C6EE9" w:rsidRDefault="009C6EE9" w:rsidP="009C6EE9">
            <w:pPr>
              <w:jc w:val="center"/>
              <w:rPr>
                <w:rFonts w:eastAsia="Times New Roman" w:cs="Arial"/>
                <w:b/>
                <w:bCs/>
                <w:szCs w:val="22"/>
                <w:lang w:val="en-GB" w:eastAsia="en-GB"/>
              </w:rPr>
            </w:pPr>
            <w:r w:rsidRPr="009C6EE9">
              <w:rPr>
                <w:rFonts w:eastAsia="Times New Roman" w:cs="Arial"/>
                <w:b/>
                <w:bCs/>
                <w:szCs w:val="22"/>
                <w:lang w:val="en-GB" w:eastAsia="en-GB"/>
              </w:rPr>
              <w:t>Endowment funds</w:t>
            </w:r>
          </w:p>
        </w:tc>
        <w:tc>
          <w:tcPr>
            <w:tcW w:w="784" w:type="pct"/>
            <w:gridSpan w:val="2"/>
            <w:tcBorders>
              <w:top w:val="nil"/>
              <w:left w:val="nil"/>
              <w:bottom w:val="nil"/>
              <w:right w:val="nil"/>
            </w:tcBorders>
            <w:shd w:val="clear" w:color="auto" w:fill="auto"/>
            <w:noWrap/>
            <w:vAlign w:val="center"/>
          </w:tcPr>
          <w:p w14:paraId="711F4200" w14:textId="602CB074" w:rsidR="009C6EE9" w:rsidRPr="009C6EE9" w:rsidRDefault="009C6EE9" w:rsidP="009C6EE9">
            <w:pPr>
              <w:jc w:val="center"/>
              <w:rPr>
                <w:rFonts w:eastAsia="Times New Roman" w:cs="Arial"/>
                <w:b/>
                <w:bCs/>
                <w:szCs w:val="22"/>
                <w:lang w:val="en-GB" w:eastAsia="en-GB"/>
              </w:rPr>
            </w:pPr>
            <w:r w:rsidRPr="009C6EE9">
              <w:rPr>
                <w:rFonts w:eastAsia="Times New Roman" w:cs="Arial"/>
                <w:b/>
                <w:bCs/>
                <w:szCs w:val="22"/>
                <w:lang w:val="en-GB" w:eastAsia="en-GB"/>
              </w:rPr>
              <w:t>Total</w:t>
            </w:r>
          </w:p>
        </w:tc>
      </w:tr>
      <w:tr w:rsidR="008A41BA" w:rsidRPr="003B0B89" w14:paraId="1093EB5F" w14:textId="77777777" w:rsidTr="002420A7">
        <w:trPr>
          <w:trHeight w:val="285"/>
        </w:trPr>
        <w:tc>
          <w:tcPr>
            <w:tcW w:w="1488" w:type="pct"/>
            <w:vMerge/>
            <w:tcBorders>
              <w:top w:val="nil"/>
              <w:left w:val="nil"/>
              <w:bottom w:val="nil"/>
              <w:right w:val="nil"/>
            </w:tcBorders>
            <w:vAlign w:val="center"/>
            <w:hideMark/>
          </w:tcPr>
          <w:p w14:paraId="05E52ED3" w14:textId="77777777" w:rsidR="00827546" w:rsidRPr="003B0B89" w:rsidRDefault="00827546" w:rsidP="00827546">
            <w:pPr>
              <w:rPr>
                <w:rFonts w:ascii="Times New Roman" w:eastAsia="Times New Roman" w:hAnsi="Times New Roman"/>
                <w:sz w:val="20"/>
                <w:szCs w:val="20"/>
                <w:lang w:val="en-GB" w:eastAsia="en-GB"/>
              </w:rPr>
            </w:pPr>
          </w:p>
        </w:tc>
        <w:tc>
          <w:tcPr>
            <w:tcW w:w="297" w:type="pct"/>
            <w:vMerge/>
            <w:tcBorders>
              <w:top w:val="nil"/>
              <w:left w:val="nil"/>
              <w:bottom w:val="nil"/>
              <w:right w:val="nil"/>
            </w:tcBorders>
            <w:vAlign w:val="center"/>
            <w:hideMark/>
          </w:tcPr>
          <w:p w14:paraId="4441F7CB" w14:textId="77777777" w:rsidR="00827546" w:rsidRPr="003B0B89" w:rsidRDefault="00827546" w:rsidP="00827546">
            <w:pPr>
              <w:rPr>
                <w:rFonts w:eastAsia="Times New Roman" w:cs="Arial"/>
                <w:b/>
                <w:bCs/>
                <w:color w:val="424141"/>
                <w:szCs w:val="22"/>
                <w:lang w:val="en-GB" w:eastAsia="en-GB"/>
              </w:rPr>
            </w:pPr>
          </w:p>
        </w:tc>
        <w:tc>
          <w:tcPr>
            <w:tcW w:w="447" w:type="pct"/>
            <w:tcBorders>
              <w:top w:val="nil"/>
              <w:left w:val="nil"/>
              <w:bottom w:val="nil"/>
              <w:right w:val="nil"/>
            </w:tcBorders>
            <w:shd w:val="clear" w:color="000000" w:fill="D9D9D9"/>
            <w:noWrap/>
            <w:vAlign w:val="center"/>
            <w:hideMark/>
          </w:tcPr>
          <w:p w14:paraId="31CC07DB" w14:textId="111A0C63" w:rsidR="00827546" w:rsidRPr="003B0B89" w:rsidRDefault="00827546" w:rsidP="00827546">
            <w:pPr>
              <w:jc w:val="right"/>
              <w:rPr>
                <w:rFonts w:eastAsia="Times New Roman" w:cs="Arial"/>
                <w:b/>
                <w:bCs/>
                <w:color w:val="424141"/>
                <w:szCs w:val="22"/>
                <w:lang w:val="en-GB" w:eastAsia="en-GB"/>
              </w:rPr>
            </w:pPr>
            <w:r w:rsidRPr="003B0B89">
              <w:rPr>
                <w:rFonts w:eastAsia="Times New Roman" w:cs="Arial"/>
                <w:b/>
                <w:bCs/>
                <w:color w:val="424141"/>
                <w:szCs w:val="22"/>
                <w:lang w:val="en-GB" w:eastAsia="en-GB"/>
              </w:rPr>
              <w:t>202</w:t>
            </w:r>
            <w:r w:rsidR="003B126B">
              <w:rPr>
                <w:rFonts w:eastAsia="Times New Roman" w:cs="Arial"/>
                <w:b/>
                <w:bCs/>
                <w:color w:val="424141"/>
                <w:szCs w:val="22"/>
                <w:lang w:val="en-GB" w:eastAsia="en-GB"/>
              </w:rPr>
              <w:t>3</w:t>
            </w:r>
            <w:r w:rsidRPr="003B0B89">
              <w:rPr>
                <w:rFonts w:eastAsia="Times New Roman" w:cs="Arial"/>
                <w:b/>
                <w:bCs/>
                <w:color w:val="424141"/>
                <w:szCs w:val="22"/>
                <w:lang w:val="en-GB" w:eastAsia="en-GB"/>
              </w:rPr>
              <w:t>/2</w:t>
            </w:r>
            <w:r w:rsidR="003B126B">
              <w:rPr>
                <w:rFonts w:eastAsia="Times New Roman" w:cs="Arial"/>
                <w:b/>
                <w:bCs/>
                <w:color w:val="424141"/>
                <w:szCs w:val="22"/>
                <w:lang w:val="en-GB" w:eastAsia="en-GB"/>
              </w:rPr>
              <w:t>4</w:t>
            </w:r>
          </w:p>
        </w:tc>
        <w:tc>
          <w:tcPr>
            <w:tcW w:w="397" w:type="pct"/>
            <w:tcBorders>
              <w:top w:val="nil"/>
              <w:left w:val="nil"/>
              <w:bottom w:val="nil"/>
              <w:right w:val="nil"/>
            </w:tcBorders>
            <w:shd w:val="clear" w:color="auto" w:fill="auto"/>
            <w:vAlign w:val="center"/>
            <w:hideMark/>
          </w:tcPr>
          <w:p w14:paraId="7B561F9E" w14:textId="11A710B1" w:rsidR="00827546" w:rsidRPr="003B0B89" w:rsidRDefault="00827546" w:rsidP="00827546">
            <w:pPr>
              <w:jc w:val="right"/>
              <w:rPr>
                <w:rFonts w:eastAsia="Times New Roman" w:cs="Arial"/>
                <w:b/>
                <w:bCs/>
                <w:color w:val="A6A6A6"/>
                <w:szCs w:val="22"/>
                <w:lang w:val="en-GB" w:eastAsia="en-GB"/>
              </w:rPr>
            </w:pPr>
            <w:r w:rsidRPr="003B0B89">
              <w:rPr>
                <w:rFonts w:eastAsia="Times New Roman" w:cs="Arial"/>
                <w:b/>
                <w:bCs/>
                <w:color w:val="A6A6A6"/>
                <w:szCs w:val="22"/>
                <w:lang w:val="en-GB" w:eastAsia="en-GB"/>
              </w:rPr>
              <w:t>202</w:t>
            </w:r>
            <w:r w:rsidR="003B126B">
              <w:rPr>
                <w:rFonts w:eastAsia="Times New Roman" w:cs="Arial"/>
                <w:b/>
                <w:bCs/>
                <w:color w:val="A6A6A6"/>
                <w:szCs w:val="22"/>
                <w:lang w:val="en-GB" w:eastAsia="en-GB"/>
              </w:rPr>
              <w:t>2</w:t>
            </w:r>
            <w:r w:rsidRPr="003B0B89">
              <w:rPr>
                <w:rFonts w:eastAsia="Times New Roman" w:cs="Arial"/>
                <w:b/>
                <w:bCs/>
                <w:color w:val="A6A6A6"/>
                <w:szCs w:val="22"/>
                <w:lang w:val="en-GB" w:eastAsia="en-GB"/>
              </w:rPr>
              <w:t>/2</w:t>
            </w:r>
            <w:r w:rsidR="003B126B">
              <w:rPr>
                <w:rFonts w:eastAsia="Times New Roman" w:cs="Arial"/>
                <w:b/>
                <w:bCs/>
                <w:color w:val="A6A6A6"/>
                <w:szCs w:val="22"/>
                <w:lang w:val="en-GB" w:eastAsia="en-GB"/>
              </w:rPr>
              <w:t>3</w:t>
            </w:r>
          </w:p>
        </w:tc>
        <w:tc>
          <w:tcPr>
            <w:tcW w:w="397" w:type="pct"/>
            <w:tcBorders>
              <w:top w:val="nil"/>
              <w:left w:val="nil"/>
              <w:bottom w:val="nil"/>
              <w:right w:val="nil"/>
            </w:tcBorders>
            <w:shd w:val="clear" w:color="000000" w:fill="D9D9D9"/>
            <w:noWrap/>
            <w:vAlign w:val="center"/>
            <w:hideMark/>
          </w:tcPr>
          <w:p w14:paraId="3207E00B" w14:textId="6CAE09D5" w:rsidR="00827546" w:rsidRPr="003B0B89" w:rsidRDefault="00827546" w:rsidP="00827546">
            <w:pPr>
              <w:jc w:val="right"/>
              <w:rPr>
                <w:rFonts w:eastAsia="Times New Roman" w:cs="Arial"/>
                <w:b/>
                <w:bCs/>
                <w:color w:val="424141"/>
                <w:szCs w:val="22"/>
                <w:lang w:val="en-GB" w:eastAsia="en-GB"/>
              </w:rPr>
            </w:pPr>
            <w:r w:rsidRPr="003B0B89">
              <w:rPr>
                <w:rFonts w:eastAsia="Times New Roman" w:cs="Arial"/>
                <w:b/>
                <w:bCs/>
                <w:color w:val="424141"/>
                <w:szCs w:val="22"/>
                <w:lang w:val="en-GB" w:eastAsia="en-GB"/>
              </w:rPr>
              <w:t>202</w:t>
            </w:r>
            <w:r w:rsidR="003B126B">
              <w:rPr>
                <w:rFonts w:eastAsia="Times New Roman" w:cs="Arial"/>
                <w:b/>
                <w:bCs/>
                <w:color w:val="424141"/>
                <w:szCs w:val="22"/>
                <w:lang w:val="en-GB" w:eastAsia="en-GB"/>
              </w:rPr>
              <w:t>3</w:t>
            </w:r>
            <w:r w:rsidRPr="003B0B89">
              <w:rPr>
                <w:rFonts w:eastAsia="Times New Roman" w:cs="Arial"/>
                <w:b/>
                <w:bCs/>
                <w:color w:val="424141"/>
                <w:szCs w:val="22"/>
                <w:lang w:val="en-GB" w:eastAsia="en-GB"/>
              </w:rPr>
              <w:t>/2</w:t>
            </w:r>
            <w:r w:rsidR="003B126B">
              <w:rPr>
                <w:rFonts w:eastAsia="Times New Roman" w:cs="Arial"/>
                <w:b/>
                <w:bCs/>
                <w:color w:val="424141"/>
                <w:szCs w:val="22"/>
                <w:lang w:val="en-GB" w:eastAsia="en-GB"/>
              </w:rPr>
              <w:t>4</w:t>
            </w:r>
          </w:p>
        </w:tc>
        <w:tc>
          <w:tcPr>
            <w:tcW w:w="397" w:type="pct"/>
            <w:tcBorders>
              <w:top w:val="nil"/>
              <w:left w:val="nil"/>
              <w:bottom w:val="nil"/>
              <w:right w:val="nil"/>
            </w:tcBorders>
            <w:shd w:val="clear" w:color="auto" w:fill="auto"/>
            <w:vAlign w:val="center"/>
            <w:hideMark/>
          </w:tcPr>
          <w:p w14:paraId="732AD258" w14:textId="13D57EC1" w:rsidR="00827546" w:rsidRPr="003B0B89" w:rsidRDefault="00827546" w:rsidP="00827546">
            <w:pPr>
              <w:jc w:val="right"/>
              <w:rPr>
                <w:rFonts w:eastAsia="Times New Roman" w:cs="Arial"/>
                <w:b/>
                <w:bCs/>
                <w:color w:val="A6A6A6"/>
                <w:szCs w:val="22"/>
                <w:lang w:val="en-GB" w:eastAsia="en-GB"/>
              </w:rPr>
            </w:pPr>
            <w:r w:rsidRPr="003B0B89">
              <w:rPr>
                <w:rFonts w:eastAsia="Times New Roman" w:cs="Arial"/>
                <w:b/>
                <w:bCs/>
                <w:color w:val="A6A6A6"/>
                <w:szCs w:val="22"/>
                <w:lang w:val="en-GB" w:eastAsia="en-GB"/>
              </w:rPr>
              <w:t>202</w:t>
            </w:r>
            <w:r w:rsidR="003B126B">
              <w:rPr>
                <w:rFonts w:eastAsia="Times New Roman" w:cs="Arial"/>
                <w:b/>
                <w:bCs/>
                <w:color w:val="A6A6A6"/>
                <w:szCs w:val="22"/>
                <w:lang w:val="en-GB" w:eastAsia="en-GB"/>
              </w:rPr>
              <w:t>2</w:t>
            </w:r>
            <w:r w:rsidRPr="003B0B89">
              <w:rPr>
                <w:rFonts w:eastAsia="Times New Roman" w:cs="Arial"/>
                <w:b/>
                <w:bCs/>
                <w:color w:val="A6A6A6"/>
                <w:szCs w:val="22"/>
                <w:lang w:val="en-GB" w:eastAsia="en-GB"/>
              </w:rPr>
              <w:t>/2</w:t>
            </w:r>
            <w:r w:rsidR="003B126B">
              <w:rPr>
                <w:rFonts w:eastAsia="Times New Roman" w:cs="Arial"/>
                <w:b/>
                <w:bCs/>
                <w:color w:val="A6A6A6"/>
                <w:szCs w:val="22"/>
                <w:lang w:val="en-GB" w:eastAsia="en-GB"/>
              </w:rPr>
              <w:t>3</w:t>
            </w:r>
          </w:p>
        </w:tc>
        <w:tc>
          <w:tcPr>
            <w:tcW w:w="397" w:type="pct"/>
            <w:tcBorders>
              <w:top w:val="nil"/>
              <w:left w:val="nil"/>
              <w:bottom w:val="nil"/>
              <w:right w:val="nil"/>
            </w:tcBorders>
            <w:shd w:val="clear" w:color="000000" w:fill="D9D9D9"/>
            <w:noWrap/>
            <w:vAlign w:val="center"/>
            <w:hideMark/>
          </w:tcPr>
          <w:p w14:paraId="4CD47DB1" w14:textId="407D08D7" w:rsidR="00827546" w:rsidRPr="003B0B89" w:rsidRDefault="00827546" w:rsidP="00827546">
            <w:pPr>
              <w:jc w:val="right"/>
              <w:rPr>
                <w:rFonts w:eastAsia="Times New Roman" w:cs="Arial"/>
                <w:b/>
                <w:bCs/>
                <w:color w:val="424141"/>
                <w:szCs w:val="22"/>
                <w:lang w:val="en-GB" w:eastAsia="en-GB"/>
              </w:rPr>
            </w:pPr>
            <w:r w:rsidRPr="003B0B89">
              <w:rPr>
                <w:rFonts w:eastAsia="Times New Roman" w:cs="Arial"/>
                <w:b/>
                <w:bCs/>
                <w:color w:val="424141"/>
                <w:szCs w:val="22"/>
                <w:lang w:val="en-GB" w:eastAsia="en-GB"/>
              </w:rPr>
              <w:t>202</w:t>
            </w:r>
            <w:r w:rsidR="003B126B">
              <w:rPr>
                <w:rFonts w:eastAsia="Times New Roman" w:cs="Arial"/>
                <w:b/>
                <w:bCs/>
                <w:color w:val="424141"/>
                <w:szCs w:val="22"/>
                <w:lang w:val="en-GB" w:eastAsia="en-GB"/>
              </w:rPr>
              <w:t>3</w:t>
            </w:r>
            <w:r w:rsidRPr="003B0B89">
              <w:rPr>
                <w:rFonts w:eastAsia="Times New Roman" w:cs="Arial"/>
                <w:b/>
                <w:bCs/>
                <w:color w:val="424141"/>
                <w:szCs w:val="22"/>
                <w:lang w:val="en-GB" w:eastAsia="en-GB"/>
              </w:rPr>
              <w:t>/2</w:t>
            </w:r>
            <w:r w:rsidR="003B126B">
              <w:rPr>
                <w:rFonts w:eastAsia="Times New Roman" w:cs="Arial"/>
                <w:b/>
                <w:bCs/>
                <w:color w:val="424141"/>
                <w:szCs w:val="22"/>
                <w:lang w:val="en-GB" w:eastAsia="en-GB"/>
              </w:rPr>
              <w:t>4</w:t>
            </w:r>
          </w:p>
        </w:tc>
        <w:tc>
          <w:tcPr>
            <w:tcW w:w="396" w:type="pct"/>
            <w:tcBorders>
              <w:top w:val="nil"/>
              <w:left w:val="nil"/>
              <w:bottom w:val="nil"/>
              <w:right w:val="nil"/>
            </w:tcBorders>
            <w:shd w:val="clear" w:color="auto" w:fill="auto"/>
            <w:vAlign w:val="center"/>
            <w:hideMark/>
          </w:tcPr>
          <w:p w14:paraId="0EE6D5BB" w14:textId="0AA57BE0" w:rsidR="00827546" w:rsidRPr="003B0B89" w:rsidRDefault="00827546" w:rsidP="00827546">
            <w:pPr>
              <w:jc w:val="right"/>
              <w:rPr>
                <w:rFonts w:eastAsia="Times New Roman" w:cs="Arial"/>
                <w:b/>
                <w:bCs/>
                <w:color w:val="A6A6A6"/>
                <w:szCs w:val="22"/>
                <w:lang w:val="en-GB" w:eastAsia="en-GB"/>
              </w:rPr>
            </w:pPr>
            <w:r w:rsidRPr="003B0B89">
              <w:rPr>
                <w:rFonts w:eastAsia="Times New Roman" w:cs="Arial"/>
                <w:b/>
                <w:bCs/>
                <w:color w:val="A6A6A6"/>
                <w:szCs w:val="22"/>
                <w:lang w:val="en-GB" w:eastAsia="en-GB"/>
              </w:rPr>
              <w:t>202</w:t>
            </w:r>
            <w:r w:rsidR="003B126B">
              <w:rPr>
                <w:rFonts w:eastAsia="Times New Roman" w:cs="Arial"/>
                <w:b/>
                <w:bCs/>
                <w:color w:val="A6A6A6"/>
                <w:szCs w:val="22"/>
                <w:lang w:val="en-GB" w:eastAsia="en-GB"/>
              </w:rPr>
              <w:t>2</w:t>
            </w:r>
            <w:r w:rsidRPr="003B0B89">
              <w:rPr>
                <w:rFonts w:eastAsia="Times New Roman" w:cs="Arial"/>
                <w:b/>
                <w:bCs/>
                <w:color w:val="A6A6A6"/>
                <w:szCs w:val="22"/>
                <w:lang w:val="en-GB" w:eastAsia="en-GB"/>
              </w:rPr>
              <w:t>/2</w:t>
            </w:r>
            <w:r w:rsidR="003B126B">
              <w:rPr>
                <w:rFonts w:eastAsia="Times New Roman" w:cs="Arial"/>
                <w:b/>
                <w:bCs/>
                <w:color w:val="A6A6A6"/>
                <w:szCs w:val="22"/>
                <w:lang w:val="en-GB" w:eastAsia="en-GB"/>
              </w:rPr>
              <w:t>3</w:t>
            </w:r>
          </w:p>
        </w:tc>
        <w:tc>
          <w:tcPr>
            <w:tcW w:w="398" w:type="pct"/>
            <w:tcBorders>
              <w:top w:val="nil"/>
              <w:left w:val="nil"/>
              <w:bottom w:val="nil"/>
              <w:right w:val="nil"/>
            </w:tcBorders>
            <w:shd w:val="clear" w:color="000000" w:fill="D9D9D9"/>
            <w:noWrap/>
            <w:vAlign w:val="center"/>
            <w:hideMark/>
          </w:tcPr>
          <w:p w14:paraId="48A22606" w14:textId="2C73E7F2" w:rsidR="00827546" w:rsidRPr="003B0B89" w:rsidRDefault="00827546" w:rsidP="00827546">
            <w:pPr>
              <w:jc w:val="right"/>
              <w:rPr>
                <w:rFonts w:eastAsia="Times New Roman" w:cs="Arial"/>
                <w:b/>
                <w:bCs/>
                <w:color w:val="424141"/>
                <w:szCs w:val="22"/>
                <w:lang w:val="en-GB" w:eastAsia="en-GB"/>
              </w:rPr>
            </w:pPr>
            <w:r w:rsidRPr="003B0B89">
              <w:rPr>
                <w:rFonts w:eastAsia="Times New Roman" w:cs="Arial"/>
                <w:b/>
                <w:bCs/>
                <w:color w:val="424141"/>
                <w:szCs w:val="22"/>
                <w:lang w:val="en-GB" w:eastAsia="en-GB"/>
              </w:rPr>
              <w:t>202</w:t>
            </w:r>
            <w:r w:rsidR="003B126B">
              <w:rPr>
                <w:rFonts w:eastAsia="Times New Roman" w:cs="Arial"/>
                <w:b/>
                <w:bCs/>
                <w:color w:val="424141"/>
                <w:szCs w:val="22"/>
                <w:lang w:val="en-GB" w:eastAsia="en-GB"/>
              </w:rPr>
              <w:t>3</w:t>
            </w:r>
            <w:r w:rsidRPr="003B0B89">
              <w:rPr>
                <w:rFonts w:eastAsia="Times New Roman" w:cs="Arial"/>
                <w:b/>
                <w:bCs/>
                <w:color w:val="424141"/>
                <w:szCs w:val="22"/>
                <w:lang w:val="en-GB" w:eastAsia="en-GB"/>
              </w:rPr>
              <w:t>/2</w:t>
            </w:r>
            <w:r w:rsidR="003B126B">
              <w:rPr>
                <w:rFonts w:eastAsia="Times New Roman" w:cs="Arial"/>
                <w:b/>
                <w:bCs/>
                <w:color w:val="424141"/>
                <w:szCs w:val="22"/>
                <w:lang w:val="en-GB" w:eastAsia="en-GB"/>
              </w:rPr>
              <w:t>4</w:t>
            </w:r>
          </w:p>
        </w:tc>
        <w:tc>
          <w:tcPr>
            <w:tcW w:w="386" w:type="pct"/>
            <w:tcBorders>
              <w:top w:val="nil"/>
              <w:left w:val="nil"/>
              <w:bottom w:val="nil"/>
              <w:right w:val="nil"/>
            </w:tcBorders>
            <w:shd w:val="clear" w:color="auto" w:fill="auto"/>
            <w:vAlign w:val="center"/>
            <w:hideMark/>
          </w:tcPr>
          <w:p w14:paraId="0F998BC6" w14:textId="25ECFFDA" w:rsidR="00827546" w:rsidRPr="003B0B89" w:rsidRDefault="00827546" w:rsidP="00827546">
            <w:pPr>
              <w:jc w:val="right"/>
              <w:rPr>
                <w:rFonts w:eastAsia="Times New Roman" w:cs="Arial"/>
                <w:b/>
                <w:bCs/>
                <w:color w:val="A6A6A6"/>
                <w:szCs w:val="22"/>
                <w:lang w:val="en-GB" w:eastAsia="en-GB"/>
              </w:rPr>
            </w:pPr>
            <w:r w:rsidRPr="003B0B89">
              <w:rPr>
                <w:rFonts w:eastAsia="Times New Roman" w:cs="Arial"/>
                <w:b/>
                <w:bCs/>
                <w:color w:val="A6A6A6"/>
                <w:szCs w:val="22"/>
                <w:lang w:val="en-GB" w:eastAsia="en-GB"/>
              </w:rPr>
              <w:t>202</w:t>
            </w:r>
            <w:r w:rsidR="003B126B">
              <w:rPr>
                <w:rFonts w:eastAsia="Times New Roman" w:cs="Arial"/>
                <w:b/>
                <w:bCs/>
                <w:color w:val="A6A6A6"/>
                <w:szCs w:val="22"/>
                <w:lang w:val="en-GB" w:eastAsia="en-GB"/>
              </w:rPr>
              <w:t>2</w:t>
            </w:r>
            <w:r w:rsidRPr="003B0B89">
              <w:rPr>
                <w:rFonts w:eastAsia="Times New Roman" w:cs="Arial"/>
                <w:b/>
                <w:bCs/>
                <w:color w:val="A6A6A6"/>
                <w:szCs w:val="22"/>
                <w:lang w:val="en-GB" w:eastAsia="en-GB"/>
              </w:rPr>
              <w:t>/2</w:t>
            </w:r>
            <w:r w:rsidR="003B126B">
              <w:rPr>
                <w:rFonts w:eastAsia="Times New Roman" w:cs="Arial"/>
                <w:b/>
                <w:bCs/>
                <w:color w:val="A6A6A6"/>
                <w:szCs w:val="22"/>
                <w:lang w:val="en-GB" w:eastAsia="en-GB"/>
              </w:rPr>
              <w:t>3</w:t>
            </w:r>
          </w:p>
        </w:tc>
      </w:tr>
      <w:tr w:rsidR="008A41BA" w:rsidRPr="003B0B89" w14:paraId="1068936F" w14:textId="77777777" w:rsidTr="002420A7">
        <w:trPr>
          <w:trHeight w:val="285"/>
        </w:trPr>
        <w:tc>
          <w:tcPr>
            <w:tcW w:w="1488" w:type="pct"/>
            <w:tcBorders>
              <w:top w:val="nil"/>
              <w:left w:val="nil"/>
              <w:bottom w:val="nil"/>
              <w:right w:val="nil"/>
            </w:tcBorders>
            <w:shd w:val="clear" w:color="auto" w:fill="auto"/>
            <w:noWrap/>
            <w:vAlign w:val="center"/>
            <w:hideMark/>
          </w:tcPr>
          <w:p w14:paraId="15B95715" w14:textId="77777777" w:rsidR="00827546" w:rsidRPr="003B0B89" w:rsidRDefault="00827546" w:rsidP="00827546">
            <w:pPr>
              <w:jc w:val="right"/>
              <w:rPr>
                <w:rFonts w:eastAsia="Times New Roman" w:cs="Arial"/>
                <w:b/>
                <w:bCs/>
                <w:color w:val="A6A6A6"/>
                <w:szCs w:val="22"/>
                <w:lang w:val="en-GB" w:eastAsia="en-GB"/>
              </w:rPr>
            </w:pPr>
          </w:p>
        </w:tc>
        <w:tc>
          <w:tcPr>
            <w:tcW w:w="297" w:type="pct"/>
            <w:tcBorders>
              <w:top w:val="nil"/>
              <w:left w:val="nil"/>
              <w:bottom w:val="nil"/>
              <w:right w:val="nil"/>
            </w:tcBorders>
            <w:shd w:val="clear" w:color="auto" w:fill="auto"/>
            <w:noWrap/>
            <w:vAlign w:val="center"/>
            <w:hideMark/>
          </w:tcPr>
          <w:p w14:paraId="024E839E" w14:textId="77777777" w:rsidR="00827546" w:rsidRPr="003B0B89" w:rsidRDefault="00827546" w:rsidP="00827546">
            <w:pPr>
              <w:rPr>
                <w:rFonts w:ascii="Times New Roman" w:eastAsia="Times New Roman" w:hAnsi="Times New Roman"/>
                <w:sz w:val="20"/>
                <w:szCs w:val="20"/>
                <w:lang w:val="en-GB" w:eastAsia="en-GB"/>
              </w:rPr>
            </w:pPr>
          </w:p>
        </w:tc>
        <w:tc>
          <w:tcPr>
            <w:tcW w:w="447" w:type="pct"/>
            <w:tcBorders>
              <w:top w:val="nil"/>
              <w:left w:val="nil"/>
              <w:bottom w:val="nil"/>
              <w:right w:val="nil"/>
            </w:tcBorders>
            <w:shd w:val="clear" w:color="000000" w:fill="D9D9D9"/>
            <w:noWrap/>
            <w:vAlign w:val="center"/>
            <w:hideMark/>
          </w:tcPr>
          <w:p w14:paraId="191C06B6" w14:textId="77777777" w:rsidR="00827546" w:rsidRPr="003B0B89" w:rsidRDefault="00827546" w:rsidP="00827546">
            <w:pPr>
              <w:jc w:val="right"/>
              <w:rPr>
                <w:rFonts w:eastAsia="Times New Roman" w:cs="Arial"/>
                <w:b/>
                <w:bCs/>
                <w:color w:val="424141"/>
                <w:szCs w:val="22"/>
                <w:lang w:val="en-GB" w:eastAsia="en-GB"/>
              </w:rPr>
            </w:pPr>
            <w:r w:rsidRPr="003B0B89">
              <w:rPr>
                <w:rFonts w:eastAsia="Times New Roman" w:cs="Arial"/>
                <w:b/>
                <w:bCs/>
                <w:color w:val="424141"/>
                <w:szCs w:val="22"/>
                <w:lang w:val="en-GB" w:eastAsia="en-GB"/>
              </w:rPr>
              <w:t>£000</w:t>
            </w:r>
          </w:p>
        </w:tc>
        <w:tc>
          <w:tcPr>
            <w:tcW w:w="397" w:type="pct"/>
            <w:tcBorders>
              <w:top w:val="nil"/>
              <w:left w:val="nil"/>
              <w:bottom w:val="nil"/>
              <w:right w:val="nil"/>
            </w:tcBorders>
            <w:shd w:val="clear" w:color="auto" w:fill="auto"/>
            <w:vAlign w:val="center"/>
            <w:hideMark/>
          </w:tcPr>
          <w:p w14:paraId="633A4471" w14:textId="77777777" w:rsidR="00827546" w:rsidRPr="003B0B89" w:rsidRDefault="00827546" w:rsidP="00827546">
            <w:pPr>
              <w:jc w:val="right"/>
              <w:rPr>
                <w:rFonts w:eastAsia="Times New Roman" w:cs="Arial"/>
                <w:b/>
                <w:bCs/>
                <w:color w:val="A6A6A6"/>
                <w:szCs w:val="22"/>
                <w:lang w:val="en-GB" w:eastAsia="en-GB"/>
              </w:rPr>
            </w:pPr>
            <w:r w:rsidRPr="003B0B89">
              <w:rPr>
                <w:rFonts w:eastAsia="Times New Roman" w:cs="Arial"/>
                <w:b/>
                <w:bCs/>
                <w:color w:val="A6A6A6"/>
                <w:szCs w:val="22"/>
                <w:lang w:val="en-GB" w:eastAsia="en-GB"/>
              </w:rPr>
              <w:t>£000</w:t>
            </w:r>
          </w:p>
        </w:tc>
        <w:tc>
          <w:tcPr>
            <w:tcW w:w="397" w:type="pct"/>
            <w:tcBorders>
              <w:top w:val="nil"/>
              <w:left w:val="nil"/>
              <w:bottom w:val="nil"/>
              <w:right w:val="nil"/>
            </w:tcBorders>
            <w:shd w:val="clear" w:color="000000" w:fill="D9D9D9"/>
            <w:noWrap/>
            <w:vAlign w:val="center"/>
            <w:hideMark/>
          </w:tcPr>
          <w:p w14:paraId="4D60891A" w14:textId="77777777" w:rsidR="00827546" w:rsidRPr="003B0B89" w:rsidRDefault="00827546" w:rsidP="00827546">
            <w:pPr>
              <w:jc w:val="right"/>
              <w:rPr>
                <w:rFonts w:eastAsia="Times New Roman" w:cs="Arial"/>
                <w:b/>
                <w:bCs/>
                <w:color w:val="424141"/>
                <w:szCs w:val="22"/>
                <w:lang w:val="en-GB" w:eastAsia="en-GB"/>
              </w:rPr>
            </w:pPr>
            <w:r w:rsidRPr="003B0B89">
              <w:rPr>
                <w:rFonts w:eastAsia="Times New Roman" w:cs="Arial"/>
                <w:b/>
                <w:bCs/>
                <w:color w:val="424141"/>
                <w:szCs w:val="22"/>
                <w:lang w:val="en-GB" w:eastAsia="en-GB"/>
              </w:rPr>
              <w:t xml:space="preserve"> £000 </w:t>
            </w:r>
          </w:p>
        </w:tc>
        <w:tc>
          <w:tcPr>
            <w:tcW w:w="397" w:type="pct"/>
            <w:tcBorders>
              <w:top w:val="nil"/>
              <w:left w:val="nil"/>
              <w:bottom w:val="nil"/>
              <w:right w:val="nil"/>
            </w:tcBorders>
            <w:shd w:val="clear" w:color="auto" w:fill="auto"/>
            <w:vAlign w:val="center"/>
            <w:hideMark/>
          </w:tcPr>
          <w:p w14:paraId="0B78936C" w14:textId="77777777" w:rsidR="00827546" w:rsidRPr="003B0B89" w:rsidRDefault="00827546" w:rsidP="00827546">
            <w:pPr>
              <w:jc w:val="right"/>
              <w:rPr>
                <w:rFonts w:eastAsia="Times New Roman" w:cs="Arial"/>
                <w:b/>
                <w:bCs/>
                <w:color w:val="A6A6A6"/>
                <w:szCs w:val="22"/>
                <w:lang w:val="en-GB" w:eastAsia="en-GB"/>
              </w:rPr>
            </w:pPr>
            <w:r w:rsidRPr="003B0B89">
              <w:rPr>
                <w:rFonts w:eastAsia="Times New Roman" w:cs="Arial"/>
                <w:b/>
                <w:bCs/>
                <w:color w:val="A6A6A6"/>
                <w:szCs w:val="22"/>
                <w:lang w:val="en-GB" w:eastAsia="en-GB"/>
              </w:rPr>
              <w:t>£000</w:t>
            </w:r>
          </w:p>
        </w:tc>
        <w:tc>
          <w:tcPr>
            <w:tcW w:w="397" w:type="pct"/>
            <w:tcBorders>
              <w:top w:val="nil"/>
              <w:left w:val="nil"/>
              <w:bottom w:val="nil"/>
              <w:right w:val="nil"/>
            </w:tcBorders>
            <w:shd w:val="clear" w:color="000000" w:fill="D9D9D9"/>
            <w:noWrap/>
            <w:vAlign w:val="center"/>
            <w:hideMark/>
          </w:tcPr>
          <w:p w14:paraId="2BBC5C12" w14:textId="77777777" w:rsidR="00827546" w:rsidRPr="003B0B89" w:rsidRDefault="00827546" w:rsidP="00827546">
            <w:pPr>
              <w:jc w:val="right"/>
              <w:rPr>
                <w:rFonts w:eastAsia="Times New Roman" w:cs="Arial"/>
                <w:b/>
                <w:bCs/>
                <w:color w:val="424141"/>
                <w:szCs w:val="22"/>
                <w:lang w:val="en-GB" w:eastAsia="en-GB"/>
              </w:rPr>
            </w:pPr>
            <w:r w:rsidRPr="003B0B89">
              <w:rPr>
                <w:rFonts w:eastAsia="Times New Roman" w:cs="Arial"/>
                <w:b/>
                <w:bCs/>
                <w:color w:val="424141"/>
                <w:szCs w:val="22"/>
                <w:lang w:val="en-GB" w:eastAsia="en-GB"/>
              </w:rPr>
              <w:t>£000</w:t>
            </w:r>
          </w:p>
        </w:tc>
        <w:tc>
          <w:tcPr>
            <w:tcW w:w="396" w:type="pct"/>
            <w:tcBorders>
              <w:top w:val="nil"/>
              <w:left w:val="nil"/>
              <w:bottom w:val="nil"/>
              <w:right w:val="nil"/>
            </w:tcBorders>
            <w:shd w:val="clear" w:color="auto" w:fill="auto"/>
            <w:vAlign w:val="center"/>
            <w:hideMark/>
          </w:tcPr>
          <w:p w14:paraId="7424DD1A" w14:textId="77777777" w:rsidR="00827546" w:rsidRPr="003B0B89" w:rsidRDefault="00827546" w:rsidP="00827546">
            <w:pPr>
              <w:jc w:val="right"/>
              <w:rPr>
                <w:rFonts w:eastAsia="Times New Roman" w:cs="Arial"/>
                <w:b/>
                <w:bCs/>
                <w:color w:val="A6A6A6"/>
                <w:szCs w:val="22"/>
                <w:lang w:val="en-GB" w:eastAsia="en-GB"/>
              </w:rPr>
            </w:pPr>
            <w:r w:rsidRPr="003B0B89">
              <w:rPr>
                <w:rFonts w:eastAsia="Times New Roman" w:cs="Arial"/>
                <w:b/>
                <w:bCs/>
                <w:color w:val="A6A6A6"/>
                <w:szCs w:val="22"/>
                <w:lang w:val="en-GB" w:eastAsia="en-GB"/>
              </w:rPr>
              <w:t>£000</w:t>
            </w:r>
          </w:p>
        </w:tc>
        <w:tc>
          <w:tcPr>
            <w:tcW w:w="398" w:type="pct"/>
            <w:tcBorders>
              <w:top w:val="nil"/>
              <w:left w:val="nil"/>
              <w:bottom w:val="nil"/>
              <w:right w:val="nil"/>
            </w:tcBorders>
            <w:shd w:val="clear" w:color="000000" w:fill="D9D9D9"/>
            <w:noWrap/>
            <w:vAlign w:val="center"/>
            <w:hideMark/>
          </w:tcPr>
          <w:p w14:paraId="454321FC" w14:textId="77777777" w:rsidR="00827546" w:rsidRPr="003B0B89" w:rsidRDefault="00827546" w:rsidP="00827546">
            <w:pPr>
              <w:jc w:val="right"/>
              <w:rPr>
                <w:rFonts w:eastAsia="Times New Roman" w:cs="Arial"/>
                <w:b/>
                <w:bCs/>
                <w:color w:val="424141"/>
                <w:szCs w:val="22"/>
                <w:lang w:val="en-GB" w:eastAsia="en-GB"/>
              </w:rPr>
            </w:pPr>
            <w:r w:rsidRPr="003B0B89">
              <w:rPr>
                <w:rFonts w:eastAsia="Times New Roman" w:cs="Arial"/>
                <w:b/>
                <w:bCs/>
                <w:color w:val="424141"/>
                <w:szCs w:val="22"/>
                <w:lang w:val="en-GB" w:eastAsia="en-GB"/>
              </w:rPr>
              <w:t>£000</w:t>
            </w:r>
          </w:p>
        </w:tc>
        <w:tc>
          <w:tcPr>
            <w:tcW w:w="386" w:type="pct"/>
            <w:tcBorders>
              <w:top w:val="nil"/>
              <w:left w:val="nil"/>
              <w:bottom w:val="nil"/>
              <w:right w:val="nil"/>
            </w:tcBorders>
            <w:shd w:val="clear" w:color="auto" w:fill="auto"/>
            <w:noWrap/>
            <w:vAlign w:val="center"/>
            <w:hideMark/>
          </w:tcPr>
          <w:p w14:paraId="3B7B9DFC" w14:textId="77777777" w:rsidR="00827546" w:rsidRPr="003B0B89" w:rsidRDefault="00827546" w:rsidP="00827546">
            <w:pPr>
              <w:jc w:val="right"/>
              <w:rPr>
                <w:rFonts w:eastAsia="Times New Roman" w:cs="Arial"/>
                <w:b/>
                <w:bCs/>
                <w:color w:val="A6A6A6"/>
                <w:szCs w:val="22"/>
                <w:lang w:val="en-GB" w:eastAsia="en-GB"/>
              </w:rPr>
            </w:pPr>
            <w:r w:rsidRPr="003B0B89">
              <w:rPr>
                <w:rFonts w:eastAsia="Times New Roman" w:cs="Arial"/>
                <w:b/>
                <w:bCs/>
                <w:color w:val="A6A6A6"/>
                <w:szCs w:val="22"/>
                <w:lang w:val="en-GB" w:eastAsia="en-GB"/>
              </w:rPr>
              <w:t>£000</w:t>
            </w:r>
          </w:p>
        </w:tc>
      </w:tr>
      <w:tr w:rsidR="008A41BA" w:rsidRPr="003B0B89" w14:paraId="6DE13BF9" w14:textId="77777777" w:rsidTr="002420A7">
        <w:trPr>
          <w:trHeight w:val="285"/>
        </w:trPr>
        <w:tc>
          <w:tcPr>
            <w:tcW w:w="1488" w:type="pct"/>
            <w:tcBorders>
              <w:top w:val="nil"/>
              <w:left w:val="nil"/>
              <w:bottom w:val="nil"/>
              <w:right w:val="nil"/>
            </w:tcBorders>
            <w:shd w:val="clear" w:color="auto" w:fill="auto"/>
            <w:noWrap/>
            <w:vAlign w:val="center"/>
            <w:hideMark/>
          </w:tcPr>
          <w:p w14:paraId="16ECB65C" w14:textId="77777777" w:rsidR="00827546" w:rsidRPr="003B0B89" w:rsidRDefault="00827546" w:rsidP="00827546">
            <w:pPr>
              <w:rPr>
                <w:rFonts w:eastAsia="Times New Roman" w:cs="Arial"/>
                <w:b/>
                <w:bCs/>
                <w:color w:val="424141"/>
                <w:szCs w:val="22"/>
                <w:lang w:val="en-GB" w:eastAsia="en-GB"/>
              </w:rPr>
            </w:pPr>
            <w:r w:rsidRPr="003B0B89">
              <w:rPr>
                <w:rFonts w:eastAsia="Times New Roman" w:cs="Arial"/>
                <w:b/>
                <w:bCs/>
                <w:color w:val="424141"/>
                <w:szCs w:val="22"/>
                <w:lang w:val="en-GB" w:eastAsia="en-GB"/>
              </w:rPr>
              <w:t xml:space="preserve">Income and endowments from: </w:t>
            </w:r>
          </w:p>
        </w:tc>
        <w:tc>
          <w:tcPr>
            <w:tcW w:w="297" w:type="pct"/>
            <w:tcBorders>
              <w:top w:val="nil"/>
              <w:left w:val="nil"/>
              <w:bottom w:val="nil"/>
              <w:right w:val="nil"/>
            </w:tcBorders>
            <w:shd w:val="clear" w:color="auto" w:fill="auto"/>
            <w:noWrap/>
            <w:vAlign w:val="center"/>
            <w:hideMark/>
          </w:tcPr>
          <w:p w14:paraId="121CA145" w14:textId="77777777" w:rsidR="00827546" w:rsidRPr="003B0B89" w:rsidRDefault="00827546" w:rsidP="00827546">
            <w:pPr>
              <w:rPr>
                <w:rFonts w:eastAsia="Times New Roman" w:cs="Arial"/>
                <w:b/>
                <w:bCs/>
                <w:color w:val="424141"/>
                <w:szCs w:val="22"/>
                <w:lang w:val="en-GB" w:eastAsia="en-GB"/>
              </w:rPr>
            </w:pPr>
          </w:p>
        </w:tc>
        <w:tc>
          <w:tcPr>
            <w:tcW w:w="447" w:type="pct"/>
            <w:tcBorders>
              <w:top w:val="nil"/>
              <w:left w:val="nil"/>
              <w:bottom w:val="nil"/>
              <w:right w:val="nil"/>
            </w:tcBorders>
            <w:shd w:val="clear" w:color="000000" w:fill="D9D9D9"/>
            <w:noWrap/>
            <w:vAlign w:val="center"/>
            <w:hideMark/>
          </w:tcPr>
          <w:p w14:paraId="6F63903B" w14:textId="77777777" w:rsidR="00827546" w:rsidRPr="003B0B89" w:rsidRDefault="00827546" w:rsidP="00827546">
            <w:pPr>
              <w:jc w:val="right"/>
              <w:rPr>
                <w:rFonts w:eastAsia="Times New Roman" w:cs="Arial"/>
                <w:color w:val="424141"/>
                <w:szCs w:val="22"/>
                <w:lang w:val="en-GB" w:eastAsia="en-GB"/>
              </w:rPr>
            </w:pPr>
            <w:r w:rsidRPr="003B0B89">
              <w:rPr>
                <w:rFonts w:eastAsia="Times New Roman" w:cs="Arial"/>
                <w:color w:val="424141"/>
                <w:szCs w:val="22"/>
                <w:lang w:val="en-GB" w:eastAsia="en-GB"/>
              </w:rPr>
              <w:t> </w:t>
            </w:r>
          </w:p>
        </w:tc>
        <w:tc>
          <w:tcPr>
            <w:tcW w:w="397" w:type="pct"/>
            <w:tcBorders>
              <w:top w:val="nil"/>
              <w:left w:val="nil"/>
              <w:bottom w:val="nil"/>
              <w:right w:val="nil"/>
            </w:tcBorders>
            <w:shd w:val="clear" w:color="auto" w:fill="auto"/>
            <w:vAlign w:val="center"/>
            <w:hideMark/>
          </w:tcPr>
          <w:p w14:paraId="59A1222A" w14:textId="77777777" w:rsidR="00827546" w:rsidRPr="003B0B89" w:rsidRDefault="00827546" w:rsidP="00827546">
            <w:pPr>
              <w:jc w:val="right"/>
              <w:rPr>
                <w:rFonts w:eastAsia="Times New Roman" w:cs="Arial"/>
                <w:color w:val="424141"/>
                <w:szCs w:val="22"/>
                <w:lang w:val="en-GB" w:eastAsia="en-GB"/>
              </w:rPr>
            </w:pPr>
          </w:p>
        </w:tc>
        <w:tc>
          <w:tcPr>
            <w:tcW w:w="397" w:type="pct"/>
            <w:tcBorders>
              <w:top w:val="nil"/>
              <w:left w:val="nil"/>
              <w:bottom w:val="nil"/>
              <w:right w:val="nil"/>
            </w:tcBorders>
            <w:shd w:val="clear" w:color="000000" w:fill="D9D9D9"/>
            <w:noWrap/>
            <w:vAlign w:val="center"/>
            <w:hideMark/>
          </w:tcPr>
          <w:p w14:paraId="15A8937B" w14:textId="77777777" w:rsidR="00827546" w:rsidRPr="003B0B89" w:rsidRDefault="00827546" w:rsidP="00827546">
            <w:pPr>
              <w:jc w:val="right"/>
              <w:rPr>
                <w:rFonts w:eastAsia="Times New Roman" w:cs="Arial"/>
                <w:color w:val="424141"/>
                <w:szCs w:val="22"/>
                <w:lang w:val="en-GB" w:eastAsia="en-GB"/>
              </w:rPr>
            </w:pPr>
            <w:r w:rsidRPr="003B0B89">
              <w:rPr>
                <w:rFonts w:eastAsia="Times New Roman" w:cs="Arial"/>
                <w:color w:val="424141"/>
                <w:szCs w:val="22"/>
                <w:lang w:val="en-GB" w:eastAsia="en-GB"/>
              </w:rPr>
              <w:t> </w:t>
            </w:r>
          </w:p>
        </w:tc>
        <w:tc>
          <w:tcPr>
            <w:tcW w:w="397" w:type="pct"/>
            <w:tcBorders>
              <w:top w:val="nil"/>
              <w:left w:val="nil"/>
              <w:bottom w:val="nil"/>
              <w:right w:val="nil"/>
            </w:tcBorders>
            <w:shd w:val="clear" w:color="auto" w:fill="auto"/>
            <w:vAlign w:val="center"/>
            <w:hideMark/>
          </w:tcPr>
          <w:p w14:paraId="7F2E9093" w14:textId="77777777" w:rsidR="00827546" w:rsidRPr="003B0B89" w:rsidRDefault="00827546" w:rsidP="00827546">
            <w:pPr>
              <w:jc w:val="right"/>
              <w:rPr>
                <w:rFonts w:eastAsia="Times New Roman" w:cs="Arial"/>
                <w:color w:val="424141"/>
                <w:szCs w:val="22"/>
                <w:lang w:val="en-GB" w:eastAsia="en-GB"/>
              </w:rPr>
            </w:pPr>
          </w:p>
        </w:tc>
        <w:tc>
          <w:tcPr>
            <w:tcW w:w="397" w:type="pct"/>
            <w:tcBorders>
              <w:top w:val="nil"/>
              <w:left w:val="nil"/>
              <w:bottom w:val="nil"/>
              <w:right w:val="nil"/>
            </w:tcBorders>
            <w:shd w:val="clear" w:color="000000" w:fill="D9D9D9"/>
            <w:noWrap/>
            <w:vAlign w:val="center"/>
            <w:hideMark/>
          </w:tcPr>
          <w:p w14:paraId="386D4EC4" w14:textId="77777777" w:rsidR="00827546" w:rsidRPr="003B0B89" w:rsidRDefault="00827546" w:rsidP="00827546">
            <w:pPr>
              <w:jc w:val="right"/>
              <w:rPr>
                <w:rFonts w:eastAsia="Times New Roman" w:cs="Arial"/>
                <w:color w:val="424141"/>
                <w:szCs w:val="22"/>
                <w:lang w:val="en-GB" w:eastAsia="en-GB"/>
              </w:rPr>
            </w:pPr>
            <w:r w:rsidRPr="003B0B89">
              <w:rPr>
                <w:rFonts w:eastAsia="Times New Roman" w:cs="Arial"/>
                <w:color w:val="424141"/>
                <w:szCs w:val="22"/>
                <w:lang w:val="en-GB" w:eastAsia="en-GB"/>
              </w:rPr>
              <w:t> </w:t>
            </w:r>
          </w:p>
        </w:tc>
        <w:tc>
          <w:tcPr>
            <w:tcW w:w="396" w:type="pct"/>
            <w:tcBorders>
              <w:top w:val="nil"/>
              <w:left w:val="nil"/>
              <w:bottom w:val="nil"/>
              <w:right w:val="nil"/>
            </w:tcBorders>
            <w:shd w:val="clear" w:color="auto" w:fill="auto"/>
            <w:vAlign w:val="center"/>
            <w:hideMark/>
          </w:tcPr>
          <w:p w14:paraId="54737651" w14:textId="77777777" w:rsidR="00827546" w:rsidRPr="003B0B89" w:rsidRDefault="00827546" w:rsidP="00827546">
            <w:pPr>
              <w:jc w:val="right"/>
              <w:rPr>
                <w:rFonts w:eastAsia="Times New Roman" w:cs="Arial"/>
                <w:color w:val="424141"/>
                <w:szCs w:val="22"/>
                <w:lang w:val="en-GB" w:eastAsia="en-GB"/>
              </w:rPr>
            </w:pPr>
          </w:p>
        </w:tc>
        <w:tc>
          <w:tcPr>
            <w:tcW w:w="398" w:type="pct"/>
            <w:tcBorders>
              <w:top w:val="nil"/>
              <w:left w:val="nil"/>
              <w:bottom w:val="nil"/>
              <w:right w:val="nil"/>
            </w:tcBorders>
            <w:shd w:val="clear" w:color="000000" w:fill="D9D9D9"/>
            <w:noWrap/>
            <w:vAlign w:val="center"/>
            <w:hideMark/>
          </w:tcPr>
          <w:p w14:paraId="6C8ED558" w14:textId="77777777" w:rsidR="00827546" w:rsidRPr="003B0B89" w:rsidRDefault="00827546" w:rsidP="00827546">
            <w:pPr>
              <w:jc w:val="right"/>
              <w:rPr>
                <w:rFonts w:eastAsia="Times New Roman" w:cs="Arial"/>
                <w:color w:val="424141"/>
                <w:szCs w:val="22"/>
                <w:lang w:val="en-GB" w:eastAsia="en-GB"/>
              </w:rPr>
            </w:pPr>
            <w:r w:rsidRPr="003B0B89">
              <w:rPr>
                <w:rFonts w:eastAsia="Times New Roman" w:cs="Arial"/>
                <w:color w:val="424141"/>
                <w:szCs w:val="22"/>
                <w:lang w:val="en-GB" w:eastAsia="en-GB"/>
              </w:rPr>
              <w:t> </w:t>
            </w:r>
          </w:p>
        </w:tc>
        <w:tc>
          <w:tcPr>
            <w:tcW w:w="386" w:type="pct"/>
            <w:tcBorders>
              <w:top w:val="nil"/>
              <w:left w:val="nil"/>
              <w:bottom w:val="nil"/>
              <w:right w:val="nil"/>
            </w:tcBorders>
            <w:shd w:val="clear" w:color="auto" w:fill="auto"/>
            <w:noWrap/>
            <w:vAlign w:val="center"/>
            <w:hideMark/>
          </w:tcPr>
          <w:p w14:paraId="3E9B7B98" w14:textId="77777777" w:rsidR="00827546" w:rsidRPr="003B0B89" w:rsidRDefault="00827546" w:rsidP="00827546">
            <w:pPr>
              <w:jc w:val="right"/>
              <w:rPr>
                <w:rFonts w:eastAsia="Times New Roman" w:cs="Arial"/>
                <w:color w:val="424141"/>
                <w:szCs w:val="22"/>
                <w:lang w:val="en-GB" w:eastAsia="en-GB"/>
              </w:rPr>
            </w:pPr>
          </w:p>
        </w:tc>
      </w:tr>
      <w:tr w:rsidR="00F46DFB" w:rsidRPr="003B0B89" w14:paraId="5189F03D" w14:textId="77777777" w:rsidTr="002420A7">
        <w:trPr>
          <w:trHeight w:val="285"/>
        </w:trPr>
        <w:tc>
          <w:tcPr>
            <w:tcW w:w="1488" w:type="pct"/>
            <w:tcBorders>
              <w:top w:val="nil"/>
              <w:left w:val="nil"/>
              <w:bottom w:val="nil"/>
              <w:right w:val="nil"/>
            </w:tcBorders>
            <w:shd w:val="clear" w:color="auto" w:fill="auto"/>
            <w:noWrap/>
            <w:vAlign w:val="center"/>
            <w:hideMark/>
          </w:tcPr>
          <w:p w14:paraId="74C6C3C7" w14:textId="77777777" w:rsidR="00F46DFB" w:rsidRPr="003B0B89" w:rsidRDefault="00F46DFB" w:rsidP="00F46DFB">
            <w:pPr>
              <w:rPr>
                <w:rFonts w:eastAsia="Times New Roman" w:cs="Arial"/>
                <w:color w:val="424141"/>
                <w:szCs w:val="22"/>
                <w:lang w:val="en-GB" w:eastAsia="en-GB"/>
              </w:rPr>
            </w:pPr>
            <w:r w:rsidRPr="003B0B89">
              <w:rPr>
                <w:rFonts w:eastAsia="Times New Roman" w:cs="Arial"/>
                <w:color w:val="424141"/>
                <w:szCs w:val="22"/>
                <w:lang w:val="en-GB" w:eastAsia="en-GB"/>
              </w:rPr>
              <w:t>Donations and legacies</w:t>
            </w:r>
          </w:p>
        </w:tc>
        <w:tc>
          <w:tcPr>
            <w:tcW w:w="297" w:type="pct"/>
            <w:tcBorders>
              <w:top w:val="nil"/>
              <w:left w:val="nil"/>
              <w:bottom w:val="nil"/>
              <w:right w:val="nil"/>
            </w:tcBorders>
            <w:shd w:val="clear" w:color="auto" w:fill="auto"/>
            <w:noWrap/>
            <w:vAlign w:val="center"/>
            <w:hideMark/>
          </w:tcPr>
          <w:p w14:paraId="0851A11B" w14:textId="77777777" w:rsidR="00F46DFB" w:rsidRPr="003B0B89" w:rsidRDefault="00F46DFB" w:rsidP="00F46DFB">
            <w:pPr>
              <w:jc w:val="right"/>
              <w:rPr>
                <w:rFonts w:eastAsia="Times New Roman" w:cs="Arial"/>
                <w:color w:val="424141"/>
                <w:szCs w:val="22"/>
                <w:lang w:val="en-GB" w:eastAsia="en-GB"/>
              </w:rPr>
            </w:pPr>
            <w:r w:rsidRPr="003B0B89">
              <w:rPr>
                <w:rFonts w:eastAsia="Times New Roman" w:cs="Arial"/>
                <w:color w:val="424141"/>
                <w:szCs w:val="22"/>
                <w:lang w:val="en-GB" w:eastAsia="en-GB"/>
              </w:rPr>
              <w:t>3</w:t>
            </w:r>
          </w:p>
        </w:tc>
        <w:tc>
          <w:tcPr>
            <w:tcW w:w="447" w:type="pct"/>
            <w:tcBorders>
              <w:top w:val="nil"/>
              <w:left w:val="nil"/>
              <w:bottom w:val="nil"/>
              <w:right w:val="nil"/>
            </w:tcBorders>
            <w:shd w:val="clear" w:color="000000" w:fill="D9D9D9"/>
            <w:noWrap/>
            <w:vAlign w:val="center"/>
            <w:hideMark/>
          </w:tcPr>
          <w:p w14:paraId="3E9E4D5E" w14:textId="5ED48443" w:rsidR="00F46DFB" w:rsidRPr="003B0B89" w:rsidRDefault="00F46DFB">
            <w:pPr>
              <w:jc w:val="right"/>
              <w:rPr>
                <w:rFonts w:eastAsia="Times New Roman" w:cs="Arial"/>
                <w:color w:val="424141"/>
                <w:szCs w:val="22"/>
                <w:lang w:val="en-GB" w:eastAsia="en-GB"/>
              </w:rPr>
            </w:pPr>
            <w:r>
              <w:rPr>
                <w:rFonts w:cs="Arial"/>
                <w:color w:val="424141"/>
                <w:szCs w:val="22"/>
              </w:rPr>
              <w:t>8</w:t>
            </w:r>
            <w:r w:rsidR="00202975">
              <w:rPr>
                <w:rFonts w:cs="Arial"/>
                <w:color w:val="424141"/>
                <w:szCs w:val="22"/>
              </w:rPr>
              <w:t>1</w:t>
            </w:r>
            <w:r>
              <w:rPr>
                <w:rFonts w:cs="Arial"/>
                <w:color w:val="424141"/>
                <w:szCs w:val="22"/>
              </w:rPr>
              <w:t xml:space="preserve">9 </w:t>
            </w:r>
          </w:p>
        </w:tc>
        <w:tc>
          <w:tcPr>
            <w:tcW w:w="397" w:type="pct"/>
            <w:tcBorders>
              <w:top w:val="nil"/>
              <w:left w:val="nil"/>
              <w:bottom w:val="nil"/>
              <w:right w:val="nil"/>
            </w:tcBorders>
            <w:shd w:val="clear" w:color="auto" w:fill="auto"/>
            <w:vAlign w:val="center"/>
            <w:hideMark/>
          </w:tcPr>
          <w:p w14:paraId="5A0AF0B4" w14:textId="104C4573" w:rsidR="00F46DFB" w:rsidRPr="003B0B89" w:rsidRDefault="00F46DFB">
            <w:pPr>
              <w:jc w:val="right"/>
              <w:rPr>
                <w:rFonts w:eastAsia="Times New Roman" w:cs="Arial"/>
                <w:color w:val="A6A6A6"/>
                <w:szCs w:val="22"/>
                <w:lang w:val="en-GB" w:eastAsia="en-GB"/>
              </w:rPr>
            </w:pPr>
            <w:r>
              <w:rPr>
                <w:rFonts w:cs="Arial"/>
                <w:color w:val="A6A6A6"/>
                <w:szCs w:val="22"/>
              </w:rPr>
              <w:t xml:space="preserve">812 </w:t>
            </w:r>
          </w:p>
        </w:tc>
        <w:tc>
          <w:tcPr>
            <w:tcW w:w="397" w:type="pct"/>
            <w:tcBorders>
              <w:top w:val="nil"/>
              <w:left w:val="nil"/>
              <w:bottom w:val="nil"/>
              <w:right w:val="nil"/>
            </w:tcBorders>
            <w:shd w:val="clear" w:color="000000" w:fill="D9D9D9"/>
            <w:noWrap/>
            <w:vAlign w:val="center"/>
            <w:hideMark/>
          </w:tcPr>
          <w:p w14:paraId="70C11642" w14:textId="287480A0" w:rsidR="00F46DFB" w:rsidRPr="003B0B89" w:rsidRDefault="00EF0CA3">
            <w:pPr>
              <w:jc w:val="right"/>
              <w:rPr>
                <w:rFonts w:eastAsia="Times New Roman" w:cs="Arial"/>
                <w:color w:val="424141"/>
                <w:szCs w:val="22"/>
                <w:lang w:val="en-GB" w:eastAsia="en-GB"/>
              </w:rPr>
            </w:pPr>
            <w:r>
              <w:rPr>
                <w:rFonts w:cs="Arial"/>
                <w:color w:val="424141"/>
                <w:szCs w:val="22"/>
              </w:rPr>
              <w:t>982</w:t>
            </w:r>
          </w:p>
        </w:tc>
        <w:tc>
          <w:tcPr>
            <w:tcW w:w="397" w:type="pct"/>
            <w:tcBorders>
              <w:top w:val="nil"/>
              <w:left w:val="nil"/>
              <w:bottom w:val="nil"/>
              <w:right w:val="nil"/>
            </w:tcBorders>
            <w:shd w:val="clear" w:color="auto" w:fill="auto"/>
            <w:vAlign w:val="center"/>
            <w:hideMark/>
          </w:tcPr>
          <w:p w14:paraId="3A7FDF42" w14:textId="7E82756B" w:rsidR="00F46DFB" w:rsidRPr="003B0B89" w:rsidRDefault="00F46DFB">
            <w:pPr>
              <w:jc w:val="right"/>
              <w:rPr>
                <w:rFonts w:eastAsia="Times New Roman" w:cs="Arial"/>
                <w:color w:val="A6A6A6"/>
                <w:szCs w:val="22"/>
                <w:lang w:val="en-GB" w:eastAsia="en-GB"/>
              </w:rPr>
            </w:pPr>
            <w:r>
              <w:rPr>
                <w:rFonts w:cs="Arial"/>
                <w:color w:val="A6A6A6"/>
                <w:szCs w:val="22"/>
              </w:rPr>
              <w:t xml:space="preserve">1,102 </w:t>
            </w:r>
          </w:p>
        </w:tc>
        <w:tc>
          <w:tcPr>
            <w:tcW w:w="397" w:type="pct"/>
            <w:tcBorders>
              <w:top w:val="nil"/>
              <w:left w:val="nil"/>
              <w:bottom w:val="nil"/>
              <w:right w:val="nil"/>
            </w:tcBorders>
            <w:shd w:val="clear" w:color="000000" w:fill="D9D9D9"/>
            <w:noWrap/>
            <w:vAlign w:val="center"/>
            <w:hideMark/>
          </w:tcPr>
          <w:p w14:paraId="56A4B56D" w14:textId="5FB9B32C" w:rsidR="00F46DFB" w:rsidRPr="003B0B89" w:rsidRDefault="00F46DFB">
            <w:pPr>
              <w:jc w:val="right"/>
              <w:rPr>
                <w:rFonts w:eastAsia="Times New Roman" w:cs="Arial"/>
                <w:color w:val="424141"/>
                <w:szCs w:val="22"/>
                <w:lang w:val="en-GB" w:eastAsia="en-GB"/>
              </w:rPr>
            </w:pPr>
            <w:r>
              <w:rPr>
                <w:rFonts w:cs="Arial"/>
                <w:color w:val="424141"/>
                <w:szCs w:val="22"/>
              </w:rPr>
              <w:t> </w:t>
            </w:r>
          </w:p>
        </w:tc>
        <w:tc>
          <w:tcPr>
            <w:tcW w:w="396" w:type="pct"/>
            <w:tcBorders>
              <w:top w:val="nil"/>
              <w:left w:val="nil"/>
              <w:bottom w:val="nil"/>
              <w:right w:val="nil"/>
            </w:tcBorders>
            <w:shd w:val="clear" w:color="auto" w:fill="auto"/>
            <w:vAlign w:val="center"/>
            <w:hideMark/>
          </w:tcPr>
          <w:p w14:paraId="07D0F742" w14:textId="77777777" w:rsidR="00F46DFB" w:rsidRPr="003B0B89" w:rsidRDefault="00F46DFB">
            <w:pPr>
              <w:jc w:val="right"/>
              <w:rPr>
                <w:rFonts w:eastAsia="Times New Roman" w:cs="Arial"/>
                <w:color w:val="424141"/>
                <w:szCs w:val="22"/>
                <w:lang w:val="en-GB" w:eastAsia="en-GB"/>
              </w:rPr>
            </w:pPr>
          </w:p>
        </w:tc>
        <w:tc>
          <w:tcPr>
            <w:tcW w:w="398" w:type="pct"/>
            <w:tcBorders>
              <w:top w:val="nil"/>
              <w:left w:val="nil"/>
              <w:bottom w:val="nil"/>
              <w:right w:val="nil"/>
            </w:tcBorders>
            <w:shd w:val="clear" w:color="000000" w:fill="D9D9D9"/>
            <w:noWrap/>
            <w:vAlign w:val="center"/>
            <w:hideMark/>
          </w:tcPr>
          <w:p w14:paraId="76AA5E96" w14:textId="597D622A" w:rsidR="00F46DFB" w:rsidRPr="003B0B89" w:rsidRDefault="00FE3AA5">
            <w:pPr>
              <w:jc w:val="right"/>
              <w:rPr>
                <w:rFonts w:eastAsia="Times New Roman" w:cs="Arial"/>
                <w:color w:val="424141"/>
                <w:szCs w:val="22"/>
                <w:lang w:val="en-GB" w:eastAsia="en-GB"/>
              </w:rPr>
            </w:pPr>
            <w:r>
              <w:rPr>
                <w:rFonts w:cs="Arial"/>
                <w:color w:val="424141"/>
                <w:szCs w:val="22"/>
              </w:rPr>
              <w:t>1,801</w:t>
            </w:r>
          </w:p>
        </w:tc>
        <w:tc>
          <w:tcPr>
            <w:tcW w:w="386" w:type="pct"/>
            <w:tcBorders>
              <w:top w:val="nil"/>
              <w:left w:val="nil"/>
              <w:bottom w:val="nil"/>
              <w:right w:val="nil"/>
            </w:tcBorders>
            <w:shd w:val="clear" w:color="auto" w:fill="auto"/>
            <w:vAlign w:val="center"/>
            <w:hideMark/>
          </w:tcPr>
          <w:p w14:paraId="00FBA8DE" w14:textId="30E6AD80" w:rsidR="00F46DFB" w:rsidRPr="003B0B89" w:rsidRDefault="00F46DFB">
            <w:pPr>
              <w:jc w:val="right"/>
              <w:rPr>
                <w:rFonts w:eastAsia="Times New Roman" w:cs="Arial"/>
                <w:color w:val="A6A6A6"/>
                <w:szCs w:val="22"/>
                <w:lang w:val="en-GB" w:eastAsia="en-GB"/>
              </w:rPr>
            </w:pPr>
            <w:r>
              <w:rPr>
                <w:rFonts w:cs="Arial"/>
                <w:color w:val="A6A6A6"/>
                <w:szCs w:val="22"/>
              </w:rPr>
              <w:t xml:space="preserve">1,914 </w:t>
            </w:r>
          </w:p>
        </w:tc>
      </w:tr>
      <w:tr w:rsidR="00F46DFB" w:rsidRPr="003B0B89" w14:paraId="2D5F77D8" w14:textId="77777777" w:rsidTr="002420A7">
        <w:trPr>
          <w:trHeight w:val="285"/>
        </w:trPr>
        <w:tc>
          <w:tcPr>
            <w:tcW w:w="1488" w:type="pct"/>
            <w:tcBorders>
              <w:top w:val="nil"/>
              <w:left w:val="nil"/>
              <w:bottom w:val="nil"/>
              <w:right w:val="nil"/>
            </w:tcBorders>
            <w:shd w:val="clear" w:color="auto" w:fill="auto"/>
            <w:noWrap/>
            <w:vAlign w:val="center"/>
            <w:hideMark/>
          </w:tcPr>
          <w:p w14:paraId="33D238B7" w14:textId="77777777" w:rsidR="00F46DFB" w:rsidRPr="003B0B89" w:rsidRDefault="00F46DFB" w:rsidP="00F46DFB">
            <w:pPr>
              <w:rPr>
                <w:rFonts w:eastAsia="Times New Roman" w:cs="Arial"/>
                <w:color w:val="424141"/>
                <w:szCs w:val="22"/>
                <w:lang w:val="en-GB" w:eastAsia="en-GB"/>
              </w:rPr>
            </w:pPr>
            <w:r w:rsidRPr="003B0B89">
              <w:rPr>
                <w:rFonts w:eastAsia="Times New Roman" w:cs="Arial"/>
                <w:color w:val="424141"/>
                <w:szCs w:val="22"/>
                <w:lang w:val="en-GB" w:eastAsia="en-GB"/>
              </w:rPr>
              <w:t>Charitable activities</w:t>
            </w:r>
          </w:p>
        </w:tc>
        <w:tc>
          <w:tcPr>
            <w:tcW w:w="297" w:type="pct"/>
            <w:tcBorders>
              <w:top w:val="nil"/>
              <w:left w:val="nil"/>
              <w:bottom w:val="nil"/>
              <w:right w:val="nil"/>
            </w:tcBorders>
            <w:shd w:val="clear" w:color="auto" w:fill="auto"/>
            <w:noWrap/>
            <w:vAlign w:val="center"/>
            <w:hideMark/>
          </w:tcPr>
          <w:p w14:paraId="22D6A0A5" w14:textId="77777777" w:rsidR="00F46DFB" w:rsidRPr="003B0B89" w:rsidRDefault="00F46DFB" w:rsidP="00F46DFB">
            <w:pPr>
              <w:jc w:val="right"/>
              <w:rPr>
                <w:rFonts w:eastAsia="Times New Roman" w:cs="Arial"/>
                <w:color w:val="424141"/>
                <w:szCs w:val="22"/>
                <w:lang w:val="en-GB" w:eastAsia="en-GB"/>
              </w:rPr>
            </w:pPr>
            <w:r w:rsidRPr="003B0B89">
              <w:rPr>
                <w:rFonts w:eastAsia="Times New Roman" w:cs="Arial"/>
                <w:color w:val="424141"/>
                <w:szCs w:val="22"/>
                <w:lang w:val="en-GB" w:eastAsia="en-GB"/>
              </w:rPr>
              <w:t>4</w:t>
            </w:r>
          </w:p>
        </w:tc>
        <w:tc>
          <w:tcPr>
            <w:tcW w:w="447" w:type="pct"/>
            <w:tcBorders>
              <w:top w:val="nil"/>
              <w:left w:val="nil"/>
              <w:bottom w:val="nil"/>
              <w:right w:val="nil"/>
            </w:tcBorders>
            <w:shd w:val="clear" w:color="000000" w:fill="D9D9D9"/>
            <w:noWrap/>
            <w:vAlign w:val="center"/>
            <w:hideMark/>
          </w:tcPr>
          <w:p w14:paraId="1EDD9D74" w14:textId="1C9ACC83" w:rsidR="00F46DFB" w:rsidRPr="003B0B89" w:rsidRDefault="00F46DFB">
            <w:pPr>
              <w:jc w:val="right"/>
              <w:rPr>
                <w:rFonts w:eastAsia="Times New Roman" w:cs="Arial"/>
                <w:color w:val="424141"/>
                <w:szCs w:val="22"/>
                <w:lang w:val="en-GB" w:eastAsia="en-GB"/>
              </w:rPr>
            </w:pPr>
            <w:r>
              <w:rPr>
                <w:rFonts w:cs="Arial"/>
                <w:color w:val="424141"/>
                <w:szCs w:val="22"/>
              </w:rPr>
              <w:t xml:space="preserve">10 </w:t>
            </w:r>
          </w:p>
        </w:tc>
        <w:tc>
          <w:tcPr>
            <w:tcW w:w="397" w:type="pct"/>
            <w:tcBorders>
              <w:top w:val="nil"/>
              <w:left w:val="nil"/>
              <w:bottom w:val="nil"/>
              <w:right w:val="nil"/>
            </w:tcBorders>
            <w:shd w:val="clear" w:color="auto" w:fill="auto"/>
            <w:vAlign w:val="center"/>
            <w:hideMark/>
          </w:tcPr>
          <w:p w14:paraId="36EE37DE" w14:textId="79A47C3A" w:rsidR="00F46DFB" w:rsidRPr="003B0B89" w:rsidRDefault="00F46DFB">
            <w:pPr>
              <w:jc w:val="right"/>
              <w:rPr>
                <w:rFonts w:eastAsia="Times New Roman" w:cs="Arial"/>
                <w:color w:val="A6A6A6"/>
                <w:szCs w:val="22"/>
                <w:lang w:val="en-GB" w:eastAsia="en-GB"/>
              </w:rPr>
            </w:pPr>
            <w:r>
              <w:rPr>
                <w:rFonts w:cs="Arial"/>
                <w:color w:val="A6A6A6"/>
                <w:szCs w:val="22"/>
              </w:rPr>
              <w:t xml:space="preserve">3 </w:t>
            </w:r>
          </w:p>
        </w:tc>
        <w:tc>
          <w:tcPr>
            <w:tcW w:w="397" w:type="pct"/>
            <w:tcBorders>
              <w:top w:val="nil"/>
              <w:left w:val="nil"/>
              <w:bottom w:val="nil"/>
              <w:right w:val="nil"/>
            </w:tcBorders>
            <w:shd w:val="clear" w:color="000000" w:fill="D9D9D9"/>
            <w:noWrap/>
            <w:vAlign w:val="center"/>
            <w:hideMark/>
          </w:tcPr>
          <w:p w14:paraId="6BE2197C" w14:textId="31C80923" w:rsidR="00F46DFB" w:rsidRPr="003B0B89" w:rsidRDefault="00202975">
            <w:pPr>
              <w:jc w:val="right"/>
              <w:rPr>
                <w:rFonts w:eastAsia="Times New Roman" w:cs="Arial"/>
                <w:color w:val="424141"/>
                <w:szCs w:val="22"/>
                <w:lang w:val="en-GB" w:eastAsia="en-GB"/>
              </w:rPr>
            </w:pPr>
            <w:r>
              <w:rPr>
                <w:rFonts w:cs="Arial"/>
                <w:color w:val="424141"/>
                <w:szCs w:val="22"/>
              </w:rPr>
              <w:t>30</w:t>
            </w:r>
          </w:p>
        </w:tc>
        <w:tc>
          <w:tcPr>
            <w:tcW w:w="397" w:type="pct"/>
            <w:tcBorders>
              <w:top w:val="nil"/>
              <w:left w:val="nil"/>
              <w:bottom w:val="nil"/>
              <w:right w:val="nil"/>
            </w:tcBorders>
            <w:shd w:val="clear" w:color="auto" w:fill="auto"/>
            <w:vAlign w:val="center"/>
            <w:hideMark/>
          </w:tcPr>
          <w:p w14:paraId="5BF8A215" w14:textId="1F158202" w:rsidR="00F46DFB" w:rsidRPr="003B0B89" w:rsidRDefault="00F46DFB">
            <w:pPr>
              <w:jc w:val="right"/>
              <w:rPr>
                <w:rFonts w:eastAsia="Times New Roman" w:cs="Arial"/>
                <w:color w:val="A6A6A6"/>
                <w:szCs w:val="22"/>
                <w:lang w:val="en-GB" w:eastAsia="en-GB"/>
              </w:rPr>
            </w:pPr>
            <w:r>
              <w:rPr>
                <w:rFonts w:cs="Arial"/>
                <w:color w:val="A6A6A6"/>
                <w:szCs w:val="22"/>
              </w:rPr>
              <w:t xml:space="preserve">29 </w:t>
            </w:r>
          </w:p>
        </w:tc>
        <w:tc>
          <w:tcPr>
            <w:tcW w:w="397" w:type="pct"/>
            <w:tcBorders>
              <w:top w:val="nil"/>
              <w:left w:val="nil"/>
              <w:bottom w:val="nil"/>
              <w:right w:val="nil"/>
            </w:tcBorders>
            <w:shd w:val="clear" w:color="000000" w:fill="D9D9D9"/>
            <w:noWrap/>
            <w:vAlign w:val="center"/>
            <w:hideMark/>
          </w:tcPr>
          <w:p w14:paraId="6C6ED92A" w14:textId="2D71FB01" w:rsidR="00F46DFB" w:rsidRPr="003B0B89" w:rsidRDefault="00F46DFB">
            <w:pPr>
              <w:jc w:val="right"/>
              <w:rPr>
                <w:rFonts w:eastAsia="Times New Roman" w:cs="Arial"/>
                <w:color w:val="424141"/>
                <w:szCs w:val="22"/>
                <w:lang w:val="en-GB" w:eastAsia="en-GB"/>
              </w:rPr>
            </w:pPr>
            <w:r>
              <w:rPr>
                <w:rFonts w:cs="Arial"/>
                <w:color w:val="424141"/>
                <w:szCs w:val="22"/>
              </w:rPr>
              <w:t> </w:t>
            </w:r>
          </w:p>
        </w:tc>
        <w:tc>
          <w:tcPr>
            <w:tcW w:w="396" w:type="pct"/>
            <w:tcBorders>
              <w:top w:val="nil"/>
              <w:left w:val="nil"/>
              <w:bottom w:val="nil"/>
              <w:right w:val="nil"/>
            </w:tcBorders>
            <w:shd w:val="clear" w:color="auto" w:fill="auto"/>
            <w:vAlign w:val="center"/>
            <w:hideMark/>
          </w:tcPr>
          <w:p w14:paraId="738E22C8" w14:textId="77777777" w:rsidR="00F46DFB" w:rsidRPr="003B0B89" w:rsidRDefault="00F46DFB">
            <w:pPr>
              <w:jc w:val="right"/>
              <w:rPr>
                <w:rFonts w:eastAsia="Times New Roman" w:cs="Arial"/>
                <w:color w:val="424141"/>
                <w:szCs w:val="22"/>
                <w:lang w:val="en-GB" w:eastAsia="en-GB"/>
              </w:rPr>
            </w:pPr>
          </w:p>
        </w:tc>
        <w:tc>
          <w:tcPr>
            <w:tcW w:w="398" w:type="pct"/>
            <w:tcBorders>
              <w:top w:val="nil"/>
              <w:left w:val="nil"/>
              <w:bottom w:val="nil"/>
              <w:right w:val="nil"/>
            </w:tcBorders>
            <w:shd w:val="clear" w:color="000000" w:fill="D9D9D9"/>
            <w:noWrap/>
            <w:vAlign w:val="center"/>
            <w:hideMark/>
          </w:tcPr>
          <w:p w14:paraId="2ED93CAE" w14:textId="62135F80" w:rsidR="00F46DFB" w:rsidRPr="003B0B89" w:rsidRDefault="00202975">
            <w:pPr>
              <w:jc w:val="right"/>
              <w:rPr>
                <w:rFonts w:eastAsia="Times New Roman" w:cs="Arial"/>
                <w:color w:val="424141"/>
                <w:szCs w:val="22"/>
                <w:lang w:val="en-GB" w:eastAsia="en-GB"/>
              </w:rPr>
            </w:pPr>
            <w:r>
              <w:rPr>
                <w:rFonts w:cs="Arial"/>
                <w:color w:val="424141"/>
                <w:szCs w:val="22"/>
              </w:rPr>
              <w:t>40</w:t>
            </w:r>
          </w:p>
        </w:tc>
        <w:tc>
          <w:tcPr>
            <w:tcW w:w="386" w:type="pct"/>
            <w:tcBorders>
              <w:top w:val="nil"/>
              <w:left w:val="nil"/>
              <w:bottom w:val="nil"/>
              <w:right w:val="nil"/>
            </w:tcBorders>
            <w:shd w:val="clear" w:color="auto" w:fill="auto"/>
            <w:vAlign w:val="center"/>
            <w:hideMark/>
          </w:tcPr>
          <w:p w14:paraId="5EF9B9F3" w14:textId="25963873" w:rsidR="00F46DFB" w:rsidRPr="003B0B89" w:rsidRDefault="00F46DFB">
            <w:pPr>
              <w:jc w:val="right"/>
              <w:rPr>
                <w:rFonts w:eastAsia="Times New Roman" w:cs="Arial"/>
                <w:color w:val="A6A6A6"/>
                <w:szCs w:val="22"/>
                <w:lang w:val="en-GB" w:eastAsia="en-GB"/>
              </w:rPr>
            </w:pPr>
            <w:r>
              <w:rPr>
                <w:rFonts w:cs="Arial"/>
                <w:color w:val="A6A6A6"/>
                <w:szCs w:val="22"/>
              </w:rPr>
              <w:t xml:space="preserve">32 </w:t>
            </w:r>
          </w:p>
        </w:tc>
      </w:tr>
      <w:tr w:rsidR="00F46DFB" w:rsidRPr="003B0B89" w14:paraId="2CD8084B" w14:textId="77777777" w:rsidTr="002420A7">
        <w:trPr>
          <w:trHeight w:val="285"/>
        </w:trPr>
        <w:tc>
          <w:tcPr>
            <w:tcW w:w="1488" w:type="pct"/>
            <w:tcBorders>
              <w:top w:val="nil"/>
              <w:left w:val="nil"/>
              <w:bottom w:val="nil"/>
              <w:right w:val="nil"/>
            </w:tcBorders>
            <w:shd w:val="clear" w:color="auto" w:fill="auto"/>
            <w:noWrap/>
            <w:vAlign w:val="center"/>
            <w:hideMark/>
          </w:tcPr>
          <w:p w14:paraId="428567C5" w14:textId="77777777" w:rsidR="00F46DFB" w:rsidRPr="003B0B89" w:rsidRDefault="00F46DFB" w:rsidP="00F46DFB">
            <w:pPr>
              <w:rPr>
                <w:rFonts w:eastAsia="Times New Roman" w:cs="Arial"/>
                <w:color w:val="424141"/>
                <w:szCs w:val="22"/>
                <w:lang w:val="en-GB" w:eastAsia="en-GB"/>
              </w:rPr>
            </w:pPr>
            <w:r w:rsidRPr="003B0B89">
              <w:rPr>
                <w:rFonts w:eastAsia="Times New Roman" w:cs="Arial"/>
                <w:color w:val="424141"/>
                <w:szCs w:val="22"/>
                <w:lang w:val="en-GB" w:eastAsia="en-GB"/>
              </w:rPr>
              <w:t>Other trading activities</w:t>
            </w:r>
          </w:p>
        </w:tc>
        <w:tc>
          <w:tcPr>
            <w:tcW w:w="297" w:type="pct"/>
            <w:tcBorders>
              <w:top w:val="nil"/>
              <w:left w:val="nil"/>
              <w:bottom w:val="nil"/>
              <w:right w:val="nil"/>
            </w:tcBorders>
            <w:shd w:val="clear" w:color="auto" w:fill="auto"/>
            <w:noWrap/>
            <w:vAlign w:val="center"/>
            <w:hideMark/>
          </w:tcPr>
          <w:p w14:paraId="12EAC34A" w14:textId="77777777" w:rsidR="00F46DFB" w:rsidRPr="003B0B89" w:rsidRDefault="00F46DFB" w:rsidP="00F46DFB">
            <w:pPr>
              <w:jc w:val="right"/>
              <w:rPr>
                <w:rFonts w:eastAsia="Times New Roman" w:cs="Arial"/>
                <w:color w:val="424141"/>
                <w:szCs w:val="22"/>
                <w:lang w:val="en-GB" w:eastAsia="en-GB"/>
              </w:rPr>
            </w:pPr>
            <w:r w:rsidRPr="003B0B89">
              <w:rPr>
                <w:rFonts w:eastAsia="Times New Roman" w:cs="Arial"/>
                <w:color w:val="424141"/>
                <w:szCs w:val="22"/>
                <w:lang w:val="en-GB" w:eastAsia="en-GB"/>
              </w:rPr>
              <w:t>5</w:t>
            </w:r>
          </w:p>
        </w:tc>
        <w:tc>
          <w:tcPr>
            <w:tcW w:w="447" w:type="pct"/>
            <w:tcBorders>
              <w:top w:val="nil"/>
              <w:left w:val="nil"/>
              <w:bottom w:val="nil"/>
              <w:right w:val="nil"/>
            </w:tcBorders>
            <w:shd w:val="clear" w:color="000000" w:fill="D9D9D9"/>
            <w:noWrap/>
            <w:vAlign w:val="center"/>
            <w:hideMark/>
          </w:tcPr>
          <w:p w14:paraId="5352B5BD" w14:textId="0F005F02" w:rsidR="00F46DFB" w:rsidRPr="003B0B89" w:rsidRDefault="00F46DFB">
            <w:pPr>
              <w:jc w:val="right"/>
              <w:rPr>
                <w:rFonts w:eastAsia="Times New Roman" w:cs="Arial"/>
                <w:color w:val="424141"/>
                <w:szCs w:val="22"/>
                <w:lang w:val="en-GB" w:eastAsia="en-GB"/>
              </w:rPr>
            </w:pPr>
            <w:r>
              <w:rPr>
                <w:rFonts w:cs="Arial"/>
                <w:color w:val="424141"/>
                <w:szCs w:val="22"/>
              </w:rPr>
              <w:t xml:space="preserve">60 </w:t>
            </w:r>
          </w:p>
        </w:tc>
        <w:tc>
          <w:tcPr>
            <w:tcW w:w="397" w:type="pct"/>
            <w:tcBorders>
              <w:top w:val="nil"/>
              <w:left w:val="nil"/>
              <w:bottom w:val="nil"/>
              <w:right w:val="nil"/>
            </w:tcBorders>
            <w:shd w:val="clear" w:color="auto" w:fill="auto"/>
            <w:vAlign w:val="center"/>
            <w:hideMark/>
          </w:tcPr>
          <w:p w14:paraId="2712F4EB" w14:textId="1C49914B" w:rsidR="00F46DFB" w:rsidRPr="003B0B89" w:rsidRDefault="00F46DFB">
            <w:pPr>
              <w:jc w:val="right"/>
              <w:rPr>
                <w:rFonts w:eastAsia="Times New Roman" w:cs="Arial"/>
                <w:color w:val="A6A6A6"/>
                <w:szCs w:val="22"/>
                <w:lang w:val="en-GB" w:eastAsia="en-GB"/>
              </w:rPr>
            </w:pPr>
            <w:r>
              <w:rPr>
                <w:rFonts w:cs="Arial"/>
                <w:color w:val="A6A6A6"/>
                <w:szCs w:val="22"/>
              </w:rPr>
              <w:t xml:space="preserve">63 </w:t>
            </w:r>
          </w:p>
        </w:tc>
        <w:tc>
          <w:tcPr>
            <w:tcW w:w="397" w:type="pct"/>
            <w:tcBorders>
              <w:top w:val="nil"/>
              <w:left w:val="nil"/>
              <w:bottom w:val="nil"/>
              <w:right w:val="nil"/>
            </w:tcBorders>
            <w:shd w:val="clear" w:color="000000" w:fill="D9D9D9"/>
            <w:noWrap/>
            <w:vAlign w:val="center"/>
            <w:hideMark/>
          </w:tcPr>
          <w:p w14:paraId="1D4AAC5F" w14:textId="4D579B40" w:rsidR="00F46DFB" w:rsidRPr="003B0B89" w:rsidRDefault="00F46DFB">
            <w:pPr>
              <w:jc w:val="right"/>
              <w:rPr>
                <w:rFonts w:eastAsia="Times New Roman" w:cs="Arial"/>
                <w:color w:val="424141"/>
                <w:szCs w:val="22"/>
                <w:lang w:val="en-GB" w:eastAsia="en-GB"/>
              </w:rPr>
            </w:pPr>
            <w:r>
              <w:rPr>
                <w:rFonts w:cs="Arial"/>
                <w:color w:val="424141"/>
                <w:szCs w:val="22"/>
              </w:rPr>
              <w:t xml:space="preserve">501 </w:t>
            </w:r>
          </w:p>
        </w:tc>
        <w:tc>
          <w:tcPr>
            <w:tcW w:w="397" w:type="pct"/>
            <w:tcBorders>
              <w:top w:val="nil"/>
              <w:left w:val="nil"/>
              <w:bottom w:val="nil"/>
              <w:right w:val="nil"/>
            </w:tcBorders>
            <w:shd w:val="clear" w:color="auto" w:fill="auto"/>
            <w:vAlign w:val="center"/>
            <w:hideMark/>
          </w:tcPr>
          <w:p w14:paraId="54C3798C" w14:textId="34EBB826" w:rsidR="00F46DFB" w:rsidRPr="003B0B89" w:rsidRDefault="00F46DFB">
            <w:pPr>
              <w:jc w:val="right"/>
              <w:rPr>
                <w:rFonts w:eastAsia="Times New Roman" w:cs="Arial"/>
                <w:color w:val="A6A6A6"/>
                <w:szCs w:val="22"/>
                <w:lang w:val="en-GB" w:eastAsia="en-GB"/>
              </w:rPr>
            </w:pPr>
            <w:r>
              <w:rPr>
                <w:rFonts w:cs="Arial"/>
                <w:color w:val="A6A6A6"/>
                <w:szCs w:val="22"/>
              </w:rPr>
              <w:t xml:space="preserve">380 </w:t>
            </w:r>
          </w:p>
        </w:tc>
        <w:tc>
          <w:tcPr>
            <w:tcW w:w="397" w:type="pct"/>
            <w:tcBorders>
              <w:top w:val="nil"/>
              <w:left w:val="nil"/>
              <w:bottom w:val="nil"/>
              <w:right w:val="nil"/>
            </w:tcBorders>
            <w:shd w:val="clear" w:color="000000" w:fill="D9D9D9"/>
            <w:noWrap/>
            <w:vAlign w:val="center"/>
            <w:hideMark/>
          </w:tcPr>
          <w:p w14:paraId="6A1AE32C" w14:textId="37542160" w:rsidR="00F46DFB" w:rsidRPr="003B0B89" w:rsidRDefault="00F46DFB">
            <w:pPr>
              <w:jc w:val="right"/>
              <w:rPr>
                <w:rFonts w:eastAsia="Times New Roman" w:cs="Arial"/>
                <w:color w:val="424141"/>
                <w:szCs w:val="22"/>
                <w:lang w:val="en-GB" w:eastAsia="en-GB"/>
              </w:rPr>
            </w:pPr>
            <w:r>
              <w:rPr>
                <w:rFonts w:cs="Arial"/>
                <w:color w:val="424141"/>
                <w:szCs w:val="22"/>
              </w:rPr>
              <w:t> </w:t>
            </w:r>
          </w:p>
        </w:tc>
        <w:tc>
          <w:tcPr>
            <w:tcW w:w="396" w:type="pct"/>
            <w:tcBorders>
              <w:top w:val="nil"/>
              <w:left w:val="nil"/>
              <w:bottom w:val="nil"/>
              <w:right w:val="nil"/>
            </w:tcBorders>
            <w:shd w:val="clear" w:color="auto" w:fill="auto"/>
            <w:vAlign w:val="center"/>
            <w:hideMark/>
          </w:tcPr>
          <w:p w14:paraId="2489FDBB" w14:textId="77777777" w:rsidR="00F46DFB" w:rsidRPr="003B0B89" w:rsidRDefault="00F46DFB">
            <w:pPr>
              <w:jc w:val="right"/>
              <w:rPr>
                <w:rFonts w:eastAsia="Times New Roman" w:cs="Arial"/>
                <w:color w:val="424141"/>
                <w:szCs w:val="22"/>
                <w:lang w:val="en-GB" w:eastAsia="en-GB"/>
              </w:rPr>
            </w:pPr>
          </w:p>
        </w:tc>
        <w:tc>
          <w:tcPr>
            <w:tcW w:w="398" w:type="pct"/>
            <w:tcBorders>
              <w:top w:val="nil"/>
              <w:left w:val="nil"/>
              <w:bottom w:val="nil"/>
              <w:right w:val="nil"/>
            </w:tcBorders>
            <w:shd w:val="clear" w:color="000000" w:fill="D9D9D9"/>
            <w:noWrap/>
            <w:vAlign w:val="center"/>
            <w:hideMark/>
          </w:tcPr>
          <w:p w14:paraId="5CD7B43E" w14:textId="520451BC" w:rsidR="00F46DFB" w:rsidRPr="003B0B89" w:rsidRDefault="00F46DFB">
            <w:pPr>
              <w:jc w:val="right"/>
              <w:rPr>
                <w:rFonts w:eastAsia="Times New Roman" w:cs="Arial"/>
                <w:color w:val="424141"/>
                <w:szCs w:val="22"/>
                <w:lang w:val="en-GB" w:eastAsia="en-GB"/>
              </w:rPr>
            </w:pPr>
            <w:r>
              <w:rPr>
                <w:rFonts w:cs="Arial"/>
                <w:color w:val="424141"/>
                <w:szCs w:val="22"/>
              </w:rPr>
              <w:t xml:space="preserve">561 </w:t>
            </w:r>
          </w:p>
        </w:tc>
        <w:tc>
          <w:tcPr>
            <w:tcW w:w="386" w:type="pct"/>
            <w:tcBorders>
              <w:top w:val="nil"/>
              <w:left w:val="nil"/>
              <w:bottom w:val="nil"/>
              <w:right w:val="nil"/>
            </w:tcBorders>
            <w:shd w:val="clear" w:color="auto" w:fill="auto"/>
            <w:vAlign w:val="center"/>
            <w:hideMark/>
          </w:tcPr>
          <w:p w14:paraId="5A2A8909" w14:textId="0AC08187" w:rsidR="00F46DFB" w:rsidRPr="003B0B89" w:rsidRDefault="00F46DFB">
            <w:pPr>
              <w:jc w:val="right"/>
              <w:rPr>
                <w:rFonts w:eastAsia="Times New Roman" w:cs="Arial"/>
                <w:color w:val="A6A6A6"/>
                <w:szCs w:val="22"/>
                <w:lang w:val="en-GB" w:eastAsia="en-GB"/>
              </w:rPr>
            </w:pPr>
            <w:r>
              <w:rPr>
                <w:rFonts w:cs="Arial"/>
                <w:color w:val="A6A6A6"/>
                <w:szCs w:val="22"/>
              </w:rPr>
              <w:t xml:space="preserve">443 </w:t>
            </w:r>
          </w:p>
        </w:tc>
      </w:tr>
      <w:tr w:rsidR="00F46DFB" w:rsidRPr="003B0B89" w14:paraId="216185BA" w14:textId="77777777" w:rsidTr="002420A7">
        <w:trPr>
          <w:trHeight w:val="293"/>
        </w:trPr>
        <w:tc>
          <w:tcPr>
            <w:tcW w:w="1488" w:type="pct"/>
            <w:tcBorders>
              <w:top w:val="nil"/>
              <w:left w:val="nil"/>
              <w:bottom w:val="nil"/>
              <w:right w:val="nil"/>
            </w:tcBorders>
            <w:shd w:val="clear" w:color="auto" w:fill="auto"/>
            <w:noWrap/>
            <w:vAlign w:val="center"/>
            <w:hideMark/>
          </w:tcPr>
          <w:p w14:paraId="76C2FFE8" w14:textId="77777777" w:rsidR="00F46DFB" w:rsidRPr="003B0B89" w:rsidRDefault="00F46DFB" w:rsidP="00F46DFB">
            <w:pPr>
              <w:rPr>
                <w:rFonts w:eastAsia="Times New Roman" w:cs="Arial"/>
                <w:color w:val="424141"/>
                <w:szCs w:val="22"/>
                <w:lang w:val="en-GB" w:eastAsia="en-GB"/>
              </w:rPr>
            </w:pPr>
            <w:r w:rsidRPr="003B0B89">
              <w:rPr>
                <w:rFonts w:eastAsia="Times New Roman" w:cs="Arial"/>
                <w:color w:val="424141"/>
                <w:szCs w:val="22"/>
                <w:lang w:val="en-GB" w:eastAsia="en-GB"/>
              </w:rPr>
              <w:t>Investments</w:t>
            </w:r>
          </w:p>
        </w:tc>
        <w:tc>
          <w:tcPr>
            <w:tcW w:w="297" w:type="pct"/>
            <w:tcBorders>
              <w:top w:val="nil"/>
              <w:left w:val="nil"/>
              <w:bottom w:val="nil"/>
              <w:right w:val="nil"/>
            </w:tcBorders>
            <w:shd w:val="clear" w:color="auto" w:fill="auto"/>
            <w:noWrap/>
            <w:vAlign w:val="center"/>
            <w:hideMark/>
          </w:tcPr>
          <w:p w14:paraId="31E05F3E" w14:textId="77777777" w:rsidR="00F46DFB" w:rsidRPr="003B0B89" w:rsidRDefault="00F46DFB" w:rsidP="00F46DFB">
            <w:pPr>
              <w:jc w:val="right"/>
              <w:rPr>
                <w:rFonts w:eastAsia="Times New Roman" w:cs="Arial"/>
                <w:color w:val="424141"/>
                <w:szCs w:val="22"/>
                <w:lang w:val="en-GB" w:eastAsia="en-GB"/>
              </w:rPr>
            </w:pPr>
            <w:r w:rsidRPr="003B0B89">
              <w:rPr>
                <w:rFonts w:eastAsia="Times New Roman" w:cs="Arial"/>
                <w:color w:val="424141"/>
                <w:szCs w:val="22"/>
                <w:lang w:val="en-GB" w:eastAsia="en-GB"/>
              </w:rPr>
              <w:t>7</w:t>
            </w:r>
          </w:p>
        </w:tc>
        <w:tc>
          <w:tcPr>
            <w:tcW w:w="447" w:type="pct"/>
            <w:tcBorders>
              <w:top w:val="nil"/>
              <w:left w:val="nil"/>
              <w:bottom w:val="single" w:sz="8" w:space="0" w:color="auto"/>
              <w:right w:val="nil"/>
            </w:tcBorders>
            <w:shd w:val="clear" w:color="000000" w:fill="D9D9D9"/>
            <w:noWrap/>
            <w:vAlign w:val="center"/>
            <w:hideMark/>
          </w:tcPr>
          <w:p w14:paraId="07B2A006" w14:textId="1635BE8F" w:rsidR="00F46DFB" w:rsidRPr="003B0B89" w:rsidRDefault="00F46DFB">
            <w:pPr>
              <w:jc w:val="right"/>
              <w:rPr>
                <w:rFonts w:eastAsia="Times New Roman" w:cs="Arial"/>
                <w:color w:val="424141"/>
                <w:szCs w:val="22"/>
                <w:lang w:val="en-GB" w:eastAsia="en-GB"/>
              </w:rPr>
            </w:pPr>
            <w:r>
              <w:rPr>
                <w:rFonts w:cs="Arial"/>
                <w:color w:val="424141"/>
                <w:szCs w:val="22"/>
              </w:rPr>
              <w:t xml:space="preserve">189 </w:t>
            </w:r>
          </w:p>
        </w:tc>
        <w:tc>
          <w:tcPr>
            <w:tcW w:w="397" w:type="pct"/>
            <w:tcBorders>
              <w:top w:val="nil"/>
              <w:left w:val="nil"/>
              <w:bottom w:val="single" w:sz="8" w:space="0" w:color="auto"/>
              <w:right w:val="nil"/>
            </w:tcBorders>
            <w:shd w:val="clear" w:color="auto" w:fill="auto"/>
            <w:vAlign w:val="center"/>
            <w:hideMark/>
          </w:tcPr>
          <w:p w14:paraId="6AB1B921" w14:textId="26DC355D" w:rsidR="00F46DFB" w:rsidRPr="003B0B89" w:rsidRDefault="00F46DFB">
            <w:pPr>
              <w:jc w:val="right"/>
              <w:rPr>
                <w:rFonts w:eastAsia="Times New Roman" w:cs="Arial"/>
                <w:color w:val="A6A6A6"/>
                <w:szCs w:val="22"/>
                <w:lang w:val="en-GB" w:eastAsia="en-GB"/>
              </w:rPr>
            </w:pPr>
            <w:r>
              <w:rPr>
                <w:rFonts w:cs="Arial"/>
                <w:color w:val="A6A6A6"/>
                <w:szCs w:val="22"/>
              </w:rPr>
              <w:t xml:space="preserve">244 </w:t>
            </w:r>
          </w:p>
        </w:tc>
        <w:tc>
          <w:tcPr>
            <w:tcW w:w="397" w:type="pct"/>
            <w:tcBorders>
              <w:top w:val="nil"/>
              <w:left w:val="nil"/>
              <w:bottom w:val="single" w:sz="8" w:space="0" w:color="auto"/>
              <w:right w:val="nil"/>
            </w:tcBorders>
            <w:shd w:val="clear" w:color="000000" w:fill="D9D9D9"/>
            <w:noWrap/>
            <w:vAlign w:val="center"/>
            <w:hideMark/>
          </w:tcPr>
          <w:p w14:paraId="3F18149C" w14:textId="68F7FA36" w:rsidR="00F46DFB" w:rsidRPr="003B0B89" w:rsidRDefault="00F46DFB">
            <w:pPr>
              <w:jc w:val="right"/>
              <w:rPr>
                <w:rFonts w:eastAsia="Times New Roman" w:cs="Arial"/>
                <w:color w:val="424141"/>
                <w:szCs w:val="22"/>
                <w:lang w:val="en-GB" w:eastAsia="en-GB"/>
              </w:rPr>
            </w:pPr>
            <w:r>
              <w:rPr>
                <w:rFonts w:cs="Arial"/>
                <w:color w:val="424141"/>
                <w:szCs w:val="22"/>
              </w:rPr>
              <w:t xml:space="preserve">225 </w:t>
            </w:r>
          </w:p>
        </w:tc>
        <w:tc>
          <w:tcPr>
            <w:tcW w:w="397" w:type="pct"/>
            <w:tcBorders>
              <w:top w:val="nil"/>
              <w:left w:val="nil"/>
              <w:bottom w:val="single" w:sz="8" w:space="0" w:color="auto"/>
              <w:right w:val="nil"/>
            </w:tcBorders>
            <w:shd w:val="clear" w:color="auto" w:fill="auto"/>
            <w:vAlign w:val="center"/>
            <w:hideMark/>
          </w:tcPr>
          <w:p w14:paraId="19DB748C" w14:textId="0C46EA1F" w:rsidR="00F46DFB" w:rsidRPr="003B0B89" w:rsidRDefault="00F46DFB">
            <w:pPr>
              <w:jc w:val="right"/>
              <w:rPr>
                <w:rFonts w:eastAsia="Times New Roman" w:cs="Arial"/>
                <w:color w:val="A6A6A6"/>
                <w:szCs w:val="22"/>
                <w:lang w:val="en-GB" w:eastAsia="en-GB"/>
              </w:rPr>
            </w:pPr>
            <w:r>
              <w:rPr>
                <w:rFonts w:cs="Arial"/>
                <w:color w:val="A6A6A6"/>
                <w:szCs w:val="22"/>
              </w:rPr>
              <w:t xml:space="preserve">164 </w:t>
            </w:r>
          </w:p>
        </w:tc>
        <w:tc>
          <w:tcPr>
            <w:tcW w:w="397" w:type="pct"/>
            <w:tcBorders>
              <w:top w:val="nil"/>
              <w:left w:val="nil"/>
              <w:bottom w:val="single" w:sz="8" w:space="0" w:color="auto"/>
              <w:right w:val="nil"/>
            </w:tcBorders>
            <w:shd w:val="clear" w:color="000000" w:fill="D9D9D9"/>
            <w:noWrap/>
            <w:vAlign w:val="center"/>
            <w:hideMark/>
          </w:tcPr>
          <w:p w14:paraId="1312EA77" w14:textId="6ED7C218" w:rsidR="00F46DFB" w:rsidRPr="003B0B89" w:rsidRDefault="00F46DFB">
            <w:pPr>
              <w:jc w:val="right"/>
              <w:rPr>
                <w:rFonts w:eastAsia="Times New Roman" w:cs="Arial"/>
                <w:color w:val="424141"/>
                <w:szCs w:val="22"/>
                <w:lang w:val="en-GB" w:eastAsia="en-GB"/>
              </w:rPr>
            </w:pPr>
            <w:r>
              <w:rPr>
                <w:rFonts w:cs="Arial"/>
                <w:color w:val="424141"/>
                <w:szCs w:val="22"/>
              </w:rPr>
              <w:t> </w:t>
            </w:r>
          </w:p>
        </w:tc>
        <w:tc>
          <w:tcPr>
            <w:tcW w:w="396" w:type="pct"/>
            <w:tcBorders>
              <w:top w:val="nil"/>
              <w:left w:val="nil"/>
              <w:bottom w:val="single" w:sz="8" w:space="0" w:color="auto"/>
              <w:right w:val="nil"/>
            </w:tcBorders>
            <w:shd w:val="clear" w:color="auto" w:fill="auto"/>
            <w:vAlign w:val="center"/>
            <w:hideMark/>
          </w:tcPr>
          <w:p w14:paraId="57B99545" w14:textId="663DF4DF" w:rsidR="00F46DFB" w:rsidRPr="003B0B89" w:rsidRDefault="00F46DFB">
            <w:pPr>
              <w:jc w:val="right"/>
              <w:rPr>
                <w:rFonts w:eastAsia="Times New Roman" w:cs="Arial"/>
                <w:color w:val="A6A6A6"/>
                <w:szCs w:val="22"/>
                <w:lang w:val="en-GB" w:eastAsia="en-GB"/>
              </w:rPr>
            </w:pPr>
            <w:r>
              <w:rPr>
                <w:rFonts w:cs="Arial"/>
                <w:color w:val="A6A6A6"/>
                <w:szCs w:val="22"/>
              </w:rPr>
              <w:t> </w:t>
            </w:r>
          </w:p>
        </w:tc>
        <w:tc>
          <w:tcPr>
            <w:tcW w:w="398" w:type="pct"/>
            <w:tcBorders>
              <w:top w:val="nil"/>
              <w:left w:val="nil"/>
              <w:bottom w:val="single" w:sz="8" w:space="0" w:color="auto"/>
              <w:right w:val="nil"/>
            </w:tcBorders>
            <w:shd w:val="clear" w:color="000000" w:fill="D9D9D9"/>
            <w:noWrap/>
            <w:vAlign w:val="center"/>
            <w:hideMark/>
          </w:tcPr>
          <w:p w14:paraId="05A06132" w14:textId="17906E72" w:rsidR="00F46DFB" w:rsidRPr="003B0B89" w:rsidRDefault="00F46DFB">
            <w:pPr>
              <w:jc w:val="right"/>
              <w:rPr>
                <w:rFonts w:eastAsia="Times New Roman" w:cs="Arial"/>
                <w:color w:val="424141"/>
                <w:szCs w:val="22"/>
                <w:lang w:val="en-GB" w:eastAsia="en-GB"/>
              </w:rPr>
            </w:pPr>
            <w:r>
              <w:rPr>
                <w:rFonts w:cs="Arial"/>
                <w:color w:val="424141"/>
                <w:szCs w:val="22"/>
              </w:rPr>
              <w:t xml:space="preserve">414 </w:t>
            </w:r>
          </w:p>
        </w:tc>
        <w:tc>
          <w:tcPr>
            <w:tcW w:w="386" w:type="pct"/>
            <w:tcBorders>
              <w:top w:val="nil"/>
              <w:left w:val="nil"/>
              <w:bottom w:val="single" w:sz="8" w:space="0" w:color="auto"/>
              <w:right w:val="nil"/>
            </w:tcBorders>
            <w:shd w:val="clear" w:color="auto" w:fill="auto"/>
            <w:vAlign w:val="center"/>
            <w:hideMark/>
          </w:tcPr>
          <w:p w14:paraId="74BD6891" w14:textId="1AE9D452" w:rsidR="00F46DFB" w:rsidRPr="003B0B89" w:rsidRDefault="00F46DFB">
            <w:pPr>
              <w:jc w:val="right"/>
              <w:rPr>
                <w:rFonts w:eastAsia="Times New Roman" w:cs="Arial"/>
                <w:color w:val="A6A6A6"/>
                <w:szCs w:val="22"/>
                <w:lang w:val="en-GB" w:eastAsia="en-GB"/>
              </w:rPr>
            </w:pPr>
            <w:r>
              <w:rPr>
                <w:rFonts w:cs="Arial"/>
                <w:color w:val="A6A6A6"/>
                <w:szCs w:val="22"/>
              </w:rPr>
              <w:t xml:space="preserve">408 </w:t>
            </w:r>
          </w:p>
        </w:tc>
      </w:tr>
      <w:tr w:rsidR="00F46DFB" w:rsidRPr="003B0B89" w14:paraId="51E9898A" w14:textId="77777777" w:rsidTr="002420A7">
        <w:trPr>
          <w:trHeight w:val="285"/>
        </w:trPr>
        <w:tc>
          <w:tcPr>
            <w:tcW w:w="1488" w:type="pct"/>
            <w:tcBorders>
              <w:top w:val="nil"/>
              <w:left w:val="nil"/>
              <w:bottom w:val="nil"/>
              <w:right w:val="nil"/>
            </w:tcBorders>
            <w:shd w:val="clear" w:color="auto" w:fill="auto"/>
            <w:noWrap/>
            <w:vAlign w:val="center"/>
            <w:hideMark/>
          </w:tcPr>
          <w:p w14:paraId="3553FE92" w14:textId="77777777" w:rsidR="00F46DFB" w:rsidRPr="003B0B89" w:rsidRDefault="00F46DFB" w:rsidP="00F46DFB">
            <w:pPr>
              <w:rPr>
                <w:rFonts w:eastAsia="Times New Roman" w:cs="Arial"/>
                <w:b/>
                <w:bCs/>
                <w:color w:val="424141"/>
                <w:szCs w:val="22"/>
                <w:lang w:val="en-GB" w:eastAsia="en-GB"/>
              </w:rPr>
            </w:pPr>
            <w:r w:rsidRPr="003B0B89">
              <w:rPr>
                <w:rFonts w:eastAsia="Times New Roman" w:cs="Arial"/>
                <w:b/>
                <w:bCs/>
                <w:color w:val="424141"/>
                <w:szCs w:val="22"/>
                <w:lang w:val="en-GB" w:eastAsia="en-GB"/>
              </w:rPr>
              <w:t>Total incoming resources</w:t>
            </w:r>
          </w:p>
        </w:tc>
        <w:tc>
          <w:tcPr>
            <w:tcW w:w="297" w:type="pct"/>
            <w:tcBorders>
              <w:top w:val="nil"/>
              <w:left w:val="nil"/>
              <w:bottom w:val="nil"/>
              <w:right w:val="nil"/>
            </w:tcBorders>
            <w:shd w:val="clear" w:color="auto" w:fill="auto"/>
            <w:noWrap/>
            <w:vAlign w:val="center"/>
            <w:hideMark/>
          </w:tcPr>
          <w:p w14:paraId="725A043F" w14:textId="77777777" w:rsidR="00F46DFB" w:rsidRPr="003B0B89" w:rsidRDefault="00F46DFB" w:rsidP="00F46DFB">
            <w:pPr>
              <w:rPr>
                <w:rFonts w:eastAsia="Times New Roman" w:cs="Arial"/>
                <w:b/>
                <w:bCs/>
                <w:color w:val="424141"/>
                <w:szCs w:val="22"/>
                <w:lang w:val="en-GB" w:eastAsia="en-GB"/>
              </w:rPr>
            </w:pPr>
          </w:p>
        </w:tc>
        <w:tc>
          <w:tcPr>
            <w:tcW w:w="447" w:type="pct"/>
            <w:tcBorders>
              <w:top w:val="nil"/>
              <w:left w:val="nil"/>
              <w:bottom w:val="nil"/>
              <w:right w:val="nil"/>
            </w:tcBorders>
            <w:shd w:val="clear" w:color="000000" w:fill="D9D9D9"/>
            <w:noWrap/>
            <w:vAlign w:val="center"/>
            <w:hideMark/>
          </w:tcPr>
          <w:p w14:paraId="0261E398" w14:textId="1C439EE6" w:rsidR="00F46DFB" w:rsidRPr="003B0B89" w:rsidRDefault="00F46DFB">
            <w:pPr>
              <w:jc w:val="right"/>
              <w:rPr>
                <w:rFonts w:eastAsia="Times New Roman" w:cs="Arial"/>
                <w:b/>
                <w:bCs/>
                <w:color w:val="424141"/>
                <w:szCs w:val="22"/>
                <w:lang w:val="en-GB" w:eastAsia="en-GB"/>
              </w:rPr>
            </w:pPr>
            <w:r>
              <w:rPr>
                <w:rFonts w:cs="Arial"/>
                <w:b/>
                <w:bCs/>
                <w:color w:val="424141"/>
                <w:szCs w:val="22"/>
              </w:rPr>
              <w:t>1,</w:t>
            </w:r>
            <w:r w:rsidR="00B67B5E">
              <w:rPr>
                <w:rFonts w:cs="Arial"/>
                <w:b/>
                <w:bCs/>
                <w:color w:val="424141"/>
                <w:szCs w:val="22"/>
              </w:rPr>
              <w:t>07</w:t>
            </w:r>
            <w:r>
              <w:rPr>
                <w:rFonts w:cs="Arial"/>
                <w:b/>
                <w:bCs/>
                <w:color w:val="424141"/>
                <w:szCs w:val="22"/>
              </w:rPr>
              <w:t xml:space="preserve">8 </w:t>
            </w:r>
          </w:p>
        </w:tc>
        <w:tc>
          <w:tcPr>
            <w:tcW w:w="397" w:type="pct"/>
            <w:tcBorders>
              <w:top w:val="nil"/>
              <w:left w:val="nil"/>
              <w:bottom w:val="nil"/>
              <w:right w:val="nil"/>
            </w:tcBorders>
            <w:shd w:val="clear" w:color="auto" w:fill="auto"/>
            <w:vAlign w:val="center"/>
            <w:hideMark/>
          </w:tcPr>
          <w:p w14:paraId="0064F7B1" w14:textId="1C100E9F" w:rsidR="00F46DFB" w:rsidRPr="003B0B89" w:rsidRDefault="00F46DFB">
            <w:pPr>
              <w:jc w:val="right"/>
              <w:rPr>
                <w:rFonts w:eastAsia="Times New Roman" w:cs="Arial"/>
                <w:color w:val="A6A6A6"/>
                <w:szCs w:val="22"/>
                <w:lang w:val="en-GB" w:eastAsia="en-GB"/>
              </w:rPr>
            </w:pPr>
            <w:r>
              <w:rPr>
                <w:rFonts w:cs="Arial"/>
                <w:color w:val="A6A6A6"/>
                <w:szCs w:val="22"/>
              </w:rPr>
              <w:t xml:space="preserve">1,122 </w:t>
            </w:r>
          </w:p>
        </w:tc>
        <w:tc>
          <w:tcPr>
            <w:tcW w:w="397" w:type="pct"/>
            <w:tcBorders>
              <w:top w:val="nil"/>
              <w:left w:val="nil"/>
              <w:bottom w:val="nil"/>
              <w:right w:val="nil"/>
            </w:tcBorders>
            <w:shd w:val="clear" w:color="000000" w:fill="D9D9D9"/>
            <w:noWrap/>
            <w:vAlign w:val="center"/>
            <w:hideMark/>
          </w:tcPr>
          <w:p w14:paraId="3C7F00FE" w14:textId="69339885" w:rsidR="00F46DFB" w:rsidRPr="003B0B89" w:rsidRDefault="00F46DFB">
            <w:pPr>
              <w:jc w:val="right"/>
              <w:rPr>
                <w:rFonts w:eastAsia="Times New Roman" w:cs="Arial"/>
                <w:b/>
                <w:bCs/>
                <w:color w:val="424141"/>
                <w:szCs w:val="22"/>
                <w:lang w:val="en-GB" w:eastAsia="en-GB"/>
              </w:rPr>
            </w:pPr>
            <w:r>
              <w:rPr>
                <w:rFonts w:cs="Arial"/>
                <w:b/>
                <w:bCs/>
                <w:color w:val="424141"/>
                <w:szCs w:val="22"/>
              </w:rPr>
              <w:t>1,7</w:t>
            </w:r>
            <w:r w:rsidR="00B67B5E">
              <w:rPr>
                <w:rFonts w:cs="Arial"/>
                <w:b/>
                <w:bCs/>
                <w:color w:val="424141"/>
                <w:szCs w:val="22"/>
              </w:rPr>
              <w:t>3</w:t>
            </w:r>
            <w:r>
              <w:rPr>
                <w:rFonts w:cs="Arial"/>
                <w:b/>
                <w:bCs/>
                <w:color w:val="424141"/>
                <w:szCs w:val="22"/>
              </w:rPr>
              <w:t xml:space="preserve">8 </w:t>
            </w:r>
          </w:p>
        </w:tc>
        <w:tc>
          <w:tcPr>
            <w:tcW w:w="397" w:type="pct"/>
            <w:tcBorders>
              <w:top w:val="nil"/>
              <w:left w:val="nil"/>
              <w:bottom w:val="nil"/>
              <w:right w:val="nil"/>
            </w:tcBorders>
            <w:shd w:val="clear" w:color="auto" w:fill="auto"/>
            <w:vAlign w:val="center"/>
            <w:hideMark/>
          </w:tcPr>
          <w:p w14:paraId="6F55E9E1" w14:textId="3B277E5F" w:rsidR="00F46DFB" w:rsidRPr="003B0B89" w:rsidRDefault="00F46DFB">
            <w:pPr>
              <w:jc w:val="right"/>
              <w:rPr>
                <w:rFonts w:eastAsia="Times New Roman" w:cs="Arial"/>
                <w:color w:val="A6A6A6"/>
                <w:szCs w:val="22"/>
                <w:lang w:val="en-GB" w:eastAsia="en-GB"/>
              </w:rPr>
            </w:pPr>
            <w:r>
              <w:rPr>
                <w:rFonts w:cs="Arial"/>
                <w:color w:val="A6A6A6"/>
                <w:szCs w:val="22"/>
              </w:rPr>
              <w:t xml:space="preserve">1,675 </w:t>
            </w:r>
          </w:p>
        </w:tc>
        <w:tc>
          <w:tcPr>
            <w:tcW w:w="397" w:type="pct"/>
            <w:tcBorders>
              <w:top w:val="nil"/>
              <w:left w:val="nil"/>
              <w:bottom w:val="nil"/>
              <w:right w:val="nil"/>
            </w:tcBorders>
            <w:shd w:val="clear" w:color="000000" w:fill="D9D9D9"/>
            <w:noWrap/>
            <w:vAlign w:val="center"/>
            <w:hideMark/>
          </w:tcPr>
          <w:p w14:paraId="4DFA55F9" w14:textId="7527DD52" w:rsidR="00F46DFB" w:rsidRPr="003B0B89" w:rsidRDefault="00F46DFB">
            <w:pPr>
              <w:jc w:val="right"/>
              <w:rPr>
                <w:rFonts w:eastAsia="Times New Roman" w:cs="Arial"/>
                <w:b/>
                <w:bCs/>
                <w:color w:val="424141"/>
                <w:szCs w:val="22"/>
                <w:lang w:val="en-GB" w:eastAsia="en-GB"/>
              </w:rPr>
            </w:pPr>
          </w:p>
        </w:tc>
        <w:tc>
          <w:tcPr>
            <w:tcW w:w="396" w:type="pct"/>
            <w:tcBorders>
              <w:top w:val="nil"/>
              <w:left w:val="nil"/>
              <w:bottom w:val="nil"/>
              <w:right w:val="nil"/>
            </w:tcBorders>
            <w:shd w:val="clear" w:color="auto" w:fill="auto"/>
            <w:vAlign w:val="center"/>
            <w:hideMark/>
          </w:tcPr>
          <w:p w14:paraId="17C10767" w14:textId="156298B0" w:rsidR="00F46DFB" w:rsidRPr="003B0B89" w:rsidRDefault="00F46DFB">
            <w:pPr>
              <w:jc w:val="right"/>
              <w:rPr>
                <w:rFonts w:eastAsia="Times New Roman" w:cs="Arial"/>
                <w:color w:val="A6A6A6"/>
                <w:szCs w:val="22"/>
                <w:lang w:val="en-GB" w:eastAsia="en-GB"/>
              </w:rPr>
            </w:pPr>
          </w:p>
        </w:tc>
        <w:tc>
          <w:tcPr>
            <w:tcW w:w="398" w:type="pct"/>
            <w:tcBorders>
              <w:top w:val="single" w:sz="4" w:space="0" w:color="auto"/>
              <w:left w:val="nil"/>
              <w:bottom w:val="nil"/>
              <w:right w:val="nil"/>
            </w:tcBorders>
            <w:shd w:val="clear" w:color="000000" w:fill="D9D9D9"/>
            <w:noWrap/>
            <w:vAlign w:val="center"/>
            <w:hideMark/>
          </w:tcPr>
          <w:p w14:paraId="6345BB01" w14:textId="54112908" w:rsidR="00F46DFB" w:rsidRPr="003B0B89" w:rsidRDefault="00FE3AA5">
            <w:pPr>
              <w:jc w:val="right"/>
              <w:rPr>
                <w:rFonts w:eastAsia="Times New Roman" w:cs="Arial"/>
                <w:b/>
                <w:bCs/>
                <w:color w:val="424141"/>
                <w:szCs w:val="22"/>
                <w:lang w:val="en-GB" w:eastAsia="en-GB"/>
              </w:rPr>
            </w:pPr>
            <w:r w:rsidRPr="00BF2304">
              <w:rPr>
                <w:rFonts w:cs="Arial"/>
                <w:b/>
                <w:bCs/>
                <w:szCs w:val="22"/>
              </w:rPr>
              <w:t>2,816</w:t>
            </w:r>
          </w:p>
        </w:tc>
        <w:tc>
          <w:tcPr>
            <w:tcW w:w="386" w:type="pct"/>
            <w:tcBorders>
              <w:top w:val="nil"/>
              <w:left w:val="nil"/>
              <w:bottom w:val="nil"/>
              <w:right w:val="nil"/>
            </w:tcBorders>
            <w:shd w:val="clear" w:color="auto" w:fill="auto"/>
            <w:vAlign w:val="center"/>
            <w:hideMark/>
          </w:tcPr>
          <w:p w14:paraId="0524053C" w14:textId="452BCBDD" w:rsidR="00F46DFB" w:rsidRPr="003B0B89" w:rsidRDefault="00F46DFB">
            <w:pPr>
              <w:jc w:val="right"/>
              <w:rPr>
                <w:rFonts w:eastAsia="Times New Roman" w:cs="Arial"/>
                <w:color w:val="A6A6A6"/>
                <w:szCs w:val="22"/>
                <w:lang w:val="en-GB" w:eastAsia="en-GB"/>
              </w:rPr>
            </w:pPr>
            <w:r>
              <w:rPr>
                <w:rFonts w:cs="Arial"/>
                <w:color w:val="A6A6A6"/>
                <w:szCs w:val="22"/>
              </w:rPr>
              <w:t xml:space="preserve">2,797 </w:t>
            </w:r>
          </w:p>
        </w:tc>
      </w:tr>
      <w:tr w:rsidR="00F46DFB" w:rsidRPr="003B0B89" w14:paraId="7BFB5D9C" w14:textId="77777777" w:rsidTr="002420A7">
        <w:trPr>
          <w:trHeight w:val="285"/>
        </w:trPr>
        <w:tc>
          <w:tcPr>
            <w:tcW w:w="1488" w:type="pct"/>
            <w:tcBorders>
              <w:top w:val="nil"/>
              <w:left w:val="nil"/>
              <w:bottom w:val="nil"/>
              <w:right w:val="nil"/>
            </w:tcBorders>
            <w:shd w:val="clear" w:color="auto" w:fill="auto"/>
            <w:noWrap/>
            <w:vAlign w:val="center"/>
            <w:hideMark/>
          </w:tcPr>
          <w:p w14:paraId="074E5C90" w14:textId="77777777" w:rsidR="00F46DFB" w:rsidRPr="003B0B89" w:rsidRDefault="00F46DFB" w:rsidP="00F46DFB">
            <w:pPr>
              <w:rPr>
                <w:rFonts w:eastAsia="Times New Roman" w:cs="Arial"/>
                <w:b/>
                <w:bCs/>
                <w:color w:val="424141"/>
                <w:szCs w:val="22"/>
                <w:lang w:val="en-GB" w:eastAsia="en-GB"/>
              </w:rPr>
            </w:pPr>
            <w:r w:rsidRPr="003B0B89">
              <w:rPr>
                <w:rFonts w:eastAsia="Times New Roman" w:cs="Arial"/>
                <w:b/>
                <w:bCs/>
                <w:color w:val="424141"/>
                <w:szCs w:val="22"/>
                <w:lang w:val="en-GB" w:eastAsia="en-GB"/>
              </w:rPr>
              <w:t>Expenditure on:</w:t>
            </w:r>
          </w:p>
        </w:tc>
        <w:tc>
          <w:tcPr>
            <w:tcW w:w="297" w:type="pct"/>
            <w:tcBorders>
              <w:top w:val="nil"/>
              <w:left w:val="nil"/>
              <w:bottom w:val="nil"/>
              <w:right w:val="nil"/>
            </w:tcBorders>
            <w:shd w:val="clear" w:color="auto" w:fill="auto"/>
            <w:noWrap/>
            <w:vAlign w:val="center"/>
            <w:hideMark/>
          </w:tcPr>
          <w:p w14:paraId="6441A33A" w14:textId="77777777" w:rsidR="00F46DFB" w:rsidRPr="003B0B89" w:rsidRDefault="00F46DFB" w:rsidP="00F46DFB">
            <w:pPr>
              <w:rPr>
                <w:rFonts w:eastAsia="Times New Roman" w:cs="Arial"/>
                <w:b/>
                <w:bCs/>
                <w:color w:val="424141"/>
                <w:szCs w:val="22"/>
                <w:lang w:val="en-GB" w:eastAsia="en-GB"/>
              </w:rPr>
            </w:pPr>
          </w:p>
        </w:tc>
        <w:tc>
          <w:tcPr>
            <w:tcW w:w="447" w:type="pct"/>
            <w:tcBorders>
              <w:top w:val="nil"/>
              <w:left w:val="nil"/>
              <w:bottom w:val="nil"/>
              <w:right w:val="nil"/>
            </w:tcBorders>
            <w:shd w:val="clear" w:color="000000" w:fill="D9D9D9"/>
            <w:noWrap/>
            <w:vAlign w:val="center"/>
            <w:hideMark/>
          </w:tcPr>
          <w:p w14:paraId="451FDAA3" w14:textId="46CBF615" w:rsidR="00F46DFB" w:rsidRPr="003B0B89" w:rsidRDefault="00F46DFB">
            <w:pPr>
              <w:jc w:val="right"/>
              <w:rPr>
                <w:rFonts w:eastAsia="Times New Roman" w:cs="Arial"/>
                <w:color w:val="424141"/>
                <w:szCs w:val="22"/>
                <w:lang w:val="en-GB" w:eastAsia="en-GB"/>
              </w:rPr>
            </w:pPr>
            <w:r>
              <w:rPr>
                <w:rFonts w:cs="Arial"/>
                <w:color w:val="424141"/>
                <w:szCs w:val="22"/>
              </w:rPr>
              <w:t> </w:t>
            </w:r>
          </w:p>
        </w:tc>
        <w:tc>
          <w:tcPr>
            <w:tcW w:w="397" w:type="pct"/>
            <w:tcBorders>
              <w:top w:val="nil"/>
              <w:left w:val="nil"/>
              <w:bottom w:val="nil"/>
              <w:right w:val="nil"/>
            </w:tcBorders>
            <w:shd w:val="clear" w:color="auto" w:fill="auto"/>
            <w:vAlign w:val="center"/>
            <w:hideMark/>
          </w:tcPr>
          <w:p w14:paraId="72136EA3" w14:textId="77777777" w:rsidR="00F46DFB" w:rsidRPr="003B0B89" w:rsidRDefault="00F46DFB">
            <w:pPr>
              <w:jc w:val="right"/>
              <w:rPr>
                <w:rFonts w:eastAsia="Times New Roman" w:cs="Arial"/>
                <w:color w:val="424141"/>
                <w:szCs w:val="22"/>
                <w:lang w:val="en-GB" w:eastAsia="en-GB"/>
              </w:rPr>
            </w:pPr>
          </w:p>
        </w:tc>
        <w:tc>
          <w:tcPr>
            <w:tcW w:w="397" w:type="pct"/>
            <w:tcBorders>
              <w:top w:val="nil"/>
              <w:left w:val="nil"/>
              <w:bottom w:val="nil"/>
              <w:right w:val="nil"/>
            </w:tcBorders>
            <w:shd w:val="clear" w:color="000000" w:fill="D9D9D9"/>
            <w:noWrap/>
            <w:vAlign w:val="center"/>
            <w:hideMark/>
          </w:tcPr>
          <w:p w14:paraId="6E8851BB" w14:textId="19AC5920" w:rsidR="00F46DFB" w:rsidRPr="003B0B89" w:rsidRDefault="00F46DFB">
            <w:pPr>
              <w:jc w:val="right"/>
              <w:rPr>
                <w:rFonts w:eastAsia="Times New Roman" w:cs="Arial"/>
                <w:color w:val="424141"/>
                <w:szCs w:val="22"/>
                <w:lang w:val="en-GB" w:eastAsia="en-GB"/>
              </w:rPr>
            </w:pPr>
            <w:r>
              <w:rPr>
                <w:rFonts w:cs="Arial"/>
                <w:color w:val="424141"/>
                <w:szCs w:val="22"/>
              </w:rPr>
              <w:t> </w:t>
            </w:r>
          </w:p>
        </w:tc>
        <w:tc>
          <w:tcPr>
            <w:tcW w:w="397" w:type="pct"/>
            <w:tcBorders>
              <w:top w:val="nil"/>
              <w:left w:val="nil"/>
              <w:bottom w:val="nil"/>
              <w:right w:val="nil"/>
            </w:tcBorders>
            <w:shd w:val="clear" w:color="auto" w:fill="auto"/>
            <w:vAlign w:val="center"/>
            <w:hideMark/>
          </w:tcPr>
          <w:p w14:paraId="7EB47023" w14:textId="77777777" w:rsidR="00F46DFB" w:rsidRPr="003B0B89" w:rsidRDefault="00F46DFB">
            <w:pPr>
              <w:jc w:val="right"/>
              <w:rPr>
                <w:rFonts w:eastAsia="Times New Roman" w:cs="Arial"/>
                <w:color w:val="424141"/>
                <w:szCs w:val="22"/>
                <w:lang w:val="en-GB" w:eastAsia="en-GB"/>
              </w:rPr>
            </w:pPr>
          </w:p>
        </w:tc>
        <w:tc>
          <w:tcPr>
            <w:tcW w:w="397" w:type="pct"/>
            <w:tcBorders>
              <w:top w:val="nil"/>
              <w:left w:val="nil"/>
              <w:bottom w:val="nil"/>
              <w:right w:val="nil"/>
            </w:tcBorders>
            <w:shd w:val="clear" w:color="000000" w:fill="D9D9D9"/>
            <w:noWrap/>
            <w:vAlign w:val="center"/>
            <w:hideMark/>
          </w:tcPr>
          <w:p w14:paraId="6B3EDCA2" w14:textId="03E3DDC5" w:rsidR="00F46DFB" w:rsidRPr="003B0B89" w:rsidRDefault="00F46DFB">
            <w:pPr>
              <w:jc w:val="right"/>
              <w:rPr>
                <w:rFonts w:eastAsia="Times New Roman" w:cs="Arial"/>
                <w:color w:val="424141"/>
                <w:szCs w:val="22"/>
                <w:lang w:val="en-GB" w:eastAsia="en-GB"/>
              </w:rPr>
            </w:pPr>
            <w:r>
              <w:rPr>
                <w:rFonts w:cs="Arial"/>
                <w:color w:val="424141"/>
                <w:szCs w:val="22"/>
              </w:rPr>
              <w:t> </w:t>
            </w:r>
          </w:p>
        </w:tc>
        <w:tc>
          <w:tcPr>
            <w:tcW w:w="396" w:type="pct"/>
            <w:tcBorders>
              <w:top w:val="nil"/>
              <w:left w:val="nil"/>
              <w:bottom w:val="nil"/>
              <w:right w:val="nil"/>
            </w:tcBorders>
            <w:shd w:val="clear" w:color="auto" w:fill="auto"/>
            <w:vAlign w:val="center"/>
            <w:hideMark/>
          </w:tcPr>
          <w:p w14:paraId="65A31EAC" w14:textId="77777777" w:rsidR="00F46DFB" w:rsidRPr="003B0B89" w:rsidRDefault="00F46DFB">
            <w:pPr>
              <w:jc w:val="right"/>
              <w:rPr>
                <w:rFonts w:eastAsia="Times New Roman" w:cs="Arial"/>
                <w:color w:val="424141"/>
                <w:szCs w:val="22"/>
                <w:lang w:val="en-GB" w:eastAsia="en-GB"/>
              </w:rPr>
            </w:pPr>
          </w:p>
        </w:tc>
        <w:tc>
          <w:tcPr>
            <w:tcW w:w="398" w:type="pct"/>
            <w:tcBorders>
              <w:top w:val="nil"/>
              <w:left w:val="nil"/>
              <w:bottom w:val="nil"/>
              <w:right w:val="nil"/>
            </w:tcBorders>
            <w:shd w:val="clear" w:color="000000" w:fill="D9D9D9"/>
            <w:noWrap/>
            <w:vAlign w:val="center"/>
            <w:hideMark/>
          </w:tcPr>
          <w:p w14:paraId="3DDC9503" w14:textId="57BF8A6F" w:rsidR="00F46DFB" w:rsidRPr="003B0B89" w:rsidRDefault="00F46DFB">
            <w:pPr>
              <w:jc w:val="right"/>
              <w:rPr>
                <w:rFonts w:eastAsia="Times New Roman" w:cs="Arial"/>
                <w:color w:val="424141"/>
                <w:szCs w:val="22"/>
                <w:lang w:val="en-GB" w:eastAsia="en-GB"/>
              </w:rPr>
            </w:pPr>
            <w:r>
              <w:rPr>
                <w:rFonts w:cs="Arial"/>
                <w:color w:val="424141"/>
                <w:szCs w:val="22"/>
              </w:rPr>
              <w:t> </w:t>
            </w:r>
          </w:p>
        </w:tc>
        <w:tc>
          <w:tcPr>
            <w:tcW w:w="386" w:type="pct"/>
            <w:tcBorders>
              <w:top w:val="nil"/>
              <w:left w:val="nil"/>
              <w:bottom w:val="nil"/>
              <w:right w:val="nil"/>
            </w:tcBorders>
            <w:shd w:val="clear" w:color="auto" w:fill="auto"/>
            <w:vAlign w:val="center"/>
            <w:hideMark/>
          </w:tcPr>
          <w:p w14:paraId="524D567A" w14:textId="77777777" w:rsidR="00F46DFB" w:rsidRPr="003B0B89" w:rsidRDefault="00F46DFB">
            <w:pPr>
              <w:jc w:val="right"/>
              <w:rPr>
                <w:rFonts w:eastAsia="Times New Roman" w:cs="Arial"/>
                <w:color w:val="424141"/>
                <w:szCs w:val="22"/>
                <w:lang w:val="en-GB" w:eastAsia="en-GB"/>
              </w:rPr>
            </w:pPr>
          </w:p>
        </w:tc>
      </w:tr>
      <w:tr w:rsidR="00F46DFB" w:rsidRPr="003B0B89" w14:paraId="5264AD28" w14:textId="77777777" w:rsidTr="002420A7">
        <w:trPr>
          <w:trHeight w:val="285"/>
        </w:trPr>
        <w:tc>
          <w:tcPr>
            <w:tcW w:w="1488" w:type="pct"/>
            <w:tcBorders>
              <w:top w:val="nil"/>
              <w:left w:val="nil"/>
              <w:bottom w:val="nil"/>
              <w:right w:val="nil"/>
            </w:tcBorders>
            <w:shd w:val="clear" w:color="auto" w:fill="auto"/>
            <w:noWrap/>
            <w:vAlign w:val="center"/>
            <w:hideMark/>
          </w:tcPr>
          <w:p w14:paraId="75431AF6" w14:textId="77777777" w:rsidR="00F46DFB" w:rsidRPr="003B0B89" w:rsidRDefault="00F46DFB" w:rsidP="00F46DFB">
            <w:pPr>
              <w:rPr>
                <w:rFonts w:eastAsia="Times New Roman" w:cs="Arial"/>
                <w:color w:val="424141"/>
                <w:szCs w:val="22"/>
                <w:lang w:val="en-GB" w:eastAsia="en-GB"/>
              </w:rPr>
            </w:pPr>
            <w:r w:rsidRPr="003B0B89">
              <w:rPr>
                <w:rFonts w:eastAsia="Times New Roman" w:cs="Arial"/>
                <w:color w:val="424141"/>
                <w:szCs w:val="22"/>
                <w:lang w:val="en-GB" w:eastAsia="en-GB"/>
              </w:rPr>
              <w:t>Raising funds</w:t>
            </w:r>
          </w:p>
        </w:tc>
        <w:tc>
          <w:tcPr>
            <w:tcW w:w="297" w:type="pct"/>
            <w:tcBorders>
              <w:top w:val="nil"/>
              <w:left w:val="nil"/>
              <w:bottom w:val="nil"/>
              <w:right w:val="nil"/>
            </w:tcBorders>
            <w:shd w:val="clear" w:color="auto" w:fill="auto"/>
            <w:noWrap/>
            <w:vAlign w:val="center"/>
            <w:hideMark/>
          </w:tcPr>
          <w:p w14:paraId="2A6E41C9" w14:textId="77777777" w:rsidR="00F46DFB" w:rsidRPr="003B0B89" w:rsidRDefault="00F46DFB" w:rsidP="00F46DFB">
            <w:pPr>
              <w:jc w:val="right"/>
              <w:rPr>
                <w:rFonts w:eastAsia="Times New Roman" w:cs="Arial"/>
                <w:color w:val="424141"/>
                <w:szCs w:val="22"/>
                <w:lang w:val="en-GB" w:eastAsia="en-GB"/>
              </w:rPr>
            </w:pPr>
            <w:r w:rsidRPr="003B0B89">
              <w:rPr>
                <w:rFonts w:eastAsia="Times New Roman" w:cs="Arial"/>
                <w:color w:val="424141"/>
                <w:szCs w:val="22"/>
                <w:lang w:val="en-GB" w:eastAsia="en-GB"/>
              </w:rPr>
              <w:t>8</w:t>
            </w:r>
          </w:p>
        </w:tc>
        <w:tc>
          <w:tcPr>
            <w:tcW w:w="447" w:type="pct"/>
            <w:tcBorders>
              <w:top w:val="nil"/>
              <w:left w:val="nil"/>
              <w:bottom w:val="nil"/>
              <w:right w:val="nil"/>
            </w:tcBorders>
            <w:shd w:val="clear" w:color="000000" w:fill="D9D9D9"/>
            <w:noWrap/>
            <w:vAlign w:val="center"/>
            <w:hideMark/>
          </w:tcPr>
          <w:p w14:paraId="62DE7D94" w14:textId="3C38C3DD" w:rsidR="00F46DFB" w:rsidRPr="003B0B89" w:rsidRDefault="00F46DFB">
            <w:pPr>
              <w:jc w:val="right"/>
              <w:rPr>
                <w:rFonts w:eastAsia="Times New Roman" w:cs="Arial"/>
                <w:color w:val="424141"/>
                <w:szCs w:val="22"/>
                <w:lang w:val="en-GB" w:eastAsia="en-GB"/>
              </w:rPr>
            </w:pPr>
            <w:r>
              <w:rPr>
                <w:rFonts w:cs="Arial"/>
                <w:color w:val="424141"/>
                <w:szCs w:val="22"/>
              </w:rPr>
              <w:t xml:space="preserve">-152 </w:t>
            </w:r>
          </w:p>
        </w:tc>
        <w:tc>
          <w:tcPr>
            <w:tcW w:w="397" w:type="pct"/>
            <w:tcBorders>
              <w:top w:val="nil"/>
              <w:left w:val="nil"/>
              <w:bottom w:val="nil"/>
              <w:right w:val="nil"/>
            </w:tcBorders>
            <w:shd w:val="clear" w:color="auto" w:fill="auto"/>
            <w:vAlign w:val="center"/>
            <w:hideMark/>
          </w:tcPr>
          <w:p w14:paraId="0C849480" w14:textId="68BED950" w:rsidR="00F46DFB" w:rsidRPr="003B0B89" w:rsidRDefault="00F46DFB">
            <w:pPr>
              <w:jc w:val="right"/>
              <w:rPr>
                <w:rFonts w:eastAsia="Times New Roman" w:cs="Arial"/>
                <w:color w:val="A6A6A6"/>
                <w:szCs w:val="22"/>
                <w:lang w:val="en-GB" w:eastAsia="en-GB"/>
              </w:rPr>
            </w:pPr>
            <w:r>
              <w:rPr>
                <w:rFonts w:cs="Arial"/>
                <w:color w:val="A6A6A6"/>
                <w:szCs w:val="22"/>
              </w:rPr>
              <w:t xml:space="preserve">-152 </w:t>
            </w:r>
          </w:p>
        </w:tc>
        <w:tc>
          <w:tcPr>
            <w:tcW w:w="397" w:type="pct"/>
            <w:tcBorders>
              <w:top w:val="nil"/>
              <w:left w:val="nil"/>
              <w:bottom w:val="nil"/>
              <w:right w:val="nil"/>
            </w:tcBorders>
            <w:shd w:val="clear" w:color="000000" w:fill="D9D9D9"/>
            <w:noWrap/>
            <w:vAlign w:val="center"/>
            <w:hideMark/>
          </w:tcPr>
          <w:p w14:paraId="55419E08" w14:textId="7CA3BEB5" w:rsidR="00F46DFB" w:rsidRPr="003B0B89" w:rsidRDefault="00F46DFB">
            <w:pPr>
              <w:jc w:val="right"/>
              <w:rPr>
                <w:rFonts w:eastAsia="Times New Roman" w:cs="Arial"/>
                <w:color w:val="424141"/>
                <w:szCs w:val="22"/>
                <w:lang w:val="en-GB" w:eastAsia="en-GB"/>
              </w:rPr>
            </w:pPr>
            <w:r>
              <w:rPr>
                <w:rFonts w:cs="Arial"/>
                <w:color w:val="424141"/>
                <w:szCs w:val="22"/>
              </w:rPr>
              <w:t xml:space="preserve">-316 </w:t>
            </w:r>
          </w:p>
        </w:tc>
        <w:tc>
          <w:tcPr>
            <w:tcW w:w="397" w:type="pct"/>
            <w:tcBorders>
              <w:top w:val="nil"/>
              <w:left w:val="nil"/>
              <w:bottom w:val="nil"/>
              <w:right w:val="nil"/>
            </w:tcBorders>
            <w:shd w:val="clear" w:color="auto" w:fill="auto"/>
            <w:vAlign w:val="center"/>
            <w:hideMark/>
          </w:tcPr>
          <w:p w14:paraId="51588733" w14:textId="30D80E21" w:rsidR="00F46DFB" w:rsidRPr="003B0B89" w:rsidRDefault="00F46DFB">
            <w:pPr>
              <w:jc w:val="right"/>
              <w:rPr>
                <w:rFonts w:eastAsia="Times New Roman" w:cs="Arial"/>
                <w:color w:val="A6A6A6"/>
                <w:szCs w:val="22"/>
                <w:lang w:val="en-GB" w:eastAsia="en-GB"/>
              </w:rPr>
            </w:pPr>
            <w:r>
              <w:rPr>
                <w:rFonts w:cs="Arial"/>
                <w:color w:val="A6A6A6"/>
                <w:szCs w:val="22"/>
              </w:rPr>
              <w:t xml:space="preserve">-298 </w:t>
            </w:r>
          </w:p>
        </w:tc>
        <w:tc>
          <w:tcPr>
            <w:tcW w:w="397" w:type="pct"/>
            <w:tcBorders>
              <w:top w:val="nil"/>
              <w:left w:val="nil"/>
              <w:bottom w:val="nil"/>
              <w:right w:val="nil"/>
            </w:tcBorders>
            <w:shd w:val="clear" w:color="000000" w:fill="D9D9D9"/>
            <w:noWrap/>
            <w:vAlign w:val="center"/>
            <w:hideMark/>
          </w:tcPr>
          <w:p w14:paraId="4C4797C1" w14:textId="185EB2B6" w:rsidR="00F46DFB" w:rsidRPr="003B0B89" w:rsidRDefault="00F46DFB">
            <w:pPr>
              <w:jc w:val="right"/>
              <w:rPr>
                <w:rFonts w:eastAsia="Times New Roman" w:cs="Arial"/>
                <w:color w:val="424141"/>
                <w:szCs w:val="22"/>
                <w:lang w:val="en-GB" w:eastAsia="en-GB"/>
              </w:rPr>
            </w:pPr>
            <w:r>
              <w:rPr>
                <w:rFonts w:cs="Arial"/>
                <w:color w:val="424141"/>
                <w:szCs w:val="22"/>
              </w:rPr>
              <w:t> </w:t>
            </w:r>
          </w:p>
        </w:tc>
        <w:tc>
          <w:tcPr>
            <w:tcW w:w="396" w:type="pct"/>
            <w:tcBorders>
              <w:top w:val="nil"/>
              <w:left w:val="nil"/>
              <w:bottom w:val="nil"/>
              <w:right w:val="nil"/>
            </w:tcBorders>
            <w:shd w:val="clear" w:color="auto" w:fill="auto"/>
            <w:vAlign w:val="center"/>
            <w:hideMark/>
          </w:tcPr>
          <w:p w14:paraId="719593FD" w14:textId="77777777" w:rsidR="00F46DFB" w:rsidRPr="003B0B89" w:rsidRDefault="00F46DFB">
            <w:pPr>
              <w:jc w:val="right"/>
              <w:rPr>
                <w:rFonts w:eastAsia="Times New Roman" w:cs="Arial"/>
                <w:color w:val="424141"/>
                <w:szCs w:val="22"/>
                <w:lang w:val="en-GB" w:eastAsia="en-GB"/>
              </w:rPr>
            </w:pPr>
          </w:p>
        </w:tc>
        <w:tc>
          <w:tcPr>
            <w:tcW w:w="398" w:type="pct"/>
            <w:tcBorders>
              <w:top w:val="nil"/>
              <w:left w:val="nil"/>
              <w:bottom w:val="nil"/>
              <w:right w:val="nil"/>
            </w:tcBorders>
            <w:shd w:val="clear" w:color="000000" w:fill="D9D9D9"/>
            <w:noWrap/>
            <w:vAlign w:val="center"/>
            <w:hideMark/>
          </w:tcPr>
          <w:p w14:paraId="125B38B0" w14:textId="6BA2E2E0" w:rsidR="00F46DFB" w:rsidRPr="003B0B89" w:rsidRDefault="00F46DFB">
            <w:pPr>
              <w:jc w:val="right"/>
              <w:rPr>
                <w:rFonts w:eastAsia="Times New Roman" w:cs="Arial"/>
                <w:color w:val="424141"/>
                <w:szCs w:val="22"/>
                <w:lang w:val="en-GB" w:eastAsia="en-GB"/>
              </w:rPr>
            </w:pPr>
            <w:r>
              <w:rPr>
                <w:rFonts w:cs="Arial"/>
                <w:color w:val="424141"/>
                <w:szCs w:val="22"/>
              </w:rPr>
              <w:t xml:space="preserve">-468 </w:t>
            </w:r>
          </w:p>
        </w:tc>
        <w:tc>
          <w:tcPr>
            <w:tcW w:w="386" w:type="pct"/>
            <w:tcBorders>
              <w:top w:val="nil"/>
              <w:left w:val="nil"/>
              <w:bottom w:val="nil"/>
              <w:right w:val="nil"/>
            </w:tcBorders>
            <w:shd w:val="clear" w:color="auto" w:fill="auto"/>
            <w:vAlign w:val="center"/>
            <w:hideMark/>
          </w:tcPr>
          <w:p w14:paraId="509A8171" w14:textId="62E691E0" w:rsidR="00F46DFB" w:rsidRPr="003B0B89" w:rsidRDefault="00F46DFB">
            <w:pPr>
              <w:jc w:val="right"/>
              <w:rPr>
                <w:rFonts w:eastAsia="Times New Roman" w:cs="Arial"/>
                <w:color w:val="A6A6A6"/>
                <w:szCs w:val="22"/>
                <w:lang w:val="en-GB" w:eastAsia="en-GB"/>
              </w:rPr>
            </w:pPr>
            <w:r>
              <w:rPr>
                <w:rFonts w:cs="Arial"/>
                <w:color w:val="A6A6A6"/>
                <w:szCs w:val="22"/>
              </w:rPr>
              <w:t xml:space="preserve">-450 </w:t>
            </w:r>
          </w:p>
        </w:tc>
      </w:tr>
      <w:tr w:rsidR="00F46DFB" w:rsidRPr="003B0B89" w14:paraId="76356F19" w14:textId="77777777" w:rsidTr="002420A7">
        <w:trPr>
          <w:trHeight w:val="285"/>
        </w:trPr>
        <w:tc>
          <w:tcPr>
            <w:tcW w:w="1488" w:type="pct"/>
            <w:tcBorders>
              <w:top w:val="nil"/>
              <w:left w:val="nil"/>
              <w:bottom w:val="nil"/>
              <w:right w:val="nil"/>
            </w:tcBorders>
            <w:shd w:val="clear" w:color="auto" w:fill="auto"/>
            <w:noWrap/>
            <w:vAlign w:val="center"/>
            <w:hideMark/>
          </w:tcPr>
          <w:p w14:paraId="7B53C0F4" w14:textId="77777777" w:rsidR="00F46DFB" w:rsidRPr="003B0B89" w:rsidRDefault="00F46DFB" w:rsidP="00F46DFB">
            <w:pPr>
              <w:rPr>
                <w:rFonts w:eastAsia="Times New Roman" w:cs="Arial"/>
                <w:color w:val="424141"/>
                <w:szCs w:val="22"/>
                <w:lang w:val="en-GB" w:eastAsia="en-GB"/>
              </w:rPr>
            </w:pPr>
            <w:r w:rsidRPr="003B0B89">
              <w:rPr>
                <w:rFonts w:eastAsia="Times New Roman" w:cs="Arial"/>
                <w:color w:val="424141"/>
                <w:szCs w:val="22"/>
                <w:lang w:val="en-GB" w:eastAsia="en-GB"/>
              </w:rPr>
              <w:t>Charitable activities</w:t>
            </w:r>
          </w:p>
        </w:tc>
        <w:tc>
          <w:tcPr>
            <w:tcW w:w="297" w:type="pct"/>
            <w:tcBorders>
              <w:top w:val="nil"/>
              <w:left w:val="nil"/>
              <w:bottom w:val="nil"/>
              <w:right w:val="nil"/>
            </w:tcBorders>
            <w:shd w:val="clear" w:color="auto" w:fill="auto"/>
            <w:noWrap/>
            <w:vAlign w:val="center"/>
            <w:hideMark/>
          </w:tcPr>
          <w:p w14:paraId="571E4048" w14:textId="77777777" w:rsidR="00F46DFB" w:rsidRPr="003B0B89" w:rsidRDefault="00F46DFB" w:rsidP="00F46DFB">
            <w:pPr>
              <w:jc w:val="right"/>
              <w:rPr>
                <w:rFonts w:eastAsia="Times New Roman" w:cs="Arial"/>
                <w:color w:val="424141"/>
                <w:szCs w:val="22"/>
                <w:lang w:val="en-GB" w:eastAsia="en-GB"/>
              </w:rPr>
            </w:pPr>
            <w:r w:rsidRPr="003B0B89">
              <w:rPr>
                <w:rFonts w:eastAsia="Times New Roman" w:cs="Arial"/>
                <w:color w:val="424141"/>
                <w:szCs w:val="22"/>
                <w:lang w:val="en-GB" w:eastAsia="en-GB"/>
              </w:rPr>
              <w:t>9</w:t>
            </w:r>
          </w:p>
        </w:tc>
        <w:tc>
          <w:tcPr>
            <w:tcW w:w="447" w:type="pct"/>
            <w:tcBorders>
              <w:top w:val="nil"/>
              <w:left w:val="nil"/>
              <w:bottom w:val="nil"/>
              <w:right w:val="nil"/>
            </w:tcBorders>
            <w:shd w:val="clear" w:color="000000" w:fill="D9D9D9"/>
            <w:noWrap/>
            <w:vAlign w:val="center"/>
            <w:hideMark/>
          </w:tcPr>
          <w:p w14:paraId="3E94FCDF" w14:textId="66AC5EB2" w:rsidR="00F46DFB" w:rsidRPr="003B0B89" w:rsidRDefault="00F46DFB">
            <w:pPr>
              <w:jc w:val="right"/>
              <w:rPr>
                <w:rFonts w:eastAsia="Times New Roman" w:cs="Arial"/>
                <w:color w:val="424141"/>
                <w:szCs w:val="22"/>
                <w:lang w:val="en-GB" w:eastAsia="en-GB"/>
              </w:rPr>
            </w:pPr>
            <w:r>
              <w:rPr>
                <w:rFonts w:cs="Arial"/>
                <w:color w:val="424141"/>
                <w:szCs w:val="22"/>
              </w:rPr>
              <w:t> </w:t>
            </w:r>
          </w:p>
        </w:tc>
        <w:tc>
          <w:tcPr>
            <w:tcW w:w="397" w:type="pct"/>
            <w:tcBorders>
              <w:top w:val="nil"/>
              <w:left w:val="nil"/>
              <w:bottom w:val="nil"/>
              <w:right w:val="nil"/>
            </w:tcBorders>
            <w:shd w:val="clear" w:color="auto" w:fill="auto"/>
            <w:vAlign w:val="center"/>
            <w:hideMark/>
          </w:tcPr>
          <w:p w14:paraId="74B5D45F" w14:textId="77777777" w:rsidR="00F46DFB" w:rsidRPr="003B0B89" w:rsidRDefault="00F46DFB">
            <w:pPr>
              <w:jc w:val="right"/>
              <w:rPr>
                <w:rFonts w:eastAsia="Times New Roman" w:cs="Arial"/>
                <w:color w:val="424141"/>
                <w:szCs w:val="22"/>
                <w:lang w:val="en-GB" w:eastAsia="en-GB"/>
              </w:rPr>
            </w:pPr>
          </w:p>
        </w:tc>
        <w:tc>
          <w:tcPr>
            <w:tcW w:w="397" w:type="pct"/>
            <w:tcBorders>
              <w:top w:val="nil"/>
              <w:left w:val="nil"/>
              <w:bottom w:val="nil"/>
              <w:right w:val="nil"/>
            </w:tcBorders>
            <w:shd w:val="clear" w:color="000000" w:fill="D9D9D9"/>
            <w:noWrap/>
            <w:vAlign w:val="center"/>
            <w:hideMark/>
          </w:tcPr>
          <w:p w14:paraId="7EA126C9" w14:textId="7DB9D14A" w:rsidR="00F46DFB" w:rsidRPr="003B0B89" w:rsidRDefault="00F46DFB">
            <w:pPr>
              <w:jc w:val="right"/>
              <w:rPr>
                <w:rFonts w:eastAsia="Times New Roman" w:cs="Arial"/>
                <w:color w:val="424141"/>
                <w:szCs w:val="22"/>
                <w:lang w:val="en-GB" w:eastAsia="en-GB"/>
              </w:rPr>
            </w:pPr>
            <w:r>
              <w:rPr>
                <w:rFonts w:cs="Arial"/>
                <w:color w:val="424141"/>
                <w:szCs w:val="22"/>
              </w:rPr>
              <w:t> </w:t>
            </w:r>
          </w:p>
        </w:tc>
        <w:tc>
          <w:tcPr>
            <w:tcW w:w="397" w:type="pct"/>
            <w:tcBorders>
              <w:top w:val="nil"/>
              <w:left w:val="nil"/>
              <w:bottom w:val="nil"/>
              <w:right w:val="nil"/>
            </w:tcBorders>
            <w:shd w:val="clear" w:color="auto" w:fill="auto"/>
            <w:vAlign w:val="center"/>
            <w:hideMark/>
          </w:tcPr>
          <w:p w14:paraId="0759EAFA" w14:textId="77777777" w:rsidR="00F46DFB" w:rsidRPr="003B0B89" w:rsidRDefault="00F46DFB">
            <w:pPr>
              <w:jc w:val="right"/>
              <w:rPr>
                <w:rFonts w:eastAsia="Times New Roman" w:cs="Arial"/>
                <w:color w:val="424141"/>
                <w:szCs w:val="22"/>
                <w:lang w:val="en-GB" w:eastAsia="en-GB"/>
              </w:rPr>
            </w:pPr>
          </w:p>
        </w:tc>
        <w:tc>
          <w:tcPr>
            <w:tcW w:w="397" w:type="pct"/>
            <w:tcBorders>
              <w:top w:val="nil"/>
              <w:left w:val="nil"/>
              <w:bottom w:val="nil"/>
              <w:right w:val="nil"/>
            </w:tcBorders>
            <w:shd w:val="clear" w:color="000000" w:fill="D9D9D9"/>
            <w:noWrap/>
            <w:vAlign w:val="center"/>
            <w:hideMark/>
          </w:tcPr>
          <w:p w14:paraId="1F983956" w14:textId="5C9F0309" w:rsidR="00F46DFB" w:rsidRPr="003B0B89" w:rsidRDefault="00F46DFB">
            <w:pPr>
              <w:jc w:val="right"/>
              <w:rPr>
                <w:rFonts w:eastAsia="Times New Roman" w:cs="Arial"/>
                <w:color w:val="424141"/>
                <w:szCs w:val="22"/>
                <w:lang w:val="en-GB" w:eastAsia="en-GB"/>
              </w:rPr>
            </w:pPr>
            <w:r>
              <w:rPr>
                <w:rFonts w:cs="Arial"/>
                <w:color w:val="424141"/>
                <w:szCs w:val="22"/>
              </w:rPr>
              <w:t> </w:t>
            </w:r>
          </w:p>
        </w:tc>
        <w:tc>
          <w:tcPr>
            <w:tcW w:w="396" w:type="pct"/>
            <w:tcBorders>
              <w:top w:val="nil"/>
              <w:left w:val="nil"/>
              <w:bottom w:val="nil"/>
              <w:right w:val="nil"/>
            </w:tcBorders>
            <w:shd w:val="clear" w:color="auto" w:fill="auto"/>
            <w:vAlign w:val="center"/>
            <w:hideMark/>
          </w:tcPr>
          <w:p w14:paraId="2DDC5AC8" w14:textId="77777777" w:rsidR="00F46DFB" w:rsidRPr="003B0B89" w:rsidRDefault="00F46DFB">
            <w:pPr>
              <w:jc w:val="right"/>
              <w:rPr>
                <w:rFonts w:eastAsia="Times New Roman" w:cs="Arial"/>
                <w:color w:val="424141"/>
                <w:szCs w:val="22"/>
                <w:lang w:val="en-GB" w:eastAsia="en-GB"/>
              </w:rPr>
            </w:pPr>
          </w:p>
        </w:tc>
        <w:tc>
          <w:tcPr>
            <w:tcW w:w="398" w:type="pct"/>
            <w:tcBorders>
              <w:top w:val="nil"/>
              <w:left w:val="nil"/>
              <w:bottom w:val="nil"/>
              <w:right w:val="nil"/>
            </w:tcBorders>
            <w:shd w:val="clear" w:color="000000" w:fill="D9D9D9"/>
            <w:noWrap/>
            <w:vAlign w:val="center"/>
            <w:hideMark/>
          </w:tcPr>
          <w:p w14:paraId="79936985" w14:textId="42772ACC" w:rsidR="00F46DFB" w:rsidRPr="003B0B89" w:rsidRDefault="00F46DFB">
            <w:pPr>
              <w:jc w:val="right"/>
              <w:rPr>
                <w:rFonts w:eastAsia="Times New Roman" w:cs="Arial"/>
                <w:color w:val="424141"/>
                <w:szCs w:val="22"/>
                <w:lang w:val="en-GB" w:eastAsia="en-GB"/>
              </w:rPr>
            </w:pPr>
          </w:p>
        </w:tc>
        <w:tc>
          <w:tcPr>
            <w:tcW w:w="386" w:type="pct"/>
            <w:tcBorders>
              <w:top w:val="nil"/>
              <w:left w:val="nil"/>
              <w:bottom w:val="nil"/>
              <w:right w:val="nil"/>
            </w:tcBorders>
            <w:shd w:val="clear" w:color="auto" w:fill="auto"/>
            <w:vAlign w:val="center"/>
            <w:hideMark/>
          </w:tcPr>
          <w:p w14:paraId="2743FC5E" w14:textId="70B1A794" w:rsidR="00F46DFB" w:rsidRPr="003B0B89" w:rsidRDefault="00F46DFB">
            <w:pPr>
              <w:jc w:val="right"/>
              <w:rPr>
                <w:rFonts w:eastAsia="Times New Roman" w:cs="Arial"/>
                <w:color w:val="A6A6A6"/>
                <w:szCs w:val="22"/>
                <w:lang w:val="en-GB" w:eastAsia="en-GB"/>
              </w:rPr>
            </w:pPr>
          </w:p>
        </w:tc>
      </w:tr>
      <w:tr w:rsidR="00F46DFB" w:rsidRPr="003B0B89" w14:paraId="7FDA3F04" w14:textId="77777777" w:rsidTr="002420A7">
        <w:trPr>
          <w:trHeight w:val="285"/>
        </w:trPr>
        <w:tc>
          <w:tcPr>
            <w:tcW w:w="1488" w:type="pct"/>
            <w:tcBorders>
              <w:top w:val="nil"/>
              <w:left w:val="nil"/>
              <w:bottom w:val="nil"/>
              <w:right w:val="nil"/>
            </w:tcBorders>
            <w:shd w:val="clear" w:color="auto" w:fill="auto"/>
            <w:noWrap/>
            <w:vAlign w:val="center"/>
            <w:hideMark/>
          </w:tcPr>
          <w:p w14:paraId="7AF400D3" w14:textId="77777777" w:rsidR="00F46DFB" w:rsidRPr="003B0B89" w:rsidRDefault="00F46DFB" w:rsidP="00F46DFB">
            <w:pPr>
              <w:pStyle w:val="Bullet"/>
              <w:rPr>
                <w:color w:val="FF6600"/>
                <w:lang w:eastAsia="en-GB"/>
              </w:rPr>
            </w:pPr>
            <w:r w:rsidRPr="003B0B89">
              <w:rPr>
                <w:lang w:eastAsia="en-GB"/>
              </w:rPr>
              <w:t>Medical research</w:t>
            </w:r>
          </w:p>
        </w:tc>
        <w:tc>
          <w:tcPr>
            <w:tcW w:w="297" w:type="pct"/>
            <w:tcBorders>
              <w:top w:val="nil"/>
              <w:left w:val="nil"/>
              <w:bottom w:val="nil"/>
              <w:right w:val="nil"/>
            </w:tcBorders>
            <w:shd w:val="clear" w:color="auto" w:fill="auto"/>
            <w:noWrap/>
            <w:vAlign w:val="center"/>
            <w:hideMark/>
          </w:tcPr>
          <w:p w14:paraId="7DD08A79" w14:textId="77777777" w:rsidR="00F46DFB" w:rsidRPr="003B0B89" w:rsidRDefault="00F46DFB" w:rsidP="00F46DFB">
            <w:pPr>
              <w:ind w:firstLineChars="200" w:firstLine="440"/>
              <w:rPr>
                <w:rFonts w:eastAsia="Times New Roman" w:cs="Arial"/>
                <w:color w:val="FF6600"/>
                <w:szCs w:val="22"/>
                <w:lang w:val="en-GB" w:eastAsia="en-GB"/>
              </w:rPr>
            </w:pPr>
          </w:p>
        </w:tc>
        <w:tc>
          <w:tcPr>
            <w:tcW w:w="447" w:type="pct"/>
            <w:tcBorders>
              <w:top w:val="nil"/>
              <w:left w:val="nil"/>
              <w:bottom w:val="nil"/>
              <w:right w:val="nil"/>
            </w:tcBorders>
            <w:shd w:val="clear" w:color="000000" w:fill="D9D9D9"/>
            <w:noWrap/>
            <w:vAlign w:val="center"/>
            <w:hideMark/>
          </w:tcPr>
          <w:p w14:paraId="445D2C7B" w14:textId="6A76BFF1" w:rsidR="00F46DFB" w:rsidRPr="003B0B89" w:rsidRDefault="00F46DFB">
            <w:pPr>
              <w:jc w:val="right"/>
              <w:rPr>
                <w:rFonts w:eastAsia="Times New Roman" w:cs="Arial"/>
                <w:color w:val="424141"/>
                <w:szCs w:val="22"/>
                <w:lang w:val="en-GB" w:eastAsia="en-GB"/>
              </w:rPr>
            </w:pPr>
            <w:r>
              <w:rPr>
                <w:rFonts w:cs="Arial"/>
                <w:color w:val="424141"/>
                <w:szCs w:val="22"/>
              </w:rPr>
              <w:t xml:space="preserve">-991 </w:t>
            </w:r>
          </w:p>
        </w:tc>
        <w:tc>
          <w:tcPr>
            <w:tcW w:w="397" w:type="pct"/>
            <w:tcBorders>
              <w:top w:val="nil"/>
              <w:left w:val="nil"/>
              <w:bottom w:val="nil"/>
              <w:right w:val="nil"/>
            </w:tcBorders>
            <w:shd w:val="clear" w:color="auto" w:fill="auto"/>
            <w:vAlign w:val="center"/>
            <w:hideMark/>
          </w:tcPr>
          <w:p w14:paraId="45805382" w14:textId="68AE5F08" w:rsidR="00F46DFB" w:rsidRPr="003B0B89" w:rsidRDefault="00F46DFB">
            <w:pPr>
              <w:jc w:val="right"/>
              <w:rPr>
                <w:rFonts w:eastAsia="Times New Roman" w:cs="Arial"/>
                <w:color w:val="A6A6A6"/>
                <w:szCs w:val="22"/>
                <w:lang w:val="en-GB" w:eastAsia="en-GB"/>
              </w:rPr>
            </w:pPr>
            <w:r>
              <w:rPr>
                <w:rFonts w:cs="Arial"/>
                <w:color w:val="A6A6A6"/>
                <w:szCs w:val="22"/>
              </w:rPr>
              <w:t xml:space="preserve">-938 </w:t>
            </w:r>
          </w:p>
        </w:tc>
        <w:tc>
          <w:tcPr>
            <w:tcW w:w="397" w:type="pct"/>
            <w:tcBorders>
              <w:top w:val="nil"/>
              <w:left w:val="nil"/>
              <w:bottom w:val="nil"/>
              <w:right w:val="nil"/>
            </w:tcBorders>
            <w:shd w:val="clear" w:color="000000" w:fill="D9D9D9"/>
            <w:noWrap/>
            <w:vAlign w:val="center"/>
            <w:hideMark/>
          </w:tcPr>
          <w:p w14:paraId="6710807C" w14:textId="5190140D" w:rsidR="00F46DFB" w:rsidRPr="003B0B89" w:rsidRDefault="00F46DFB">
            <w:pPr>
              <w:jc w:val="right"/>
              <w:rPr>
                <w:rFonts w:eastAsia="Times New Roman" w:cs="Arial"/>
                <w:color w:val="424141"/>
                <w:szCs w:val="22"/>
                <w:lang w:val="en-GB" w:eastAsia="en-GB"/>
              </w:rPr>
            </w:pPr>
            <w:r>
              <w:rPr>
                <w:rFonts w:cs="Arial"/>
                <w:color w:val="424141"/>
                <w:szCs w:val="22"/>
              </w:rPr>
              <w:t> </w:t>
            </w:r>
          </w:p>
        </w:tc>
        <w:tc>
          <w:tcPr>
            <w:tcW w:w="397" w:type="pct"/>
            <w:tcBorders>
              <w:top w:val="nil"/>
              <w:left w:val="nil"/>
              <w:bottom w:val="nil"/>
              <w:right w:val="nil"/>
            </w:tcBorders>
            <w:shd w:val="clear" w:color="auto" w:fill="auto"/>
            <w:vAlign w:val="center"/>
            <w:hideMark/>
          </w:tcPr>
          <w:p w14:paraId="7F1E0237" w14:textId="77777777" w:rsidR="00F46DFB" w:rsidRPr="003B0B89" w:rsidRDefault="00F46DFB">
            <w:pPr>
              <w:jc w:val="right"/>
              <w:rPr>
                <w:rFonts w:eastAsia="Times New Roman" w:cs="Arial"/>
                <w:color w:val="424141"/>
                <w:szCs w:val="22"/>
                <w:lang w:val="en-GB" w:eastAsia="en-GB"/>
              </w:rPr>
            </w:pPr>
          </w:p>
        </w:tc>
        <w:tc>
          <w:tcPr>
            <w:tcW w:w="397" w:type="pct"/>
            <w:tcBorders>
              <w:top w:val="nil"/>
              <w:left w:val="nil"/>
              <w:bottom w:val="nil"/>
              <w:right w:val="nil"/>
            </w:tcBorders>
            <w:shd w:val="clear" w:color="000000" w:fill="D9D9D9"/>
            <w:noWrap/>
            <w:vAlign w:val="center"/>
            <w:hideMark/>
          </w:tcPr>
          <w:p w14:paraId="3D47EAC5" w14:textId="2298C7A4" w:rsidR="00F46DFB" w:rsidRPr="003B0B89" w:rsidRDefault="00F46DFB">
            <w:pPr>
              <w:jc w:val="right"/>
              <w:rPr>
                <w:rFonts w:eastAsia="Times New Roman" w:cs="Arial"/>
                <w:color w:val="424141"/>
                <w:szCs w:val="22"/>
                <w:lang w:val="en-GB" w:eastAsia="en-GB"/>
              </w:rPr>
            </w:pPr>
            <w:r>
              <w:rPr>
                <w:rFonts w:cs="Arial"/>
                <w:color w:val="424141"/>
                <w:szCs w:val="22"/>
              </w:rPr>
              <w:t> </w:t>
            </w:r>
          </w:p>
        </w:tc>
        <w:tc>
          <w:tcPr>
            <w:tcW w:w="396" w:type="pct"/>
            <w:tcBorders>
              <w:top w:val="nil"/>
              <w:left w:val="nil"/>
              <w:bottom w:val="nil"/>
              <w:right w:val="nil"/>
            </w:tcBorders>
            <w:shd w:val="clear" w:color="auto" w:fill="auto"/>
            <w:vAlign w:val="center"/>
            <w:hideMark/>
          </w:tcPr>
          <w:p w14:paraId="0B066BE6" w14:textId="77777777" w:rsidR="00F46DFB" w:rsidRPr="003B0B89" w:rsidRDefault="00F46DFB">
            <w:pPr>
              <w:jc w:val="right"/>
              <w:rPr>
                <w:rFonts w:eastAsia="Times New Roman" w:cs="Arial"/>
                <w:color w:val="424141"/>
                <w:szCs w:val="22"/>
                <w:lang w:val="en-GB" w:eastAsia="en-GB"/>
              </w:rPr>
            </w:pPr>
          </w:p>
        </w:tc>
        <w:tc>
          <w:tcPr>
            <w:tcW w:w="398" w:type="pct"/>
            <w:tcBorders>
              <w:top w:val="nil"/>
              <w:left w:val="nil"/>
              <w:bottom w:val="nil"/>
              <w:right w:val="nil"/>
            </w:tcBorders>
            <w:shd w:val="clear" w:color="000000" w:fill="D9D9D9"/>
            <w:noWrap/>
            <w:vAlign w:val="center"/>
            <w:hideMark/>
          </w:tcPr>
          <w:p w14:paraId="1066125A" w14:textId="0480B7FC" w:rsidR="00F46DFB" w:rsidRPr="003B0B89" w:rsidRDefault="00F46DFB">
            <w:pPr>
              <w:jc w:val="right"/>
              <w:rPr>
                <w:rFonts w:eastAsia="Times New Roman" w:cs="Arial"/>
                <w:color w:val="424141"/>
                <w:szCs w:val="22"/>
                <w:lang w:val="en-GB" w:eastAsia="en-GB"/>
              </w:rPr>
            </w:pPr>
            <w:r>
              <w:rPr>
                <w:rFonts w:cs="Arial"/>
                <w:color w:val="424141"/>
                <w:szCs w:val="22"/>
              </w:rPr>
              <w:t xml:space="preserve">-991 </w:t>
            </w:r>
          </w:p>
        </w:tc>
        <w:tc>
          <w:tcPr>
            <w:tcW w:w="386" w:type="pct"/>
            <w:tcBorders>
              <w:top w:val="nil"/>
              <w:left w:val="nil"/>
              <w:bottom w:val="nil"/>
              <w:right w:val="nil"/>
            </w:tcBorders>
            <w:shd w:val="clear" w:color="auto" w:fill="auto"/>
            <w:vAlign w:val="center"/>
            <w:hideMark/>
          </w:tcPr>
          <w:p w14:paraId="36DAB839" w14:textId="591EFE9C" w:rsidR="00F46DFB" w:rsidRPr="003B0B89" w:rsidRDefault="00F46DFB">
            <w:pPr>
              <w:jc w:val="right"/>
              <w:rPr>
                <w:rFonts w:eastAsia="Times New Roman" w:cs="Arial"/>
                <w:color w:val="A6A6A6"/>
                <w:szCs w:val="22"/>
                <w:lang w:val="en-GB" w:eastAsia="en-GB"/>
              </w:rPr>
            </w:pPr>
            <w:r>
              <w:rPr>
                <w:rFonts w:cs="Arial"/>
                <w:color w:val="A6A6A6"/>
                <w:szCs w:val="22"/>
              </w:rPr>
              <w:t xml:space="preserve">-938 </w:t>
            </w:r>
          </w:p>
        </w:tc>
      </w:tr>
      <w:tr w:rsidR="00F46DFB" w:rsidRPr="003B0B89" w14:paraId="708C29C4" w14:textId="77777777" w:rsidTr="002420A7">
        <w:trPr>
          <w:trHeight w:val="285"/>
        </w:trPr>
        <w:tc>
          <w:tcPr>
            <w:tcW w:w="1488" w:type="pct"/>
            <w:tcBorders>
              <w:top w:val="nil"/>
              <w:left w:val="nil"/>
              <w:bottom w:val="nil"/>
              <w:right w:val="nil"/>
            </w:tcBorders>
            <w:shd w:val="clear" w:color="auto" w:fill="auto"/>
            <w:noWrap/>
            <w:vAlign w:val="center"/>
            <w:hideMark/>
          </w:tcPr>
          <w:p w14:paraId="72B07443" w14:textId="77777777" w:rsidR="00F46DFB" w:rsidRPr="003B0B89" w:rsidRDefault="00F46DFB" w:rsidP="00F46DFB">
            <w:pPr>
              <w:pStyle w:val="Bullet"/>
              <w:rPr>
                <w:color w:val="FF6600"/>
                <w:lang w:eastAsia="en-GB"/>
              </w:rPr>
            </w:pPr>
            <w:r w:rsidRPr="003B0B89">
              <w:rPr>
                <w:lang w:eastAsia="en-GB"/>
              </w:rPr>
              <w:t>Purchase of new equipment</w:t>
            </w:r>
          </w:p>
        </w:tc>
        <w:tc>
          <w:tcPr>
            <w:tcW w:w="297" w:type="pct"/>
            <w:tcBorders>
              <w:top w:val="nil"/>
              <w:left w:val="nil"/>
              <w:bottom w:val="nil"/>
              <w:right w:val="nil"/>
            </w:tcBorders>
            <w:shd w:val="clear" w:color="auto" w:fill="auto"/>
            <w:noWrap/>
            <w:vAlign w:val="center"/>
            <w:hideMark/>
          </w:tcPr>
          <w:p w14:paraId="76691942" w14:textId="77777777" w:rsidR="00F46DFB" w:rsidRPr="003B0B89" w:rsidRDefault="00F46DFB" w:rsidP="00F46DFB">
            <w:pPr>
              <w:ind w:firstLineChars="200" w:firstLine="440"/>
              <w:rPr>
                <w:rFonts w:eastAsia="Times New Roman" w:cs="Arial"/>
                <w:color w:val="FF6600"/>
                <w:szCs w:val="22"/>
                <w:lang w:val="en-GB" w:eastAsia="en-GB"/>
              </w:rPr>
            </w:pPr>
          </w:p>
        </w:tc>
        <w:tc>
          <w:tcPr>
            <w:tcW w:w="447" w:type="pct"/>
            <w:tcBorders>
              <w:top w:val="nil"/>
              <w:left w:val="nil"/>
              <w:bottom w:val="nil"/>
              <w:right w:val="nil"/>
            </w:tcBorders>
            <w:shd w:val="clear" w:color="000000" w:fill="D9D9D9"/>
            <w:noWrap/>
            <w:vAlign w:val="center"/>
            <w:hideMark/>
          </w:tcPr>
          <w:p w14:paraId="38FB00F9" w14:textId="6C294B60" w:rsidR="00F46DFB" w:rsidRPr="003B0B89" w:rsidRDefault="004C054A">
            <w:pPr>
              <w:jc w:val="right"/>
              <w:rPr>
                <w:rFonts w:eastAsia="Times New Roman" w:cs="Arial"/>
                <w:color w:val="424141"/>
                <w:szCs w:val="22"/>
                <w:lang w:val="en-GB" w:eastAsia="en-GB"/>
              </w:rPr>
            </w:pPr>
            <w:r>
              <w:rPr>
                <w:rFonts w:cs="Arial"/>
                <w:color w:val="424141"/>
                <w:szCs w:val="22"/>
              </w:rPr>
              <w:t>-744</w:t>
            </w:r>
          </w:p>
        </w:tc>
        <w:tc>
          <w:tcPr>
            <w:tcW w:w="397" w:type="pct"/>
            <w:tcBorders>
              <w:top w:val="nil"/>
              <w:left w:val="nil"/>
              <w:bottom w:val="nil"/>
              <w:right w:val="nil"/>
            </w:tcBorders>
            <w:shd w:val="clear" w:color="auto" w:fill="auto"/>
            <w:vAlign w:val="center"/>
            <w:hideMark/>
          </w:tcPr>
          <w:p w14:paraId="10611E03" w14:textId="367E7F38" w:rsidR="00F46DFB" w:rsidRPr="003B0B89" w:rsidRDefault="00F46DFB">
            <w:pPr>
              <w:jc w:val="right"/>
              <w:rPr>
                <w:rFonts w:eastAsia="Times New Roman" w:cs="Arial"/>
                <w:color w:val="A6A6A6"/>
                <w:szCs w:val="22"/>
                <w:lang w:val="en-GB" w:eastAsia="en-GB"/>
              </w:rPr>
            </w:pPr>
            <w:r>
              <w:rPr>
                <w:rFonts w:cs="Arial"/>
                <w:color w:val="A6A6A6"/>
                <w:szCs w:val="22"/>
              </w:rPr>
              <w:t xml:space="preserve">-888 </w:t>
            </w:r>
          </w:p>
        </w:tc>
        <w:tc>
          <w:tcPr>
            <w:tcW w:w="397" w:type="pct"/>
            <w:tcBorders>
              <w:top w:val="nil"/>
              <w:left w:val="nil"/>
              <w:bottom w:val="nil"/>
              <w:right w:val="nil"/>
            </w:tcBorders>
            <w:shd w:val="clear" w:color="000000" w:fill="D9D9D9"/>
            <w:noWrap/>
            <w:vAlign w:val="center"/>
            <w:hideMark/>
          </w:tcPr>
          <w:p w14:paraId="78C90C7D" w14:textId="6A63484F" w:rsidR="00F46DFB" w:rsidRPr="003B0B89" w:rsidRDefault="00F46DFB">
            <w:pPr>
              <w:jc w:val="right"/>
              <w:rPr>
                <w:rFonts w:eastAsia="Times New Roman" w:cs="Arial"/>
                <w:color w:val="424141"/>
                <w:szCs w:val="22"/>
                <w:lang w:val="en-GB" w:eastAsia="en-GB"/>
              </w:rPr>
            </w:pPr>
            <w:r>
              <w:rPr>
                <w:rFonts w:cs="Arial"/>
                <w:color w:val="424141"/>
                <w:szCs w:val="22"/>
              </w:rPr>
              <w:t> </w:t>
            </w:r>
          </w:p>
        </w:tc>
        <w:tc>
          <w:tcPr>
            <w:tcW w:w="397" w:type="pct"/>
            <w:tcBorders>
              <w:top w:val="nil"/>
              <w:left w:val="nil"/>
              <w:bottom w:val="nil"/>
              <w:right w:val="nil"/>
            </w:tcBorders>
            <w:shd w:val="clear" w:color="auto" w:fill="auto"/>
            <w:vAlign w:val="center"/>
            <w:hideMark/>
          </w:tcPr>
          <w:p w14:paraId="53F1087A" w14:textId="77777777" w:rsidR="00F46DFB" w:rsidRPr="003B0B89" w:rsidRDefault="00F46DFB">
            <w:pPr>
              <w:jc w:val="right"/>
              <w:rPr>
                <w:rFonts w:eastAsia="Times New Roman" w:cs="Arial"/>
                <w:color w:val="424141"/>
                <w:szCs w:val="22"/>
                <w:lang w:val="en-GB" w:eastAsia="en-GB"/>
              </w:rPr>
            </w:pPr>
          </w:p>
        </w:tc>
        <w:tc>
          <w:tcPr>
            <w:tcW w:w="397" w:type="pct"/>
            <w:tcBorders>
              <w:top w:val="nil"/>
              <w:left w:val="nil"/>
              <w:bottom w:val="nil"/>
              <w:right w:val="nil"/>
            </w:tcBorders>
            <w:shd w:val="clear" w:color="000000" w:fill="D9D9D9"/>
            <w:noWrap/>
            <w:vAlign w:val="center"/>
            <w:hideMark/>
          </w:tcPr>
          <w:p w14:paraId="60DF0DE7" w14:textId="7DD9FFCC" w:rsidR="00F46DFB" w:rsidRPr="003B0B89" w:rsidRDefault="00F46DFB">
            <w:pPr>
              <w:jc w:val="right"/>
              <w:rPr>
                <w:rFonts w:eastAsia="Times New Roman" w:cs="Arial"/>
                <w:color w:val="424141"/>
                <w:szCs w:val="22"/>
                <w:lang w:val="en-GB" w:eastAsia="en-GB"/>
              </w:rPr>
            </w:pPr>
            <w:r>
              <w:rPr>
                <w:rFonts w:cs="Arial"/>
                <w:color w:val="424141"/>
                <w:szCs w:val="22"/>
              </w:rPr>
              <w:t> </w:t>
            </w:r>
          </w:p>
        </w:tc>
        <w:tc>
          <w:tcPr>
            <w:tcW w:w="396" w:type="pct"/>
            <w:tcBorders>
              <w:top w:val="nil"/>
              <w:left w:val="nil"/>
              <w:bottom w:val="nil"/>
              <w:right w:val="nil"/>
            </w:tcBorders>
            <w:shd w:val="clear" w:color="auto" w:fill="auto"/>
            <w:vAlign w:val="center"/>
            <w:hideMark/>
          </w:tcPr>
          <w:p w14:paraId="68255219" w14:textId="77777777" w:rsidR="00F46DFB" w:rsidRPr="003B0B89" w:rsidRDefault="00F46DFB">
            <w:pPr>
              <w:jc w:val="right"/>
              <w:rPr>
                <w:rFonts w:eastAsia="Times New Roman" w:cs="Arial"/>
                <w:color w:val="424141"/>
                <w:szCs w:val="22"/>
                <w:lang w:val="en-GB" w:eastAsia="en-GB"/>
              </w:rPr>
            </w:pPr>
          </w:p>
        </w:tc>
        <w:tc>
          <w:tcPr>
            <w:tcW w:w="398" w:type="pct"/>
            <w:tcBorders>
              <w:top w:val="nil"/>
              <w:left w:val="nil"/>
              <w:bottom w:val="nil"/>
              <w:right w:val="nil"/>
            </w:tcBorders>
            <w:shd w:val="clear" w:color="000000" w:fill="D9D9D9"/>
            <w:noWrap/>
            <w:vAlign w:val="center"/>
            <w:hideMark/>
          </w:tcPr>
          <w:p w14:paraId="7ACB7A98" w14:textId="1448CD8A" w:rsidR="00F46DFB" w:rsidRPr="003B0B89" w:rsidRDefault="00F46DFB">
            <w:pPr>
              <w:jc w:val="right"/>
              <w:rPr>
                <w:rFonts w:eastAsia="Times New Roman" w:cs="Arial"/>
                <w:color w:val="424141"/>
                <w:szCs w:val="22"/>
                <w:lang w:val="en-GB" w:eastAsia="en-GB"/>
              </w:rPr>
            </w:pPr>
            <w:r>
              <w:rPr>
                <w:rFonts w:cs="Arial"/>
                <w:color w:val="424141"/>
                <w:szCs w:val="22"/>
              </w:rPr>
              <w:t>-</w:t>
            </w:r>
            <w:r w:rsidR="002B1946">
              <w:rPr>
                <w:rFonts w:cs="Arial"/>
                <w:color w:val="424141"/>
                <w:szCs w:val="22"/>
              </w:rPr>
              <w:t>744</w:t>
            </w:r>
            <w:r>
              <w:rPr>
                <w:rFonts w:cs="Arial"/>
                <w:color w:val="424141"/>
                <w:szCs w:val="22"/>
              </w:rPr>
              <w:t xml:space="preserve"> </w:t>
            </w:r>
          </w:p>
        </w:tc>
        <w:tc>
          <w:tcPr>
            <w:tcW w:w="386" w:type="pct"/>
            <w:tcBorders>
              <w:top w:val="nil"/>
              <w:left w:val="nil"/>
              <w:bottom w:val="nil"/>
              <w:right w:val="nil"/>
            </w:tcBorders>
            <w:shd w:val="clear" w:color="auto" w:fill="auto"/>
            <w:vAlign w:val="center"/>
            <w:hideMark/>
          </w:tcPr>
          <w:p w14:paraId="6B2B2089" w14:textId="0345A597" w:rsidR="00F46DFB" w:rsidRPr="003B0B89" w:rsidRDefault="00F46DFB">
            <w:pPr>
              <w:jc w:val="right"/>
              <w:rPr>
                <w:rFonts w:eastAsia="Times New Roman" w:cs="Arial"/>
                <w:color w:val="A6A6A6"/>
                <w:szCs w:val="22"/>
                <w:lang w:val="en-GB" w:eastAsia="en-GB"/>
              </w:rPr>
            </w:pPr>
            <w:r>
              <w:rPr>
                <w:rFonts w:cs="Arial"/>
                <w:color w:val="A6A6A6"/>
                <w:szCs w:val="22"/>
              </w:rPr>
              <w:t xml:space="preserve">-888 </w:t>
            </w:r>
          </w:p>
        </w:tc>
      </w:tr>
      <w:tr w:rsidR="00F46DFB" w:rsidRPr="003B0B89" w14:paraId="6B5279A7" w14:textId="77777777" w:rsidTr="002420A7">
        <w:trPr>
          <w:trHeight w:val="285"/>
        </w:trPr>
        <w:tc>
          <w:tcPr>
            <w:tcW w:w="1488" w:type="pct"/>
            <w:tcBorders>
              <w:top w:val="nil"/>
              <w:left w:val="nil"/>
              <w:bottom w:val="nil"/>
              <w:right w:val="nil"/>
            </w:tcBorders>
            <w:shd w:val="clear" w:color="auto" w:fill="auto"/>
            <w:noWrap/>
            <w:vAlign w:val="center"/>
            <w:hideMark/>
          </w:tcPr>
          <w:p w14:paraId="4C2B4A19" w14:textId="77777777" w:rsidR="00F46DFB" w:rsidRPr="003B0B89" w:rsidRDefault="00F46DFB" w:rsidP="00F46DFB">
            <w:pPr>
              <w:pStyle w:val="Bullet"/>
              <w:rPr>
                <w:color w:val="FF6600"/>
                <w:lang w:eastAsia="en-GB"/>
              </w:rPr>
            </w:pPr>
            <w:r w:rsidRPr="003B0B89">
              <w:rPr>
                <w:lang w:eastAsia="en-GB"/>
              </w:rPr>
              <w:t>Building and refurbishment</w:t>
            </w:r>
          </w:p>
        </w:tc>
        <w:tc>
          <w:tcPr>
            <w:tcW w:w="297" w:type="pct"/>
            <w:tcBorders>
              <w:top w:val="nil"/>
              <w:left w:val="nil"/>
              <w:bottom w:val="nil"/>
              <w:right w:val="nil"/>
            </w:tcBorders>
            <w:shd w:val="clear" w:color="auto" w:fill="auto"/>
            <w:noWrap/>
            <w:vAlign w:val="center"/>
            <w:hideMark/>
          </w:tcPr>
          <w:p w14:paraId="33C691B3" w14:textId="77777777" w:rsidR="00F46DFB" w:rsidRPr="003B0B89" w:rsidRDefault="00F46DFB" w:rsidP="00F46DFB">
            <w:pPr>
              <w:ind w:firstLineChars="200" w:firstLine="440"/>
              <w:rPr>
                <w:rFonts w:eastAsia="Times New Roman" w:cs="Arial"/>
                <w:color w:val="FF6600"/>
                <w:szCs w:val="22"/>
                <w:lang w:val="en-GB" w:eastAsia="en-GB"/>
              </w:rPr>
            </w:pPr>
          </w:p>
        </w:tc>
        <w:tc>
          <w:tcPr>
            <w:tcW w:w="447" w:type="pct"/>
            <w:tcBorders>
              <w:top w:val="nil"/>
              <w:left w:val="nil"/>
              <w:bottom w:val="nil"/>
              <w:right w:val="nil"/>
            </w:tcBorders>
            <w:shd w:val="clear" w:color="000000" w:fill="D9D9D9"/>
            <w:noWrap/>
            <w:vAlign w:val="center"/>
            <w:hideMark/>
          </w:tcPr>
          <w:p w14:paraId="63D05A17" w14:textId="10680936" w:rsidR="00F46DFB" w:rsidRPr="003B0B89" w:rsidRDefault="004C054A">
            <w:pPr>
              <w:jc w:val="right"/>
              <w:rPr>
                <w:rFonts w:eastAsia="Times New Roman" w:cs="Arial"/>
                <w:color w:val="424141"/>
                <w:szCs w:val="22"/>
                <w:lang w:val="en-GB" w:eastAsia="en-GB"/>
              </w:rPr>
            </w:pPr>
            <w:r>
              <w:rPr>
                <w:rFonts w:cs="Arial"/>
                <w:color w:val="424141"/>
                <w:szCs w:val="22"/>
              </w:rPr>
              <w:t>-861</w:t>
            </w:r>
            <w:r w:rsidR="00F46DFB">
              <w:rPr>
                <w:rFonts w:cs="Arial"/>
                <w:color w:val="424141"/>
                <w:szCs w:val="22"/>
              </w:rPr>
              <w:t xml:space="preserve"> </w:t>
            </w:r>
          </w:p>
        </w:tc>
        <w:tc>
          <w:tcPr>
            <w:tcW w:w="397" w:type="pct"/>
            <w:tcBorders>
              <w:top w:val="nil"/>
              <w:left w:val="nil"/>
              <w:bottom w:val="nil"/>
              <w:right w:val="nil"/>
            </w:tcBorders>
            <w:shd w:val="clear" w:color="auto" w:fill="auto"/>
            <w:vAlign w:val="center"/>
            <w:hideMark/>
          </w:tcPr>
          <w:p w14:paraId="4B1D0AEF" w14:textId="395346A6" w:rsidR="00F46DFB" w:rsidRPr="003B0B89" w:rsidRDefault="00F46DFB">
            <w:pPr>
              <w:jc w:val="right"/>
              <w:rPr>
                <w:rFonts w:eastAsia="Times New Roman" w:cs="Arial"/>
                <w:color w:val="A6A6A6"/>
                <w:szCs w:val="22"/>
                <w:lang w:val="en-GB" w:eastAsia="en-GB"/>
              </w:rPr>
            </w:pPr>
            <w:r>
              <w:rPr>
                <w:rFonts w:cs="Arial"/>
                <w:color w:val="A6A6A6"/>
                <w:szCs w:val="22"/>
              </w:rPr>
              <w:t xml:space="preserve">-1,976 </w:t>
            </w:r>
          </w:p>
        </w:tc>
        <w:tc>
          <w:tcPr>
            <w:tcW w:w="397" w:type="pct"/>
            <w:tcBorders>
              <w:top w:val="nil"/>
              <w:left w:val="nil"/>
              <w:bottom w:val="nil"/>
              <w:right w:val="nil"/>
            </w:tcBorders>
            <w:shd w:val="clear" w:color="000000" w:fill="D9D9D9"/>
            <w:noWrap/>
            <w:vAlign w:val="center"/>
            <w:hideMark/>
          </w:tcPr>
          <w:p w14:paraId="34393FDA" w14:textId="4F39A4C8" w:rsidR="00F46DFB" w:rsidRPr="003B0B89" w:rsidRDefault="00F46DFB">
            <w:pPr>
              <w:jc w:val="right"/>
              <w:rPr>
                <w:rFonts w:eastAsia="Times New Roman" w:cs="Arial"/>
                <w:color w:val="424141"/>
                <w:szCs w:val="22"/>
                <w:lang w:val="en-GB" w:eastAsia="en-GB"/>
              </w:rPr>
            </w:pPr>
            <w:r>
              <w:rPr>
                <w:rFonts w:cs="Arial"/>
                <w:color w:val="424141"/>
                <w:szCs w:val="22"/>
              </w:rPr>
              <w:t xml:space="preserve">-53 </w:t>
            </w:r>
          </w:p>
        </w:tc>
        <w:tc>
          <w:tcPr>
            <w:tcW w:w="397" w:type="pct"/>
            <w:tcBorders>
              <w:top w:val="nil"/>
              <w:left w:val="nil"/>
              <w:bottom w:val="nil"/>
              <w:right w:val="nil"/>
            </w:tcBorders>
            <w:shd w:val="clear" w:color="auto" w:fill="auto"/>
            <w:vAlign w:val="center"/>
            <w:hideMark/>
          </w:tcPr>
          <w:p w14:paraId="13535D8C" w14:textId="717373FB" w:rsidR="00F46DFB" w:rsidRPr="003B0B89" w:rsidRDefault="00F46DFB">
            <w:pPr>
              <w:jc w:val="right"/>
              <w:rPr>
                <w:rFonts w:eastAsia="Times New Roman" w:cs="Arial"/>
                <w:color w:val="A6A6A6"/>
                <w:szCs w:val="22"/>
                <w:lang w:val="en-GB" w:eastAsia="en-GB"/>
              </w:rPr>
            </w:pPr>
            <w:r>
              <w:rPr>
                <w:rFonts w:cs="Arial"/>
                <w:color w:val="A6A6A6"/>
                <w:szCs w:val="22"/>
              </w:rPr>
              <w:t xml:space="preserve">-55 </w:t>
            </w:r>
          </w:p>
        </w:tc>
        <w:tc>
          <w:tcPr>
            <w:tcW w:w="397" w:type="pct"/>
            <w:tcBorders>
              <w:top w:val="nil"/>
              <w:left w:val="nil"/>
              <w:bottom w:val="nil"/>
              <w:right w:val="nil"/>
            </w:tcBorders>
            <w:shd w:val="clear" w:color="000000" w:fill="D9D9D9"/>
            <w:noWrap/>
            <w:vAlign w:val="center"/>
            <w:hideMark/>
          </w:tcPr>
          <w:p w14:paraId="0038850D" w14:textId="011CA0A8" w:rsidR="00F46DFB" w:rsidRPr="003B0B89" w:rsidRDefault="00F46DFB">
            <w:pPr>
              <w:jc w:val="right"/>
              <w:rPr>
                <w:rFonts w:eastAsia="Times New Roman" w:cs="Arial"/>
                <w:color w:val="424141"/>
                <w:szCs w:val="22"/>
                <w:lang w:val="en-GB" w:eastAsia="en-GB"/>
              </w:rPr>
            </w:pPr>
            <w:r>
              <w:rPr>
                <w:rFonts w:cs="Arial"/>
                <w:color w:val="424141"/>
                <w:szCs w:val="22"/>
              </w:rPr>
              <w:t> </w:t>
            </w:r>
          </w:p>
        </w:tc>
        <w:tc>
          <w:tcPr>
            <w:tcW w:w="396" w:type="pct"/>
            <w:tcBorders>
              <w:top w:val="nil"/>
              <w:left w:val="nil"/>
              <w:bottom w:val="nil"/>
              <w:right w:val="nil"/>
            </w:tcBorders>
            <w:shd w:val="clear" w:color="auto" w:fill="auto"/>
            <w:vAlign w:val="center"/>
            <w:hideMark/>
          </w:tcPr>
          <w:p w14:paraId="1354F840" w14:textId="77777777" w:rsidR="00F46DFB" w:rsidRPr="003B0B89" w:rsidRDefault="00F46DFB">
            <w:pPr>
              <w:jc w:val="right"/>
              <w:rPr>
                <w:rFonts w:eastAsia="Times New Roman" w:cs="Arial"/>
                <w:color w:val="424141"/>
                <w:szCs w:val="22"/>
                <w:lang w:val="en-GB" w:eastAsia="en-GB"/>
              </w:rPr>
            </w:pPr>
          </w:p>
        </w:tc>
        <w:tc>
          <w:tcPr>
            <w:tcW w:w="398" w:type="pct"/>
            <w:tcBorders>
              <w:top w:val="nil"/>
              <w:left w:val="nil"/>
              <w:bottom w:val="nil"/>
              <w:right w:val="nil"/>
            </w:tcBorders>
            <w:shd w:val="clear" w:color="000000" w:fill="D9D9D9"/>
            <w:noWrap/>
            <w:vAlign w:val="center"/>
            <w:hideMark/>
          </w:tcPr>
          <w:p w14:paraId="3DC46F64" w14:textId="6C59E289" w:rsidR="00F46DFB" w:rsidRPr="003B0B89" w:rsidRDefault="00F46DFB">
            <w:pPr>
              <w:jc w:val="right"/>
              <w:rPr>
                <w:rFonts w:eastAsia="Times New Roman" w:cs="Arial"/>
                <w:color w:val="424141"/>
                <w:szCs w:val="22"/>
                <w:lang w:val="en-GB" w:eastAsia="en-GB"/>
              </w:rPr>
            </w:pPr>
            <w:r>
              <w:rPr>
                <w:rFonts w:cs="Arial"/>
                <w:color w:val="424141"/>
                <w:szCs w:val="22"/>
              </w:rPr>
              <w:t>-</w:t>
            </w:r>
            <w:r w:rsidR="002B1946">
              <w:rPr>
                <w:rFonts w:cs="Arial"/>
                <w:color w:val="424141"/>
                <w:szCs w:val="22"/>
              </w:rPr>
              <w:t xml:space="preserve">914 </w:t>
            </w:r>
          </w:p>
        </w:tc>
        <w:tc>
          <w:tcPr>
            <w:tcW w:w="386" w:type="pct"/>
            <w:tcBorders>
              <w:top w:val="nil"/>
              <w:left w:val="nil"/>
              <w:bottom w:val="nil"/>
              <w:right w:val="nil"/>
            </w:tcBorders>
            <w:shd w:val="clear" w:color="auto" w:fill="auto"/>
            <w:vAlign w:val="center"/>
            <w:hideMark/>
          </w:tcPr>
          <w:p w14:paraId="33F223C1" w14:textId="764F68D5" w:rsidR="00F46DFB" w:rsidRPr="003B0B89" w:rsidRDefault="00F46DFB">
            <w:pPr>
              <w:jc w:val="right"/>
              <w:rPr>
                <w:rFonts w:eastAsia="Times New Roman" w:cs="Arial"/>
                <w:color w:val="A6A6A6"/>
                <w:szCs w:val="22"/>
                <w:lang w:val="en-GB" w:eastAsia="en-GB"/>
              </w:rPr>
            </w:pPr>
            <w:r>
              <w:rPr>
                <w:rFonts w:cs="Arial"/>
                <w:color w:val="A6A6A6"/>
                <w:szCs w:val="22"/>
              </w:rPr>
              <w:t xml:space="preserve">-2,031 </w:t>
            </w:r>
          </w:p>
        </w:tc>
      </w:tr>
      <w:tr w:rsidR="00F46DFB" w:rsidRPr="003B0B89" w14:paraId="6BC0FE03" w14:textId="77777777" w:rsidTr="002420A7">
        <w:trPr>
          <w:trHeight w:val="285"/>
        </w:trPr>
        <w:tc>
          <w:tcPr>
            <w:tcW w:w="1488" w:type="pct"/>
            <w:tcBorders>
              <w:top w:val="nil"/>
              <w:left w:val="nil"/>
              <w:bottom w:val="nil"/>
              <w:right w:val="nil"/>
            </w:tcBorders>
            <w:shd w:val="clear" w:color="auto" w:fill="auto"/>
            <w:noWrap/>
            <w:vAlign w:val="center"/>
            <w:hideMark/>
          </w:tcPr>
          <w:p w14:paraId="5611F400" w14:textId="77777777" w:rsidR="00F46DFB" w:rsidRPr="003B0B89" w:rsidRDefault="00F46DFB" w:rsidP="00F46DFB">
            <w:pPr>
              <w:pStyle w:val="Bullet"/>
              <w:rPr>
                <w:color w:val="FF6600"/>
                <w:lang w:eastAsia="en-GB"/>
              </w:rPr>
            </w:pPr>
            <w:r w:rsidRPr="003B0B89">
              <w:rPr>
                <w:lang w:eastAsia="en-GB"/>
              </w:rPr>
              <w:t>Staff education and welfare</w:t>
            </w:r>
          </w:p>
        </w:tc>
        <w:tc>
          <w:tcPr>
            <w:tcW w:w="297" w:type="pct"/>
            <w:tcBorders>
              <w:top w:val="nil"/>
              <w:left w:val="nil"/>
              <w:bottom w:val="nil"/>
              <w:right w:val="nil"/>
            </w:tcBorders>
            <w:shd w:val="clear" w:color="auto" w:fill="auto"/>
            <w:noWrap/>
            <w:vAlign w:val="center"/>
            <w:hideMark/>
          </w:tcPr>
          <w:p w14:paraId="09CA996B" w14:textId="77777777" w:rsidR="00F46DFB" w:rsidRPr="003B0B89" w:rsidRDefault="00F46DFB" w:rsidP="00F46DFB">
            <w:pPr>
              <w:ind w:firstLineChars="200" w:firstLine="440"/>
              <w:rPr>
                <w:rFonts w:eastAsia="Times New Roman" w:cs="Arial"/>
                <w:color w:val="FF6600"/>
                <w:szCs w:val="22"/>
                <w:lang w:val="en-GB" w:eastAsia="en-GB"/>
              </w:rPr>
            </w:pPr>
          </w:p>
        </w:tc>
        <w:tc>
          <w:tcPr>
            <w:tcW w:w="447" w:type="pct"/>
            <w:tcBorders>
              <w:top w:val="nil"/>
              <w:left w:val="nil"/>
              <w:bottom w:val="nil"/>
              <w:right w:val="nil"/>
            </w:tcBorders>
            <w:shd w:val="clear" w:color="000000" w:fill="D9D9D9"/>
            <w:noWrap/>
            <w:vAlign w:val="center"/>
            <w:hideMark/>
          </w:tcPr>
          <w:p w14:paraId="3C6C4330" w14:textId="696545AF" w:rsidR="00F46DFB" w:rsidRPr="003B0B89" w:rsidRDefault="00435442">
            <w:pPr>
              <w:jc w:val="right"/>
              <w:rPr>
                <w:rFonts w:eastAsia="Times New Roman" w:cs="Arial"/>
                <w:color w:val="424141"/>
                <w:szCs w:val="22"/>
                <w:lang w:val="en-GB" w:eastAsia="en-GB"/>
              </w:rPr>
            </w:pPr>
            <w:r>
              <w:rPr>
                <w:rFonts w:cs="Arial"/>
                <w:color w:val="424141"/>
                <w:szCs w:val="22"/>
              </w:rPr>
              <w:t>-2</w:t>
            </w:r>
            <w:r w:rsidR="004C054A">
              <w:rPr>
                <w:rFonts w:cs="Arial"/>
                <w:color w:val="424141"/>
                <w:szCs w:val="22"/>
              </w:rPr>
              <w:t>91</w:t>
            </w:r>
            <w:r w:rsidR="00F46DFB">
              <w:rPr>
                <w:rFonts w:cs="Arial"/>
                <w:color w:val="424141"/>
                <w:szCs w:val="22"/>
              </w:rPr>
              <w:t xml:space="preserve"> </w:t>
            </w:r>
          </w:p>
        </w:tc>
        <w:tc>
          <w:tcPr>
            <w:tcW w:w="397" w:type="pct"/>
            <w:tcBorders>
              <w:top w:val="nil"/>
              <w:left w:val="nil"/>
              <w:bottom w:val="nil"/>
              <w:right w:val="nil"/>
            </w:tcBorders>
            <w:shd w:val="clear" w:color="auto" w:fill="auto"/>
            <w:vAlign w:val="center"/>
            <w:hideMark/>
          </w:tcPr>
          <w:p w14:paraId="205A4D73" w14:textId="75DC9864" w:rsidR="00F46DFB" w:rsidRPr="003B0B89" w:rsidRDefault="00F46DFB">
            <w:pPr>
              <w:jc w:val="right"/>
              <w:rPr>
                <w:rFonts w:eastAsia="Times New Roman" w:cs="Arial"/>
                <w:color w:val="A6A6A6"/>
                <w:szCs w:val="22"/>
                <w:lang w:val="en-GB" w:eastAsia="en-GB"/>
              </w:rPr>
            </w:pPr>
            <w:r>
              <w:rPr>
                <w:rFonts w:cs="Arial"/>
                <w:color w:val="A6A6A6"/>
                <w:szCs w:val="22"/>
              </w:rPr>
              <w:t xml:space="preserve">-844 </w:t>
            </w:r>
          </w:p>
        </w:tc>
        <w:tc>
          <w:tcPr>
            <w:tcW w:w="397" w:type="pct"/>
            <w:tcBorders>
              <w:top w:val="nil"/>
              <w:left w:val="nil"/>
              <w:bottom w:val="nil"/>
              <w:right w:val="nil"/>
            </w:tcBorders>
            <w:shd w:val="clear" w:color="000000" w:fill="D9D9D9"/>
            <w:noWrap/>
            <w:vAlign w:val="center"/>
            <w:hideMark/>
          </w:tcPr>
          <w:p w14:paraId="4359F36B" w14:textId="2ACF3774" w:rsidR="00F46DFB" w:rsidRPr="003B0B89" w:rsidRDefault="00F46DFB">
            <w:pPr>
              <w:jc w:val="right"/>
              <w:rPr>
                <w:rFonts w:eastAsia="Times New Roman" w:cs="Arial"/>
                <w:color w:val="424141"/>
                <w:szCs w:val="22"/>
                <w:lang w:val="en-GB" w:eastAsia="en-GB"/>
              </w:rPr>
            </w:pPr>
            <w:r>
              <w:rPr>
                <w:rFonts w:cs="Arial"/>
                <w:color w:val="424141"/>
                <w:szCs w:val="22"/>
              </w:rPr>
              <w:t xml:space="preserve">-78 </w:t>
            </w:r>
          </w:p>
        </w:tc>
        <w:tc>
          <w:tcPr>
            <w:tcW w:w="397" w:type="pct"/>
            <w:tcBorders>
              <w:top w:val="nil"/>
              <w:left w:val="nil"/>
              <w:bottom w:val="nil"/>
              <w:right w:val="nil"/>
            </w:tcBorders>
            <w:shd w:val="clear" w:color="auto" w:fill="auto"/>
            <w:vAlign w:val="center"/>
            <w:hideMark/>
          </w:tcPr>
          <w:p w14:paraId="6CDC2403" w14:textId="77777777" w:rsidR="00F46DFB" w:rsidRPr="003B0B89" w:rsidRDefault="00F46DFB">
            <w:pPr>
              <w:jc w:val="right"/>
              <w:rPr>
                <w:rFonts w:eastAsia="Times New Roman" w:cs="Arial"/>
                <w:color w:val="424141"/>
                <w:szCs w:val="22"/>
                <w:lang w:val="en-GB" w:eastAsia="en-GB"/>
              </w:rPr>
            </w:pPr>
          </w:p>
        </w:tc>
        <w:tc>
          <w:tcPr>
            <w:tcW w:w="397" w:type="pct"/>
            <w:tcBorders>
              <w:top w:val="nil"/>
              <w:left w:val="nil"/>
              <w:bottom w:val="nil"/>
              <w:right w:val="nil"/>
            </w:tcBorders>
            <w:shd w:val="clear" w:color="000000" w:fill="D9D9D9"/>
            <w:noWrap/>
            <w:vAlign w:val="center"/>
            <w:hideMark/>
          </w:tcPr>
          <w:p w14:paraId="545E869E" w14:textId="12851523" w:rsidR="00F46DFB" w:rsidRPr="003B0B89" w:rsidRDefault="00F46DFB">
            <w:pPr>
              <w:jc w:val="right"/>
              <w:rPr>
                <w:rFonts w:eastAsia="Times New Roman" w:cs="Arial"/>
                <w:color w:val="424141"/>
                <w:szCs w:val="22"/>
                <w:lang w:val="en-GB" w:eastAsia="en-GB"/>
              </w:rPr>
            </w:pPr>
          </w:p>
        </w:tc>
        <w:tc>
          <w:tcPr>
            <w:tcW w:w="396" w:type="pct"/>
            <w:tcBorders>
              <w:top w:val="nil"/>
              <w:left w:val="nil"/>
              <w:bottom w:val="nil"/>
              <w:right w:val="nil"/>
            </w:tcBorders>
            <w:shd w:val="clear" w:color="auto" w:fill="auto"/>
            <w:vAlign w:val="center"/>
            <w:hideMark/>
          </w:tcPr>
          <w:p w14:paraId="495F3B3B" w14:textId="77777777" w:rsidR="00F46DFB" w:rsidRPr="003B0B89" w:rsidRDefault="00F46DFB">
            <w:pPr>
              <w:jc w:val="right"/>
              <w:rPr>
                <w:rFonts w:eastAsia="Times New Roman" w:cs="Arial"/>
                <w:color w:val="424141"/>
                <w:szCs w:val="22"/>
                <w:lang w:val="en-GB" w:eastAsia="en-GB"/>
              </w:rPr>
            </w:pPr>
          </w:p>
        </w:tc>
        <w:tc>
          <w:tcPr>
            <w:tcW w:w="398" w:type="pct"/>
            <w:tcBorders>
              <w:top w:val="nil"/>
              <w:left w:val="nil"/>
              <w:bottom w:val="nil"/>
              <w:right w:val="nil"/>
            </w:tcBorders>
            <w:shd w:val="clear" w:color="000000" w:fill="D9D9D9"/>
            <w:noWrap/>
            <w:vAlign w:val="center"/>
            <w:hideMark/>
          </w:tcPr>
          <w:p w14:paraId="65702C7C" w14:textId="14729C69" w:rsidR="00F46DFB" w:rsidRPr="003B0B89" w:rsidRDefault="00F46DFB">
            <w:pPr>
              <w:jc w:val="right"/>
              <w:rPr>
                <w:rFonts w:eastAsia="Times New Roman" w:cs="Arial"/>
                <w:color w:val="424141"/>
                <w:szCs w:val="22"/>
                <w:lang w:val="en-GB" w:eastAsia="en-GB"/>
              </w:rPr>
            </w:pPr>
            <w:r>
              <w:rPr>
                <w:rFonts w:cs="Arial"/>
                <w:color w:val="424141"/>
                <w:szCs w:val="22"/>
              </w:rPr>
              <w:t>-</w:t>
            </w:r>
            <w:r w:rsidR="001F1082">
              <w:rPr>
                <w:rFonts w:cs="Arial"/>
                <w:color w:val="424141"/>
                <w:szCs w:val="22"/>
              </w:rPr>
              <w:t>369</w:t>
            </w:r>
          </w:p>
        </w:tc>
        <w:tc>
          <w:tcPr>
            <w:tcW w:w="386" w:type="pct"/>
            <w:tcBorders>
              <w:top w:val="nil"/>
              <w:left w:val="nil"/>
              <w:bottom w:val="nil"/>
              <w:right w:val="nil"/>
            </w:tcBorders>
            <w:shd w:val="clear" w:color="auto" w:fill="auto"/>
            <w:vAlign w:val="center"/>
            <w:hideMark/>
          </w:tcPr>
          <w:p w14:paraId="1B677A06" w14:textId="0FBA5987" w:rsidR="00F46DFB" w:rsidRPr="003B0B89" w:rsidRDefault="00F46DFB">
            <w:pPr>
              <w:jc w:val="right"/>
              <w:rPr>
                <w:rFonts w:eastAsia="Times New Roman" w:cs="Arial"/>
                <w:color w:val="A6A6A6"/>
                <w:szCs w:val="22"/>
                <w:lang w:val="en-GB" w:eastAsia="en-GB"/>
              </w:rPr>
            </w:pPr>
            <w:r>
              <w:rPr>
                <w:rFonts w:cs="Arial"/>
                <w:color w:val="A6A6A6"/>
                <w:szCs w:val="22"/>
              </w:rPr>
              <w:t xml:space="preserve">-844 </w:t>
            </w:r>
          </w:p>
        </w:tc>
      </w:tr>
      <w:tr w:rsidR="00F46DFB" w:rsidRPr="003B0B89" w14:paraId="4AFEB7DD" w14:textId="77777777" w:rsidTr="00E50C2D">
        <w:trPr>
          <w:trHeight w:val="285"/>
        </w:trPr>
        <w:tc>
          <w:tcPr>
            <w:tcW w:w="1488" w:type="pct"/>
            <w:tcBorders>
              <w:top w:val="nil"/>
              <w:left w:val="nil"/>
              <w:bottom w:val="nil"/>
              <w:right w:val="nil"/>
            </w:tcBorders>
            <w:shd w:val="clear" w:color="auto" w:fill="auto"/>
            <w:noWrap/>
            <w:vAlign w:val="center"/>
            <w:hideMark/>
          </w:tcPr>
          <w:p w14:paraId="65DD9E04" w14:textId="77777777" w:rsidR="00F46DFB" w:rsidRPr="003B0B89" w:rsidRDefault="00F46DFB" w:rsidP="00F46DFB">
            <w:pPr>
              <w:pStyle w:val="Bullet"/>
              <w:rPr>
                <w:color w:val="FF6600"/>
                <w:lang w:eastAsia="en-GB"/>
              </w:rPr>
            </w:pPr>
            <w:r w:rsidRPr="003B0B89">
              <w:rPr>
                <w:lang w:eastAsia="en-GB"/>
              </w:rPr>
              <w:t>Patient education and welfare</w:t>
            </w:r>
          </w:p>
        </w:tc>
        <w:tc>
          <w:tcPr>
            <w:tcW w:w="297" w:type="pct"/>
            <w:tcBorders>
              <w:top w:val="nil"/>
              <w:left w:val="nil"/>
              <w:bottom w:val="nil"/>
              <w:right w:val="nil"/>
            </w:tcBorders>
            <w:shd w:val="clear" w:color="auto" w:fill="auto"/>
            <w:noWrap/>
            <w:vAlign w:val="center"/>
            <w:hideMark/>
          </w:tcPr>
          <w:p w14:paraId="0203F312" w14:textId="77777777" w:rsidR="00F46DFB" w:rsidRPr="003B0B89" w:rsidRDefault="00F46DFB" w:rsidP="00F46DFB">
            <w:pPr>
              <w:ind w:firstLineChars="200" w:firstLine="440"/>
              <w:rPr>
                <w:rFonts w:eastAsia="Times New Roman" w:cs="Arial"/>
                <w:color w:val="FF6600"/>
                <w:szCs w:val="22"/>
                <w:lang w:val="en-GB" w:eastAsia="en-GB"/>
              </w:rPr>
            </w:pPr>
          </w:p>
        </w:tc>
        <w:tc>
          <w:tcPr>
            <w:tcW w:w="447" w:type="pct"/>
            <w:tcBorders>
              <w:top w:val="nil"/>
              <w:left w:val="nil"/>
              <w:right w:val="nil"/>
            </w:tcBorders>
            <w:shd w:val="clear" w:color="000000" w:fill="D9D9D9"/>
            <w:noWrap/>
            <w:vAlign w:val="center"/>
            <w:hideMark/>
          </w:tcPr>
          <w:p w14:paraId="6C90B76D" w14:textId="7B0956FF" w:rsidR="00F46DFB" w:rsidRPr="003B0B89" w:rsidRDefault="00F46DFB">
            <w:pPr>
              <w:jc w:val="right"/>
              <w:rPr>
                <w:rFonts w:eastAsia="Times New Roman" w:cs="Arial"/>
                <w:color w:val="424141"/>
                <w:szCs w:val="22"/>
                <w:lang w:val="en-GB" w:eastAsia="en-GB"/>
              </w:rPr>
            </w:pPr>
            <w:r>
              <w:rPr>
                <w:rFonts w:cs="Arial"/>
                <w:color w:val="424141"/>
                <w:szCs w:val="22"/>
              </w:rPr>
              <w:t xml:space="preserve">-109 </w:t>
            </w:r>
          </w:p>
        </w:tc>
        <w:tc>
          <w:tcPr>
            <w:tcW w:w="397" w:type="pct"/>
            <w:tcBorders>
              <w:top w:val="nil"/>
              <w:left w:val="nil"/>
              <w:right w:val="nil"/>
            </w:tcBorders>
            <w:shd w:val="clear" w:color="auto" w:fill="auto"/>
            <w:vAlign w:val="center"/>
            <w:hideMark/>
          </w:tcPr>
          <w:p w14:paraId="06D9D228" w14:textId="305B755D" w:rsidR="00F46DFB" w:rsidRPr="003B0B89" w:rsidRDefault="00F46DFB">
            <w:pPr>
              <w:jc w:val="right"/>
              <w:rPr>
                <w:rFonts w:eastAsia="Times New Roman" w:cs="Arial"/>
                <w:color w:val="A6A6A6"/>
                <w:szCs w:val="22"/>
                <w:lang w:val="en-GB" w:eastAsia="en-GB"/>
              </w:rPr>
            </w:pPr>
            <w:r>
              <w:rPr>
                <w:rFonts w:cs="Arial"/>
                <w:color w:val="A6A6A6"/>
                <w:szCs w:val="22"/>
              </w:rPr>
              <w:t xml:space="preserve">-126 </w:t>
            </w:r>
          </w:p>
        </w:tc>
        <w:tc>
          <w:tcPr>
            <w:tcW w:w="397" w:type="pct"/>
            <w:tcBorders>
              <w:top w:val="nil"/>
              <w:left w:val="nil"/>
              <w:right w:val="nil"/>
            </w:tcBorders>
            <w:shd w:val="clear" w:color="000000" w:fill="D9D9D9"/>
            <w:noWrap/>
            <w:vAlign w:val="center"/>
            <w:hideMark/>
          </w:tcPr>
          <w:p w14:paraId="6D5FEED1" w14:textId="3FB24D06" w:rsidR="00F46DFB" w:rsidRPr="003B0B89" w:rsidRDefault="00F46DFB">
            <w:pPr>
              <w:jc w:val="right"/>
              <w:rPr>
                <w:rFonts w:eastAsia="Times New Roman" w:cs="Arial"/>
                <w:color w:val="424141"/>
                <w:szCs w:val="22"/>
                <w:lang w:val="en-GB" w:eastAsia="en-GB"/>
              </w:rPr>
            </w:pPr>
            <w:r>
              <w:rPr>
                <w:rFonts w:cs="Arial"/>
                <w:color w:val="424141"/>
                <w:szCs w:val="22"/>
              </w:rPr>
              <w:t xml:space="preserve">-19 </w:t>
            </w:r>
          </w:p>
        </w:tc>
        <w:tc>
          <w:tcPr>
            <w:tcW w:w="397" w:type="pct"/>
            <w:tcBorders>
              <w:top w:val="nil"/>
              <w:left w:val="nil"/>
              <w:right w:val="nil"/>
            </w:tcBorders>
            <w:shd w:val="clear" w:color="auto" w:fill="auto"/>
            <w:vAlign w:val="center"/>
            <w:hideMark/>
          </w:tcPr>
          <w:p w14:paraId="1459C12A" w14:textId="77777777" w:rsidR="00F46DFB" w:rsidRPr="003B0B89" w:rsidRDefault="00F46DFB">
            <w:pPr>
              <w:jc w:val="right"/>
              <w:rPr>
                <w:rFonts w:eastAsia="Times New Roman" w:cs="Arial"/>
                <w:color w:val="424141"/>
                <w:szCs w:val="22"/>
                <w:lang w:val="en-GB" w:eastAsia="en-GB"/>
              </w:rPr>
            </w:pPr>
          </w:p>
        </w:tc>
        <w:tc>
          <w:tcPr>
            <w:tcW w:w="397" w:type="pct"/>
            <w:tcBorders>
              <w:top w:val="nil"/>
              <w:left w:val="nil"/>
              <w:right w:val="nil"/>
            </w:tcBorders>
            <w:shd w:val="clear" w:color="000000" w:fill="D9D9D9"/>
            <w:noWrap/>
            <w:vAlign w:val="center"/>
            <w:hideMark/>
          </w:tcPr>
          <w:p w14:paraId="525417D6" w14:textId="745FCB38" w:rsidR="00F46DFB" w:rsidRPr="003B0B89" w:rsidRDefault="007F733A">
            <w:pPr>
              <w:jc w:val="right"/>
              <w:rPr>
                <w:rFonts w:eastAsia="Times New Roman" w:cs="Arial"/>
                <w:color w:val="424141"/>
                <w:szCs w:val="22"/>
                <w:lang w:val="en-GB" w:eastAsia="en-GB"/>
              </w:rPr>
            </w:pPr>
            <w:r>
              <w:rPr>
                <w:rFonts w:cs="Arial"/>
                <w:color w:val="424141"/>
                <w:szCs w:val="22"/>
              </w:rPr>
              <w:t xml:space="preserve">-9 </w:t>
            </w:r>
          </w:p>
        </w:tc>
        <w:tc>
          <w:tcPr>
            <w:tcW w:w="396" w:type="pct"/>
            <w:tcBorders>
              <w:top w:val="nil"/>
              <w:left w:val="nil"/>
              <w:right w:val="nil"/>
            </w:tcBorders>
            <w:shd w:val="clear" w:color="auto" w:fill="auto"/>
            <w:vAlign w:val="center"/>
            <w:hideMark/>
          </w:tcPr>
          <w:p w14:paraId="7F2353B1" w14:textId="10168101" w:rsidR="00F46DFB" w:rsidRPr="003B0B89" w:rsidRDefault="00F46DFB">
            <w:pPr>
              <w:jc w:val="right"/>
              <w:rPr>
                <w:rFonts w:eastAsia="Times New Roman" w:cs="Arial"/>
                <w:color w:val="A6A6A6"/>
                <w:szCs w:val="22"/>
                <w:lang w:val="en-GB" w:eastAsia="en-GB"/>
              </w:rPr>
            </w:pPr>
            <w:r>
              <w:rPr>
                <w:rFonts w:cs="Arial"/>
                <w:color w:val="A6A6A6"/>
                <w:szCs w:val="22"/>
              </w:rPr>
              <w:t xml:space="preserve">-10 </w:t>
            </w:r>
          </w:p>
        </w:tc>
        <w:tc>
          <w:tcPr>
            <w:tcW w:w="398" w:type="pct"/>
            <w:tcBorders>
              <w:top w:val="nil"/>
              <w:left w:val="nil"/>
              <w:right w:val="nil"/>
            </w:tcBorders>
            <w:shd w:val="clear" w:color="000000" w:fill="D9D9D9"/>
            <w:noWrap/>
            <w:vAlign w:val="center"/>
            <w:hideMark/>
          </w:tcPr>
          <w:p w14:paraId="094E9D2C" w14:textId="5DFF37F7" w:rsidR="00F46DFB" w:rsidRPr="003B0B89" w:rsidRDefault="007F733A">
            <w:pPr>
              <w:jc w:val="right"/>
              <w:rPr>
                <w:rFonts w:eastAsia="Times New Roman" w:cs="Arial"/>
                <w:color w:val="424141"/>
                <w:szCs w:val="22"/>
                <w:lang w:val="en-GB" w:eastAsia="en-GB"/>
              </w:rPr>
            </w:pPr>
            <w:r>
              <w:rPr>
                <w:rFonts w:cs="Arial"/>
                <w:color w:val="424141"/>
                <w:szCs w:val="22"/>
              </w:rPr>
              <w:t>-137</w:t>
            </w:r>
            <w:r w:rsidR="00F46DFB">
              <w:rPr>
                <w:rFonts w:cs="Arial"/>
                <w:color w:val="424141"/>
                <w:szCs w:val="22"/>
              </w:rPr>
              <w:t xml:space="preserve"> </w:t>
            </w:r>
          </w:p>
        </w:tc>
        <w:tc>
          <w:tcPr>
            <w:tcW w:w="386" w:type="pct"/>
            <w:tcBorders>
              <w:top w:val="nil"/>
              <w:left w:val="nil"/>
              <w:right w:val="nil"/>
            </w:tcBorders>
            <w:shd w:val="clear" w:color="auto" w:fill="auto"/>
            <w:vAlign w:val="center"/>
            <w:hideMark/>
          </w:tcPr>
          <w:p w14:paraId="27F05BCE" w14:textId="55048721" w:rsidR="00F46DFB" w:rsidRPr="003B0B89" w:rsidRDefault="00F46DFB">
            <w:pPr>
              <w:jc w:val="right"/>
              <w:rPr>
                <w:rFonts w:eastAsia="Times New Roman" w:cs="Arial"/>
                <w:color w:val="A6A6A6"/>
                <w:szCs w:val="22"/>
                <w:lang w:val="en-GB" w:eastAsia="en-GB"/>
              </w:rPr>
            </w:pPr>
            <w:r>
              <w:rPr>
                <w:rFonts w:cs="Arial"/>
                <w:color w:val="A6A6A6"/>
                <w:szCs w:val="22"/>
              </w:rPr>
              <w:t xml:space="preserve">-136 </w:t>
            </w:r>
          </w:p>
        </w:tc>
      </w:tr>
      <w:tr w:rsidR="00F46DFB" w:rsidRPr="003B0B89" w14:paraId="0C4FF06A" w14:textId="77777777" w:rsidTr="00137E74">
        <w:trPr>
          <w:trHeight w:val="285"/>
        </w:trPr>
        <w:tc>
          <w:tcPr>
            <w:tcW w:w="1488" w:type="pct"/>
            <w:tcBorders>
              <w:top w:val="nil"/>
              <w:left w:val="nil"/>
              <w:bottom w:val="nil"/>
              <w:right w:val="nil"/>
            </w:tcBorders>
            <w:shd w:val="clear" w:color="auto" w:fill="auto"/>
            <w:noWrap/>
            <w:vAlign w:val="center"/>
            <w:hideMark/>
          </w:tcPr>
          <w:p w14:paraId="28E084CF" w14:textId="77777777" w:rsidR="00F46DFB" w:rsidRPr="003B0B89" w:rsidRDefault="00F46DFB" w:rsidP="00F46DFB">
            <w:pPr>
              <w:pStyle w:val="Bullet"/>
              <w:rPr>
                <w:color w:val="FF6600"/>
                <w:lang w:eastAsia="en-GB"/>
              </w:rPr>
            </w:pPr>
            <w:r w:rsidRPr="003B0B89">
              <w:rPr>
                <w:lang w:eastAsia="en-GB"/>
              </w:rPr>
              <w:t>Community welfare</w:t>
            </w:r>
          </w:p>
        </w:tc>
        <w:tc>
          <w:tcPr>
            <w:tcW w:w="297" w:type="pct"/>
            <w:tcBorders>
              <w:top w:val="nil"/>
              <w:left w:val="nil"/>
              <w:bottom w:val="nil"/>
              <w:right w:val="nil"/>
            </w:tcBorders>
            <w:shd w:val="clear" w:color="auto" w:fill="auto"/>
            <w:noWrap/>
            <w:vAlign w:val="center"/>
            <w:hideMark/>
          </w:tcPr>
          <w:p w14:paraId="4853C5C7" w14:textId="77777777" w:rsidR="00F46DFB" w:rsidRPr="003B0B89" w:rsidRDefault="00F46DFB" w:rsidP="00F46DFB">
            <w:pPr>
              <w:ind w:firstLineChars="200" w:firstLine="440"/>
              <w:rPr>
                <w:rFonts w:eastAsia="Times New Roman" w:cs="Arial"/>
                <w:color w:val="FF6600"/>
                <w:szCs w:val="22"/>
                <w:lang w:val="en-GB" w:eastAsia="en-GB"/>
              </w:rPr>
            </w:pPr>
          </w:p>
        </w:tc>
        <w:tc>
          <w:tcPr>
            <w:tcW w:w="447" w:type="pct"/>
            <w:tcBorders>
              <w:top w:val="nil"/>
              <w:left w:val="nil"/>
              <w:bottom w:val="single" w:sz="4" w:space="0" w:color="auto"/>
              <w:right w:val="nil"/>
            </w:tcBorders>
            <w:shd w:val="clear" w:color="000000" w:fill="D9D9D9"/>
            <w:noWrap/>
            <w:vAlign w:val="center"/>
            <w:hideMark/>
          </w:tcPr>
          <w:p w14:paraId="50D72F32" w14:textId="29C0E823" w:rsidR="00F46DFB" w:rsidRPr="003B0B89" w:rsidRDefault="00F46DFB">
            <w:pPr>
              <w:jc w:val="right"/>
              <w:rPr>
                <w:rFonts w:eastAsia="Times New Roman" w:cs="Arial"/>
                <w:color w:val="424141"/>
                <w:szCs w:val="22"/>
                <w:lang w:val="en-GB" w:eastAsia="en-GB"/>
              </w:rPr>
            </w:pPr>
          </w:p>
        </w:tc>
        <w:tc>
          <w:tcPr>
            <w:tcW w:w="397" w:type="pct"/>
            <w:tcBorders>
              <w:top w:val="nil"/>
              <w:left w:val="nil"/>
              <w:bottom w:val="single" w:sz="4" w:space="0" w:color="auto"/>
              <w:right w:val="nil"/>
            </w:tcBorders>
            <w:shd w:val="clear" w:color="auto" w:fill="auto"/>
            <w:vAlign w:val="center"/>
            <w:hideMark/>
          </w:tcPr>
          <w:p w14:paraId="6A3A6B13" w14:textId="77777777" w:rsidR="00F46DFB" w:rsidRPr="003B0B89" w:rsidRDefault="00F46DFB">
            <w:pPr>
              <w:jc w:val="right"/>
              <w:rPr>
                <w:rFonts w:eastAsia="Times New Roman" w:cs="Arial"/>
                <w:color w:val="424141"/>
                <w:szCs w:val="22"/>
                <w:lang w:val="en-GB" w:eastAsia="en-GB"/>
              </w:rPr>
            </w:pPr>
          </w:p>
        </w:tc>
        <w:tc>
          <w:tcPr>
            <w:tcW w:w="397" w:type="pct"/>
            <w:tcBorders>
              <w:top w:val="nil"/>
              <w:left w:val="nil"/>
              <w:bottom w:val="single" w:sz="4" w:space="0" w:color="auto"/>
              <w:right w:val="nil"/>
            </w:tcBorders>
            <w:shd w:val="clear" w:color="000000" w:fill="D9D9D9"/>
            <w:noWrap/>
            <w:vAlign w:val="center"/>
            <w:hideMark/>
          </w:tcPr>
          <w:p w14:paraId="5E2AB6E7" w14:textId="689656D0" w:rsidR="00F46DFB" w:rsidRPr="003B0B89" w:rsidRDefault="00F46DFB">
            <w:pPr>
              <w:jc w:val="right"/>
              <w:rPr>
                <w:rFonts w:eastAsia="Times New Roman" w:cs="Arial"/>
                <w:color w:val="424141"/>
                <w:szCs w:val="22"/>
                <w:lang w:val="en-GB" w:eastAsia="en-GB"/>
              </w:rPr>
            </w:pPr>
            <w:r>
              <w:rPr>
                <w:rFonts w:cs="Arial"/>
                <w:color w:val="424141"/>
                <w:szCs w:val="22"/>
              </w:rPr>
              <w:t xml:space="preserve">-43 </w:t>
            </w:r>
          </w:p>
        </w:tc>
        <w:tc>
          <w:tcPr>
            <w:tcW w:w="397" w:type="pct"/>
            <w:tcBorders>
              <w:top w:val="nil"/>
              <w:left w:val="nil"/>
              <w:bottom w:val="single" w:sz="4" w:space="0" w:color="auto"/>
              <w:right w:val="nil"/>
            </w:tcBorders>
            <w:shd w:val="clear" w:color="auto" w:fill="auto"/>
            <w:vAlign w:val="center"/>
            <w:hideMark/>
          </w:tcPr>
          <w:p w14:paraId="27B7B78D" w14:textId="77777777" w:rsidR="00F46DFB" w:rsidRPr="003B0B89" w:rsidRDefault="00F46DFB">
            <w:pPr>
              <w:jc w:val="right"/>
              <w:rPr>
                <w:rFonts w:eastAsia="Times New Roman" w:cs="Arial"/>
                <w:color w:val="424141"/>
                <w:szCs w:val="22"/>
                <w:lang w:val="en-GB" w:eastAsia="en-GB"/>
              </w:rPr>
            </w:pPr>
          </w:p>
        </w:tc>
        <w:tc>
          <w:tcPr>
            <w:tcW w:w="397" w:type="pct"/>
            <w:tcBorders>
              <w:top w:val="nil"/>
              <w:left w:val="nil"/>
              <w:bottom w:val="single" w:sz="4" w:space="0" w:color="auto"/>
              <w:right w:val="nil"/>
            </w:tcBorders>
            <w:shd w:val="clear" w:color="000000" w:fill="D9D9D9"/>
            <w:noWrap/>
            <w:vAlign w:val="center"/>
            <w:hideMark/>
          </w:tcPr>
          <w:p w14:paraId="4E096AD2" w14:textId="6A8D4A11" w:rsidR="00F46DFB" w:rsidRPr="003B0B89" w:rsidRDefault="00F46DFB">
            <w:pPr>
              <w:jc w:val="right"/>
              <w:rPr>
                <w:rFonts w:eastAsia="Times New Roman" w:cs="Arial"/>
                <w:color w:val="424141"/>
                <w:szCs w:val="22"/>
                <w:lang w:val="en-GB" w:eastAsia="en-GB"/>
              </w:rPr>
            </w:pPr>
          </w:p>
        </w:tc>
        <w:tc>
          <w:tcPr>
            <w:tcW w:w="396" w:type="pct"/>
            <w:tcBorders>
              <w:top w:val="nil"/>
              <w:left w:val="nil"/>
              <w:bottom w:val="single" w:sz="4" w:space="0" w:color="auto"/>
              <w:right w:val="nil"/>
            </w:tcBorders>
            <w:shd w:val="clear" w:color="auto" w:fill="auto"/>
            <w:vAlign w:val="center"/>
            <w:hideMark/>
          </w:tcPr>
          <w:p w14:paraId="5A53E8E2" w14:textId="77777777" w:rsidR="00F46DFB" w:rsidRPr="003B0B89" w:rsidRDefault="00F46DFB">
            <w:pPr>
              <w:jc w:val="right"/>
              <w:rPr>
                <w:rFonts w:eastAsia="Times New Roman" w:cs="Arial"/>
                <w:color w:val="424141"/>
                <w:szCs w:val="22"/>
                <w:lang w:val="en-GB" w:eastAsia="en-GB"/>
              </w:rPr>
            </w:pPr>
          </w:p>
        </w:tc>
        <w:tc>
          <w:tcPr>
            <w:tcW w:w="398" w:type="pct"/>
            <w:tcBorders>
              <w:top w:val="nil"/>
              <w:left w:val="nil"/>
              <w:bottom w:val="single" w:sz="4" w:space="0" w:color="auto"/>
              <w:right w:val="nil"/>
            </w:tcBorders>
            <w:shd w:val="clear" w:color="000000" w:fill="D9D9D9"/>
            <w:noWrap/>
            <w:vAlign w:val="center"/>
            <w:hideMark/>
          </w:tcPr>
          <w:p w14:paraId="601A03D6" w14:textId="495F6C94" w:rsidR="00F46DFB" w:rsidRPr="003B0B89" w:rsidRDefault="00F46DFB">
            <w:pPr>
              <w:jc w:val="right"/>
              <w:rPr>
                <w:rFonts w:eastAsia="Times New Roman" w:cs="Arial"/>
                <w:color w:val="424141"/>
                <w:szCs w:val="22"/>
                <w:lang w:val="en-GB" w:eastAsia="en-GB"/>
              </w:rPr>
            </w:pPr>
            <w:r>
              <w:rPr>
                <w:rFonts w:cs="Arial"/>
                <w:color w:val="424141"/>
                <w:szCs w:val="22"/>
              </w:rPr>
              <w:t xml:space="preserve">-43 </w:t>
            </w:r>
          </w:p>
        </w:tc>
        <w:tc>
          <w:tcPr>
            <w:tcW w:w="386" w:type="pct"/>
            <w:tcBorders>
              <w:top w:val="nil"/>
              <w:left w:val="nil"/>
              <w:bottom w:val="single" w:sz="4" w:space="0" w:color="auto"/>
              <w:right w:val="nil"/>
            </w:tcBorders>
            <w:shd w:val="clear" w:color="auto" w:fill="auto"/>
            <w:vAlign w:val="center"/>
            <w:hideMark/>
          </w:tcPr>
          <w:p w14:paraId="61120B7F" w14:textId="6CD55403" w:rsidR="00F46DFB" w:rsidRPr="003B0B89" w:rsidRDefault="00F46DFB">
            <w:pPr>
              <w:jc w:val="right"/>
              <w:rPr>
                <w:rFonts w:eastAsia="Times New Roman" w:cs="Arial"/>
                <w:color w:val="A6A6A6"/>
                <w:szCs w:val="22"/>
                <w:lang w:val="en-GB" w:eastAsia="en-GB"/>
              </w:rPr>
            </w:pPr>
          </w:p>
        </w:tc>
      </w:tr>
      <w:tr w:rsidR="00F46DFB" w:rsidRPr="003B0B89" w14:paraId="14888FD1" w14:textId="77777777" w:rsidTr="00137E74">
        <w:trPr>
          <w:trHeight w:val="285"/>
        </w:trPr>
        <w:tc>
          <w:tcPr>
            <w:tcW w:w="1488" w:type="pct"/>
            <w:tcBorders>
              <w:top w:val="nil"/>
              <w:left w:val="nil"/>
              <w:bottom w:val="nil"/>
              <w:right w:val="nil"/>
            </w:tcBorders>
            <w:shd w:val="clear" w:color="auto" w:fill="auto"/>
            <w:noWrap/>
            <w:vAlign w:val="center"/>
            <w:hideMark/>
          </w:tcPr>
          <w:p w14:paraId="0E3FD2B6" w14:textId="77777777" w:rsidR="00F46DFB" w:rsidRPr="003B0B89" w:rsidRDefault="00F46DFB" w:rsidP="00F46DFB">
            <w:pPr>
              <w:rPr>
                <w:rFonts w:eastAsia="Times New Roman" w:cs="Arial"/>
                <w:b/>
                <w:bCs/>
                <w:color w:val="424141"/>
                <w:szCs w:val="22"/>
                <w:lang w:val="en-GB" w:eastAsia="en-GB"/>
              </w:rPr>
            </w:pPr>
            <w:r w:rsidRPr="003B0B89">
              <w:rPr>
                <w:rFonts w:eastAsia="Times New Roman" w:cs="Arial"/>
                <w:b/>
                <w:bCs/>
                <w:color w:val="424141"/>
                <w:szCs w:val="22"/>
                <w:lang w:val="en-GB" w:eastAsia="en-GB"/>
              </w:rPr>
              <w:t>Total expenditure</w:t>
            </w:r>
          </w:p>
        </w:tc>
        <w:tc>
          <w:tcPr>
            <w:tcW w:w="297" w:type="pct"/>
            <w:tcBorders>
              <w:top w:val="nil"/>
              <w:left w:val="nil"/>
              <w:bottom w:val="nil"/>
              <w:right w:val="nil"/>
            </w:tcBorders>
            <w:shd w:val="clear" w:color="auto" w:fill="auto"/>
            <w:noWrap/>
            <w:vAlign w:val="center"/>
            <w:hideMark/>
          </w:tcPr>
          <w:p w14:paraId="4183392E" w14:textId="77777777" w:rsidR="00F46DFB" w:rsidRPr="003B0B89" w:rsidRDefault="00F46DFB" w:rsidP="00F46DFB">
            <w:pPr>
              <w:rPr>
                <w:rFonts w:eastAsia="Times New Roman" w:cs="Arial"/>
                <w:b/>
                <w:bCs/>
                <w:color w:val="424141"/>
                <w:szCs w:val="22"/>
                <w:lang w:val="en-GB" w:eastAsia="en-GB"/>
              </w:rPr>
            </w:pPr>
          </w:p>
        </w:tc>
        <w:tc>
          <w:tcPr>
            <w:tcW w:w="447" w:type="pct"/>
            <w:tcBorders>
              <w:top w:val="single" w:sz="4" w:space="0" w:color="auto"/>
              <w:left w:val="nil"/>
              <w:right w:val="nil"/>
            </w:tcBorders>
            <w:shd w:val="clear" w:color="000000" w:fill="D9D9D9"/>
            <w:noWrap/>
            <w:vAlign w:val="center"/>
            <w:hideMark/>
          </w:tcPr>
          <w:p w14:paraId="623561DD" w14:textId="13654423" w:rsidR="00F46DFB" w:rsidRPr="003B0B89" w:rsidRDefault="00AA0601">
            <w:pPr>
              <w:jc w:val="right"/>
              <w:rPr>
                <w:rFonts w:eastAsia="Times New Roman" w:cs="Arial"/>
                <w:color w:val="424141"/>
                <w:szCs w:val="22"/>
                <w:lang w:val="en-GB" w:eastAsia="en-GB"/>
              </w:rPr>
            </w:pPr>
            <w:r>
              <w:rPr>
                <w:rFonts w:cs="Arial"/>
                <w:b/>
                <w:bCs/>
                <w:color w:val="424141"/>
                <w:szCs w:val="22"/>
              </w:rPr>
              <w:t>-</w:t>
            </w:r>
            <w:r w:rsidR="004C054A">
              <w:rPr>
                <w:rFonts w:cs="Arial"/>
                <w:b/>
                <w:bCs/>
                <w:color w:val="424141"/>
                <w:szCs w:val="22"/>
              </w:rPr>
              <w:t>3</w:t>
            </w:r>
            <w:r>
              <w:rPr>
                <w:rFonts w:cs="Arial"/>
                <w:b/>
                <w:bCs/>
                <w:color w:val="424141"/>
                <w:szCs w:val="22"/>
              </w:rPr>
              <w:t>,148</w:t>
            </w:r>
            <w:r w:rsidR="00F46DFB">
              <w:rPr>
                <w:rFonts w:cs="Arial"/>
                <w:b/>
                <w:bCs/>
                <w:color w:val="424141"/>
                <w:szCs w:val="22"/>
              </w:rPr>
              <w:t xml:space="preserve"> </w:t>
            </w:r>
          </w:p>
        </w:tc>
        <w:tc>
          <w:tcPr>
            <w:tcW w:w="397" w:type="pct"/>
            <w:tcBorders>
              <w:top w:val="single" w:sz="4" w:space="0" w:color="auto"/>
              <w:left w:val="nil"/>
              <w:bottom w:val="nil"/>
              <w:right w:val="nil"/>
            </w:tcBorders>
            <w:shd w:val="clear" w:color="auto" w:fill="auto"/>
            <w:vAlign w:val="center"/>
            <w:hideMark/>
          </w:tcPr>
          <w:p w14:paraId="34F8586B" w14:textId="04E680C3" w:rsidR="00F46DFB" w:rsidRPr="003B0B89" w:rsidRDefault="00F46DFB">
            <w:pPr>
              <w:jc w:val="right"/>
              <w:rPr>
                <w:rFonts w:eastAsia="Times New Roman" w:cs="Arial"/>
                <w:b/>
                <w:bCs/>
                <w:color w:val="A6A6A6"/>
                <w:szCs w:val="22"/>
                <w:lang w:val="en-GB" w:eastAsia="en-GB"/>
              </w:rPr>
            </w:pPr>
            <w:r>
              <w:rPr>
                <w:rFonts w:cs="Arial"/>
                <w:b/>
                <w:bCs/>
                <w:color w:val="A6A6A6"/>
                <w:szCs w:val="22"/>
              </w:rPr>
              <w:t xml:space="preserve">-4,924 </w:t>
            </w:r>
          </w:p>
        </w:tc>
        <w:tc>
          <w:tcPr>
            <w:tcW w:w="397" w:type="pct"/>
            <w:tcBorders>
              <w:top w:val="single" w:sz="4" w:space="0" w:color="auto"/>
              <w:left w:val="nil"/>
              <w:bottom w:val="nil"/>
              <w:right w:val="nil"/>
            </w:tcBorders>
            <w:shd w:val="clear" w:color="000000" w:fill="D9D9D9"/>
            <w:noWrap/>
            <w:vAlign w:val="center"/>
            <w:hideMark/>
          </w:tcPr>
          <w:p w14:paraId="3664C163" w14:textId="1D8DECD2" w:rsidR="00F46DFB" w:rsidRPr="003B0B89" w:rsidRDefault="00D676F3">
            <w:pPr>
              <w:jc w:val="right"/>
              <w:rPr>
                <w:rFonts w:eastAsia="Times New Roman" w:cs="Arial"/>
                <w:b/>
                <w:bCs/>
                <w:color w:val="424141"/>
                <w:szCs w:val="22"/>
                <w:lang w:val="en-GB" w:eastAsia="en-GB"/>
              </w:rPr>
            </w:pPr>
            <w:r>
              <w:rPr>
                <w:rFonts w:cs="Arial"/>
                <w:b/>
                <w:bCs/>
                <w:color w:val="424141"/>
                <w:szCs w:val="22"/>
              </w:rPr>
              <w:t>-509</w:t>
            </w:r>
          </w:p>
        </w:tc>
        <w:tc>
          <w:tcPr>
            <w:tcW w:w="397" w:type="pct"/>
            <w:tcBorders>
              <w:top w:val="single" w:sz="4" w:space="0" w:color="auto"/>
              <w:left w:val="nil"/>
              <w:bottom w:val="nil"/>
              <w:right w:val="nil"/>
            </w:tcBorders>
            <w:shd w:val="clear" w:color="auto" w:fill="auto"/>
            <w:vAlign w:val="center"/>
            <w:hideMark/>
          </w:tcPr>
          <w:p w14:paraId="525BB580" w14:textId="249798E7" w:rsidR="00F46DFB" w:rsidRPr="003B0B89" w:rsidRDefault="00F46DFB">
            <w:pPr>
              <w:jc w:val="right"/>
              <w:rPr>
                <w:rFonts w:eastAsia="Times New Roman" w:cs="Arial"/>
                <w:b/>
                <w:bCs/>
                <w:color w:val="A6A6A6"/>
                <w:szCs w:val="22"/>
                <w:lang w:val="en-GB" w:eastAsia="en-GB"/>
              </w:rPr>
            </w:pPr>
            <w:r>
              <w:rPr>
                <w:rFonts w:cs="Arial"/>
                <w:b/>
                <w:bCs/>
                <w:color w:val="A6A6A6"/>
                <w:szCs w:val="22"/>
              </w:rPr>
              <w:t xml:space="preserve">-353 </w:t>
            </w:r>
          </w:p>
        </w:tc>
        <w:tc>
          <w:tcPr>
            <w:tcW w:w="397" w:type="pct"/>
            <w:tcBorders>
              <w:top w:val="single" w:sz="4" w:space="0" w:color="auto"/>
              <w:left w:val="nil"/>
              <w:bottom w:val="nil"/>
              <w:right w:val="nil"/>
            </w:tcBorders>
            <w:shd w:val="clear" w:color="000000" w:fill="D9D9D9"/>
            <w:noWrap/>
            <w:vAlign w:val="center"/>
            <w:hideMark/>
          </w:tcPr>
          <w:p w14:paraId="234ED4BB" w14:textId="498312BE" w:rsidR="00F46DFB" w:rsidRPr="003B0B89" w:rsidRDefault="00D676F3">
            <w:pPr>
              <w:jc w:val="right"/>
              <w:rPr>
                <w:rFonts w:eastAsia="Times New Roman" w:cs="Arial"/>
                <w:b/>
                <w:bCs/>
                <w:color w:val="424141"/>
                <w:szCs w:val="22"/>
                <w:lang w:val="en-GB" w:eastAsia="en-GB"/>
              </w:rPr>
            </w:pPr>
            <w:r>
              <w:rPr>
                <w:rFonts w:cs="Arial"/>
                <w:b/>
                <w:bCs/>
                <w:color w:val="424141"/>
                <w:szCs w:val="22"/>
              </w:rPr>
              <w:t>-</w:t>
            </w:r>
            <w:r w:rsidR="002C7FED">
              <w:rPr>
                <w:rFonts w:cs="Arial"/>
                <w:b/>
                <w:bCs/>
                <w:color w:val="424141"/>
                <w:szCs w:val="22"/>
              </w:rPr>
              <w:t>9</w:t>
            </w:r>
            <w:r w:rsidR="00F46DFB">
              <w:rPr>
                <w:rFonts w:cs="Arial"/>
                <w:b/>
                <w:bCs/>
                <w:color w:val="424141"/>
                <w:szCs w:val="22"/>
              </w:rPr>
              <w:t xml:space="preserve"> </w:t>
            </w:r>
          </w:p>
        </w:tc>
        <w:tc>
          <w:tcPr>
            <w:tcW w:w="396" w:type="pct"/>
            <w:tcBorders>
              <w:top w:val="single" w:sz="4" w:space="0" w:color="auto"/>
              <w:left w:val="nil"/>
              <w:bottom w:val="nil"/>
              <w:right w:val="nil"/>
            </w:tcBorders>
            <w:shd w:val="clear" w:color="auto" w:fill="auto"/>
            <w:vAlign w:val="center"/>
            <w:hideMark/>
          </w:tcPr>
          <w:p w14:paraId="2243CC9F" w14:textId="102352C5" w:rsidR="00F46DFB" w:rsidRPr="003B0B89" w:rsidRDefault="00F46DFB">
            <w:pPr>
              <w:jc w:val="right"/>
              <w:rPr>
                <w:rFonts w:eastAsia="Times New Roman" w:cs="Arial"/>
                <w:b/>
                <w:bCs/>
                <w:color w:val="A6A6A6"/>
                <w:szCs w:val="22"/>
                <w:lang w:val="en-GB" w:eastAsia="en-GB"/>
              </w:rPr>
            </w:pPr>
            <w:r>
              <w:rPr>
                <w:rFonts w:cs="Arial"/>
                <w:b/>
                <w:bCs/>
                <w:color w:val="A6A6A6"/>
                <w:szCs w:val="22"/>
              </w:rPr>
              <w:t xml:space="preserve">-10 </w:t>
            </w:r>
          </w:p>
        </w:tc>
        <w:tc>
          <w:tcPr>
            <w:tcW w:w="398" w:type="pct"/>
            <w:tcBorders>
              <w:top w:val="single" w:sz="4" w:space="0" w:color="auto"/>
              <w:left w:val="nil"/>
              <w:bottom w:val="nil"/>
              <w:right w:val="nil"/>
            </w:tcBorders>
            <w:shd w:val="clear" w:color="000000" w:fill="D9D9D9"/>
            <w:noWrap/>
            <w:vAlign w:val="center"/>
            <w:hideMark/>
          </w:tcPr>
          <w:p w14:paraId="1E0DBC91" w14:textId="117534E1" w:rsidR="00F46DFB" w:rsidRPr="003B0B89" w:rsidRDefault="00F46DFB">
            <w:pPr>
              <w:jc w:val="right"/>
              <w:rPr>
                <w:rFonts w:eastAsia="Times New Roman" w:cs="Arial"/>
                <w:b/>
                <w:bCs/>
                <w:color w:val="424141"/>
                <w:szCs w:val="22"/>
                <w:lang w:val="en-GB" w:eastAsia="en-GB"/>
              </w:rPr>
            </w:pPr>
            <w:r>
              <w:rPr>
                <w:rFonts w:cs="Arial"/>
                <w:b/>
                <w:bCs/>
                <w:color w:val="424141"/>
                <w:szCs w:val="22"/>
              </w:rPr>
              <w:t>-3,6</w:t>
            </w:r>
            <w:r w:rsidR="002C7FED">
              <w:rPr>
                <w:rFonts w:cs="Arial"/>
                <w:b/>
                <w:bCs/>
                <w:color w:val="424141"/>
                <w:szCs w:val="22"/>
              </w:rPr>
              <w:t>66</w:t>
            </w:r>
            <w:r>
              <w:rPr>
                <w:rFonts w:cs="Arial"/>
                <w:b/>
                <w:bCs/>
                <w:color w:val="424141"/>
                <w:szCs w:val="22"/>
              </w:rPr>
              <w:t xml:space="preserve"> </w:t>
            </w:r>
          </w:p>
        </w:tc>
        <w:tc>
          <w:tcPr>
            <w:tcW w:w="386" w:type="pct"/>
            <w:tcBorders>
              <w:top w:val="single" w:sz="4" w:space="0" w:color="auto"/>
              <w:left w:val="nil"/>
              <w:bottom w:val="nil"/>
              <w:right w:val="nil"/>
            </w:tcBorders>
            <w:shd w:val="clear" w:color="auto" w:fill="auto"/>
            <w:vAlign w:val="center"/>
            <w:hideMark/>
          </w:tcPr>
          <w:p w14:paraId="1007C120" w14:textId="142E9596" w:rsidR="00F46DFB" w:rsidRPr="003B0B89" w:rsidRDefault="00F46DFB">
            <w:pPr>
              <w:jc w:val="right"/>
              <w:rPr>
                <w:rFonts w:eastAsia="Times New Roman" w:cs="Arial"/>
                <w:b/>
                <w:bCs/>
                <w:color w:val="A6A6A6"/>
                <w:szCs w:val="22"/>
                <w:lang w:val="en-GB" w:eastAsia="en-GB"/>
              </w:rPr>
            </w:pPr>
            <w:r>
              <w:rPr>
                <w:rFonts w:cs="Arial"/>
                <w:b/>
                <w:bCs/>
                <w:color w:val="A6A6A6"/>
                <w:szCs w:val="22"/>
              </w:rPr>
              <w:t xml:space="preserve">-5,287 </w:t>
            </w:r>
          </w:p>
        </w:tc>
      </w:tr>
      <w:tr w:rsidR="00F46DFB" w:rsidRPr="003B0B89" w14:paraId="793658E4" w14:textId="77777777" w:rsidTr="002420A7">
        <w:trPr>
          <w:trHeight w:val="293"/>
        </w:trPr>
        <w:tc>
          <w:tcPr>
            <w:tcW w:w="1488" w:type="pct"/>
            <w:tcBorders>
              <w:top w:val="nil"/>
              <w:left w:val="nil"/>
              <w:bottom w:val="nil"/>
              <w:right w:val="nil"/>
            </w:tcBorders>
            <w:shd w:val="clear" w:color="auto" w:fill="auto"/>
            <w:noWrap/>
            <w:vAlign w:val="center"/>
            <w:hideMark/>
          </w:tcPr>
          <w:p w14:paraId="5601F853" w14:textId="77777777" w:rsidR="00F46DFB" w:rsidRPr="003B0B89" w:rsidRDefault="00F46DFB" w:rsidP="00F46DFB">
            <w:pPr>
              <w:rPr>
                <w:rFonts w:eastAsia="Times New Roman" w:cs="Arial"/>
                <w:color w:val="424141"/>
                <w:szCs w:val="22"/>
                <w:lang w:val="en-GB" w:eastAsia="en-GB"/>
              </w:rPr>
            </w:pPr>
            <w:r w:rsidRPr="003B0B89">
              <w:rPr>
                <w:rFonts w:eastAsia="Times New Roman" w:cs="Arial"/>
                <w:color w:val="424141"/>
                <w:szCs w:val="22"/>
                <w:lang w:val="en-GB" w:eastAsia="en-GB"/>
              </w:rPr>
              <w:t>Net gains/(losses) on investments</w:t>
            </w:r>
          </w:p>
        </w:tc>
        <w:tc>
          <w:tcPr>
            <w:tcW w:w="297" w:type="pct"/>
            <w:tcBorders>
              <w:top w:val="nil"/>
              <w:left w:val="nil"/>
              <w:bottom w:val="nil"/>
              <w:right w:val="nil"/>
            </w:tcBorders>
            <w:shd w:val="clear" w:color="auto" w:fill="auto"/>
            <w:noWrap/>
            <w:vAlign w:val="center"/>
            <w:hideMark/>
          </w:tcPr>
          <w:p w14:paraId="24A07939" w14:textId="77777777" w:rsidR="00F46DFB" w:rsidRPr="003B0B89" w:rsidRDefault="00F46DFB" w:rsidP="00F46DFB">
            <w:pPr>
              <w:jc w:val="right"/>
              <w:rPr>
                <w:rFonts w:eastAsia="Times New Roman" w:cs="Arial"/>
                <w:color w:val="424141"/>
                <w:szCs w:val="22"/>
                <w:lang w:val="en-GB" w:eastAsia="en-GB"/>
              </w:rPr>
            </w:pPr>
            <w:r w:rsidRPr="003B0B89">
              <w:rPr>
                <w:rFonts w:eastAsia="Times New Roman" w:cs="Arial"/>
                <w:color w:val="424141"/>
                <w:szCs w:val="22"/>
                <w:lang w:val="en-GB" w:eastAsia="en-GB"/>
              </w:rPr>
              <w:t>16</w:t>
            </w:r>
          </w:p>
        </w:tc>
        <w:tc>
          <w:tcPr>
            <w:tcW w:w="447" w:type="pct"/>
            <w:tcBorders>
              <w:top w:val="nil"/>
              <w:left w:val="nil"/>
              <w:bottom w:val="single" w:sz="8" w:space="0" w:color="auto"/>
              <w:right w:val="nil"/>
            </w:tcBorders>
            <w:shd w:val="clear" w:color="auto" w:fill="D9D9D9" w:themeFill="background1" w:themeFillShade="D9"/>
            <w:noWrap/>
            <w:vAlign w:val="center"/>
            <w:hideMark/>
          </w:tcPr>
          <w:p w14:paraId="3B5736DB" w14:textId="362B1699" w:rsidR="00F46DFB" w:rsidRPr="003B0B89" w:rsidRDefault="00F46DFB">
            <w:pPr>
              <w:jc w:val="right"/>
              <w:rPr>
                <w:rFonts w:eastAsia="Times New Roman" w:cs="Arial"/>
                <w:color w:val="424141"/>
                <w:szCs w:val="22"/>
                <w:lang w:val="en-GB" w:eastAsia="en-GB"/>
              </w:rPr>
            </w:pPr>
            <w:r>
              <w:rPr>
                <w:rFonts w:cs="Arial"/>
                <w:color w:val="424141"/>
                <w:szCs w:val="22"/>
              </w:rPr>
              <w:t xml:space="preserve">-439 </w:t>
            </w:r>
          </w:p>
        </w:tc>
        <w:tc>
          <w:tcPr>
            <w:tcW w:w="397" w:type="pct"/>
            <w:tcBorders>
              <w:top w:val="nil"/>
              <w:left w:val="nil"/>
              <w:bottom w:val="single" w:sz="8" w:space="0" w:color="auto"/>
              <w:right w:val="nil"/>
            </w:tcBorders>
            <w:shd w:val="clear" w:color="auto" w:fill="auto"/>
            <w:vAlign w:val="center"/>
            <w:hideMark/>
          </w:tcPr>
          <w:p w14:paraId="1BE03D69" w14:textId="2E0ECCEA" w:rsidR="00F46DFB" w:rsidRPr="003B0B89" w:rsidRDefault="00F46DFB">
            <w:pPr>
              <w:jc w:val="right"/>
              <w:rPr>
                <w:rFonts w:eastAsia="Times New Roman" w:cs="Arial"/>
                <w:color w:val="A6A6A6"/>
                <w:szCs w:val="22"/>
                <w:lang w:val="en-GB" w:eastAsia="en-GB"/>
              </w:rPr>
            </w:pPr>
            <w:r>
              <w:rPr>
                <w:rFonts w:cs="Arial"/>
                <w:color w:val="A6A6A6"/>
                <w:szCs w:val="22"/>
              </w:rPr>
              <w:t xml:space="preserve">993 </w:t>
            </w:r>
          </w:p>
        </w:tc>
        <w:tc>
          <w:tcPr>
            <w:tcW w:w="397" w:type="pct"/>
            <w:tcBorders>
              <w:top w:val="nil"/>
              <w:left w:val="nil"/>
              <w:bottom w:val="single" w:sz="8" w:space="0" w:color="auto"/>
              <w:right w:val="nil"/>
            </w:tcBorders>
            <w:shd w:val="clear" w:color="auto" w:fill="D9D9D9" w:themeFill="background1" w:themeFillShade="D9"/>
            <w:noWrap/>
            <w:vAlign w:val="center"/>
            <w:hideMark/>
          </w:tcPr>
          <w:p w14:paraId="04A0B46C" w14:textId="4343A239" w:rsidR="00F46DFB" w:rsidRPr="003B0B89" w:rsidRDefault="00F46DFB">
            <w:pPr>
              <w:jc w:val="right"/>
              <w:rPr>
                <w:rFonts w:eastAsia="Times New Roman" w:cs="Arial"/>
                <w:color w:val="424141"/>
                <w:szCs w:val="22"/>
                <w:lang w:val="en-GB" w:eastAsia="en-GB"/>
              </w:rPr>
            </w:pPr>
            <w:r>
              <w:rPr>
                <w:rFonts w:cs="Arial"/>
                <w:color w:val="424141"/>
                <w:szCs w:val="22"/>
              </w:rPr>
              <w:t> </w:t>
            </w:r>
          </w:p>
        </w:tc>
        <w:tc>
          <w:tcPr>
            <w:tcW w:w="397" w:type="pct"/>
            <w:tcBorders>
              <w:top w:val="nil"/>
              <w:left w:val="nil"/>
              <w:bottom w:val="single" w:sz="8" w:space="0" w:color="auto"/>
              <w:right w:val="nil"/>
            </w:tcBorders>
            <w:shd w:val="clear" w:color="auto" w:fill="auto"/>
            <w:vAlign w:val="center"/>
            <w:hideMark/>
          </w:tcPr>
          <w:p w14:paraId="24364D75" w14:textId="1F0D15F8" w:rsidR="00F46DFB" w:rsidRPr="003B0B89" w:rsidRDefault="00F46DFB">
            <w:pPr>
              <w:jc w:val="right"/>
              <w:rPr>
                <w:rFonts w:eastAsia="Times New Roman" w:cs="Arial"/>
                <w:color w:val="A6A6A6"/>
                <w:szCs w:val="22"/>
                <w:lang w:val="en-GB" w:eastAsia="en-GB"/>
              </w:rPr>
            </w:pPr>
          </w:p>
        </w:tc>
        <w:tc>
          <w:tcPr>
            <w:tcW w:w="397" w:type="pct"/>
            <w:tcBorders>
              <w:top w:val="nil"/>
              <w:left w:val="nil"/>
              <w:bottom w:val="single" w:sz="8" w:space="0" w:color="auto"/>
              <w:right w:val="nil"/>
            </w:tcBorders>
            <w:shd w:val="clear" w:color="auto" w:fill="D9D9D9" w:themeFill="background1" w:themeFillShade="D9"/>
            <w:noWrap/>
            <w:vAlign w:val="center"/>
            <w:hideMark/>
          </w:tcPr>
          <w:p w14:paraId="52463A26" w14:textId="08D804FA" w:rsidR="00F46DFB" w:rsidRPr="003B0B89" w:rsidRDefault="00F46DFB">
            <w:pPr>
              <w:jc w:val="right"/>
              <w:rPr>
                <w:rFonts w:eastAsia="Times New Roman" w:cs="Arial"/>
                <w:color w:val="424141"/>
                <w:szCs w:val="22"/>
                <w:lang w:val="en-GB" w:eastAsia="en-GB"/>
              </w:rPr>
            </w:pPr>
            <w:r>
              <w:rPr>
                <w:rFonts w:cs="Arial"/>
                <w:color w:val="424141"/>
                <w:szCs w:val="22"/>
              </w:rPr>
              <w:t xml:space="preserve">-35 </w:t>
            </w:r>
          </w:p>
        </w:tc>
        <w:tc>
          <w:tcPr>
            <w:tcW w:w="396" w:type="pct"/>
            <w:tcBorders>
              <w:top w:val="nil"/>
              <w:left w:val="nil"/>
              <w:bottom w:val="single" w:sz="8" w:space="0" w:color="auto"/>
              <w:right w:val="nil"/>
            </w:tcBorders>
            <w:shd w:val="clear" w:color="auto" w:fill="auto"/>
            <w:vAlign w:val="center"/>
            <w:hideMark/>
          </w:tcPr>
          <w:p w14:paraId="6B31A9EE" w14:textId="6243A7BC" w:rsidR="00F46DFB" w:rsidRPr="003B0B89" w:rsidRDefault="00F46DFB">
            <w:pPr>
              <w:jc w:val="right"/>
              <w:rPr>
                <w:rFonts w:eastAsia="Times New Roman" w:cs="Arial"/>
                <w:color w:val="A6A6A6"/>
                <w:szCs w:val="22"/>
                <w:lang w:val="en-GB" w:eastAsia="en-GB"/>
              </w:rPr>
            </w:pPr>
            <w:r>
              <w:rPr>
                <w:rFonts w:cs="Arial"/>
                <w:color w:val="A6A6A6"/>
                <w:szCs w:val="22"/>
              </w:rPr>
              <w:t xml:space="preserve">467 </w:t>
            </w:r>
          </w:p>
        </w:tc>
        <w:tc>
          <w:tcPr>
            <w:tcW w:w="398" w:type="pct"/>
            <w:tcBorders>
              <w:top w:val="nil"/>
              <w:left w:val="nil"/>
              <w:bottom w:val="single" w:sz="8" w:space="0" w:color="auto"/>
              <w:right w:val="nil"/>
            </w:tcBorders>
            <w:shd w:val="clear" w:color="auto" w:fill="D9D9D9" w:themeFill="background1" w:themeFillShade="D9"/>
            <w:noWrap/>
            <w:vAlign w:val="center"/>
            <w:hideMark/>
          </w:tcPr>
          <w:p w14:paraId="6B50FF67" w14:textId="5886CAFC" w:rsidR="00F46DFB" w:rsidRPr="003B0B89" w:rsidRDefault="00F46DFB">
            <w:pPr>
              <w:jc w:val="right"/>
              <w:rPr>
                <w:rFonts w:eastAsia="Times New Roman" w:cs="Arial"/>
                <w:color w:val="424141"/>
                <w:szCs w:val="22"/>
                <w:lang w:val="en-GB" w:eastAsia="en-GB"/>
              </w:rPr>
            </w:pPr>
            <w:r>
              <w:rPr>
                <w:rFonts w:cs="Arial"/>
                <w:color w:val="424141"/>
                <w:szCs w:val="22"/>
              </w:rPr>
              <w:t xml:space="preserve">-474 </w:t>
            </w:r>
          </w:p>
        </w:tc>
        <w:tc>
          <w:tcPr>
            <w:tcW w:w="386" w:type="pct"/>
            <w:tcBorders>
              <w:top w:val="nil"/>
              <w:left w:val="nil"/>
              <w:bottom w:val="single" w:sz="8" w:space="0" w:color="auto"/>
              <w:right w:val="nil"/>
            </w:tcBorders>
            <w:shd w:val="clear" w:color="auto" w:fill="auto"/>
            <w:noWrap/>
            <w:vAlign w:val="center"/>
            <w:hideMark/>
          </w:tcPr>
          <w:p w14:paraId="1D62FAA5" w14:textId="0AEF41D5" w:rsidR="00F46DFB" w:rsidRPr="003B0B89" w:rsidRDefault="00F9641B">
            <w:pPr>
              <w:jc w:val="right"/>
              <w:rPr>
                <w:rFonts w:eastAsia="Times New Roman" w:cs="Arial"/>
                <w:color w:val="A6A6A6"/>
                <w:szCs w:val="22"/>
                <w:lang w:val="en-GB" w:eastAsia="en-GB"/>
              </w:rPr>
            </w:pPr>
            <w:r>
              <w:rPr>
                <w:rFonts w:cs="Arial"/>
                <w:color w:val="424141"/>
                <w:szCs w:val="22"/>
              </w:rPr>
              <w:t>1,</w:t>
            </w:r>
            <w:r w:rsidR="00F46DFB">
              <w:rPr>
                <w:rFonts w:cs="Arial"/>
                <w:color w:val="424141"/>
                <w:szCs w:val="22"/>
              </w:rPr>
              <w:t xml:space="preserve">460 </w:t>
            </w:r>
          </w:p>
        </w:tc>
      </w:tr>
      <w:tr w:rsidR="00F46DFB" w:rsidRPr="00E51FED" w14:paraId="15923190" w14:textId="77777777" w:rsidTr="002420A7">
        <w:trPr>
          <w:trHeight w:val="285"/>
        </w:trPr>
        <w:tc>
          <w:tcPr>
            <w:tcW w:w="1488" w:type="pct"/>
            <w:tcBorders>
              <w:top w:val="nil"/>
              <w:left w:val="nil"/>
              <w:bottom w:val="nil"/>
              <w:right w:val="nil"/>
            </w:tcBorders>
            <w:shd w:val="clear" w:color="auto" w:fill="auto"/>
            <w:noWrap/>
            <w:vAlign w:val="center"/>
            <w:hideMark/>
          </w:tcPr>
          <w:p w14:paraId="34FD1193" w14:textId="77777777" w:rsidR="00F46DFB" w:rsidRPr="003B0B89" w:rsidRDefault="00F46DFB" w:rsidP="00F46DFB">
            <w:pPr>
              <w:rPr>
                <w:rFonts w:eastAsia="Times New Roman" w:cs="Arial"/>
                <w:b/>
                <w:bCs/>
                <w:color w:val="424141"/>
                <w:szCs w:val="22"/>
                <w:lang w:val="en-GB" w:eastAsia="en-GB"/>
              </w:rPr>
            </w:pPr>
            <w:r w:rsidRPr="003B0B89">
              <w:rPr>
                <w:rFonts w:eastAsia="Times New Roman" w:cs="Arial"/>
                <w:b/>
                <w:bCs/>
                <w:color w:val="424141"/>
                <w:szCs w:val="22"/>
                <w:lang w:val="en-GB" w:eastAsia="en-GB"/>
              </w:rPr>
              <w:t>Net income/(expenditure)</w:t>
            </w:r>
          </w:p>
        </w:tc>
        <w:tc>
          <w:tcPr>
            <w:tcW w:w="297" w:type="pct"/>
            <w:tcBorders>
              <w:top w:val="nil"/>
              <w:left w:val="nil"/>
              <w:bottom w:val="nil"/>
              <w:right w:val="nil"/>
            </w:tcBorders>
            <w:shd w:val="clear" w:color="auto" w:fill="auto"/>
            <w:noWrap/>
            <w:vAlign w:val="center"/>
            <w:hideMark/>
          </w:tcPr>
          <w:p w14:paraId="6B97F9DC" w14:textId="77777777" w:rsidR="00F46DFB" w:rsidRPr="003B0B89" w:rsidRDefault="00F46DFB" w:rsidP="00F46DFB">
            <w:pPr>
              <w:rPr>
                <w:rFonts w:eastAsia="Times New Roman" w:cs="Arial"/>
                <w:b/>
                <w:bCs/>
                <w:color w:val="424141"/>
                <w:szCs w:val="22"/>
                <w:lang w:val="en-GB" w:eastAsia="en-GB"/>
              </w:rPr>
            </w:pPr>
          </w:p>
        </w:tc>
        <w:tc>
          <w:tcPr>
            <w:tcW w:w="447" w:type="pct"/>
            <w:tcBorders>
              <w:top w:val="nil"/>
              <w:left w:val="nil"/>
              <w:bottom w:val="nil"/>
              <w:right w:val="nil"/>
            </w:tcBorders>
            <w:shd w:val="clear" w:color="000000" w:fill="D9D9D9"/>
            <w:noWrap/>
            <w:vAlign w:val="center"/>
            <w:hideMark/>
          </w:tcPr>
          <w:p w14:paraId="4059555F" w14:textId="6057D4EF" w:rsidR="00F46DFB" w:rsidRPr="00E51FED" w:rsidRDefault="009E6065">
            <w:pPr>
              <w:jc w:val="right"/>
              <w:rPr>
                <w:rFonts w:eastAsia="Times New Roman" w:cs="Arial"/>
                <w:color w:val="A6A6A6"/>
                <w:szCs w:val="22"/>
                <w:lang w:val="en-GB" w:eastAsia="en-GB"/>
              </w:rPr>
            </w:pPr>
            <w:r>
              <w:rPr>
                <w:rFonts w:cs="Arial"/>
                <w:color w:val="424141"/>
                <w:szCs w:val="22"/>
              </w:rPr>
              <w:t>-2,509</w:t>
            </w:r>
          </w:p>
        </w:tc>
        <w:tc>
          <w:tcPr>
            <w:tcW w:w="397" w:type="pct"/>
            <w:tcBorders>
              <w:top w:val="nil"/>
              <w:left w:val="nil"/>
              <w:bottom w:val="nil"/>
              <w:right w:val="nil"/>
            </w:tcBorders>
            <w:shd w:val="clear" w:color="auto" w:fill="auto"/>
            <w:vAlign w:val="center"/>
            <w:hideMark/>
          </w:tcPr>
          <w:p w14:paraId="3E2CFF72" w14:textId="4A24E571" w:rsidR="00F46DFB" w:rsidRPr="00E51FED" w:rsidRDefault="00F46DFB">
            <w:pPr>
              <w:jc w:val="right"/>
              <w:rPr>
                <w:rFonts w:eastAsia="Times New Roman" w:cs="Arial"/>
                <w:color w:val="A6A6A6"/>
                <w:szCs w:val="22"/>
                <w:lang w:val="en-GB" w:eastAsia="en-GB"/>
              </w:rPr>
            </w:pPr>
            <w:r>
              <w:rPr>
                <w:rFonts w:cs="Arial"/>
                <w:b/>
                <w:bCs/>
                <w:color w:val="A6A6A6"/>
                <w:szCs w:val="22"/>
              </w:rPr>
              <w:t xml:space="preserve">-2,809 </w:t>
            </w:r>
          </w:p>
        </w:tc>
        <w:tc>
          <w:tcPr>
            <w:tcW w:w="397" w:type="pct"/>
            <w:tcBorders>
              <w:top w:val="nil"/>
              <w:left w:val="nil"/>
              <w:bottom w:val="nil"/>
              <w:right w:val="nil"/>
            </w:tcBorders>
            <w:shd w:val="clear" w:color="000000" w:fill="D9D9D9"/>
            <w:noWrap/>
            <w:vAlign w:val="center"/>
            <w:hideMark/>
          </w:tcPr>
          <w:p w14:paraId="5F507B66" w14:textId="1E71728C" w:rsidR="00F46DFB" w:rsidRPr="00E51FED" w:rsidRDefault="00E72F73">
            <w:pPr>
              <w:jc w:val="right"/>
              <w:rPr>
                <w:rFonts w:eastAsia="Times New Roman" w:cs="Arial"/>
                <w:color w:val="A6A6A6"/>
                <w:szCs w:val="22"/>
                <w:lang w:val="en-GB" w:eastAsia="en-GB"/>
              </w:rPr>
            </w:pPr>
            <w:r>
              <w:rPr>
                <w:rFonts w:cs="Arial"/>
                <w:color w:val="424141"/>
                <w:szCs w:val="22"/>
              </w:rPr>
              <w:t>1,</w:t>
            </w:r>
            <w:r w:rsidR="00F377C6">
              <w:rPr>
                <w:rFonts w:cs="Arial"/>
                <w:color w:val="424141"/>
                <w:szCs w:val="22"/>
              </w:rPr>
              <w:t>229</w:t>
            </w:r>
          </w:p>
        </w:tc>
        <w:tc>
          <w:tcPr>
            <w:tcW w:w="397" w:type="pct"/>
            <w:tcBorders>
              <w:top w:val="nil"/>
              <w:left w:val="nil"/>
              <w:bottom w:val="nil"/>
              <w:right w:val="nil"/>
            </w:tcBorders>
            <w:shd w:val="clear" w:color="auto" w:fill="auto"/>
            <w:vAlign w:val="center"/>
            <w:hideMark/>
          </w:tcPr>
          <w:p w14:paraId="2D9AE0BB" w14:textId="1374A513" w:rsidR="00F46DFB" w:rsidRPr="00E51FED" w:rsidRDefault="002915E2">
            <w:pPr>
              <w:jc w:val="right"/>
              <w:rPr>
                <w:rFonts w:eastAsia="Times New Roman" w:cs="Arial"/>
                <w:color w:val="A6A6A6"/>
                <w:szCs w:val="22"/>
                <w:lang w:val="en-GB" w:eastAsia="en-GB"/>
              </w:rPr>
            </w:pPr>
            <w:r>
              <w:rPr>
                <w:rFonts w:cs="Arial"/>
                <w:b/>
                <w:bCs/>
                <w:color w:val="A6A6A6"/>
                <w:szCs w:val="22"/>
              </w:rPr>
              <w:t>1,322</w:t>
            </w:r>
          </w:p>
        </w:tc>
        <w:tc>
          <w:tcPr>
            <w:tcW w:w="397" w:type="pct"/>
            <w:tcBorders>
              <w:top w:val="nil"/>
              <w:left w:val="nil"/>
              <w:bottom w:val="nil"/>
              <w:right w:val="nil"/>
            </w:tcBorders>
            <w:shd w:val="clear" w:color="000000" w:fill="D9D9D9"/>
            <w:noWrap/>
            <w:vAlign w:val="center"/>
            <w:hideMark/>
          </w:tcPr>
          <w:p w14:paraId="29AC3642" w14:textId="0196BC92" w:rsidR="00F46DFB" w:rsidRPr="00E51FED" w:rsidRDefault="007436A5">
            <w:pPr>
              <w:jc w:val="right"/>
              <w:rPr>
                <w:rFonts w:eastAsia="Times New Roman" w:cs="Arial"/>
                <w:color w:val="A6A6A6"/>
                <w:szCs w:val="22"/>
                <w:lang w:val="en-GB" w:eastAsia="en-GB"/>
              </w:rPr>
            </w:pPr>
            <w:r>
              <w:rPr>
                <w:rFonts w:cs="Arial"/>
                <w:b/>
                <w:bCs/>
                <w:color w:val="424141"/>
                <w:szCs w:val="22"/>
              </w:rPr>
              <w:t>-44</w:t>
            </w:r>
            <w:r w:rsidR="00F46DFB">
              <w:rPr>
                <w:rFonts w:cs="Arial"/>
                <w:b/>
                <w:bCs/>
                <w:color w:val="424141"/>
                <w:szCs w:val="22"/>
              </w:rPr>
              <w:t xml:space="preserve"> </w:t>
            </w:r>
          </w:p>
        </w:tc>
        <w:tc>
          <w:tcPr>
            <w:tcW w:w="396" w:type="pct"/>
            <w:tcBorders>
              <w:top w:val="nil"/>
              <w:left w:val="nil"/>
              <w:bottom w:val="nil"/>
              <w:right w:val="nil"/>
            </w:tcBorders>
            <w:shd w:val="clear" w:color="auto" w:fill="auto"/>
            <w:vAlign w:val="center"/>
            <w:hideMark/>
          </w:tcPr>
          <w:p w14:paraId="4EAA5106" w14:textId="04323F94" w:rsidR="00F46DFB" w:rsidRPr="00E51FED" w:rsidRDefault="00F46DFB">
            <w:pPr>
              <w:jc w:val="right"/>
              <w:rPr>
                <w:rFonts w:eastAsia="Times New Roman" w:cs="Arial"/>
                <w:color w:val="A6A6A6"/>
                <w:szCs w:val="22"/>
                <w:lang w:val="en-GB" w:eastAsia="en-GB"/>
              </w:rPr>
            </w:pPr>
            <w:r>
              <w:rPr>
                <w:rFonts w:cs="Arial"/>
                <w:b/>
                <w:bCs/>
                <w:color w:val="A6A6A6"/>
                <w:szCs w:val="22"/>
              </w:rPr>
              <w:t xml:space="preserve">457 </w:t>
            </w:r>
          </w:p>
        </w:tc>
        <w:tc>
          <w:tcPr>
            <w:tcW w:w="398" w:type="pct"/>
            <w:tcBorders>
              <w:top w:val="nil"/>
              <w:left w:val="nil"/>
              <w:bottom w:val="nil"/>
              <w:right w:val="nil"/>
            </w:tcBorders>
            <w:shd w:val="clear" w:color="000000" w:fill="D9D9D9"/>
            <w:noWrap/>
            <w:vAlign w:val="center"/>
            <w:hideMark/>
          </w:tcPr>
          <w:p w14:paraId="76F34538" w14:textId="3D04E97C" w:rsidR="00F46DFB" w:rsidRPr="00E51FED" w:rsidRDefault="001931AB">
            <w:pPr>
              <w:jc w:val="right"/>
              <w:rPr>
                <w:rFonts w:eastAsia="Times New Roman" w:cs="Arial"/>
                <w:color w:val="A6A6A6"/>
                <w:szCs w:val="22"/>
                <w:lang w:val="en-GB" w:eastAsia="en-GB"/>
              </w:rPr>
            </w:pPr>
            <w:r>
              <w:rPr>
                <w:rFonts w:cs="Arial"/>
                <w:b/>
                <w:bCs/>
                <w:color w:val="424141"/>
                <w:szCs w:val="22"/>
              </w:rPr>
              <w:t>-1,324</w:t>
            </w:r>
          </w:p>
        </w:tc>
        <w:tc>
          <w:tcPr>
            <w:tcW w:w="386" w:type="pct"/>
            <w:tcBorders>
              <w:top w:val="nil"/>
              <w:left w:val="nil"/>
              <w:bottom w:val="nil"/>
              <w:right w:val="nil"/>
            </w:tcBorders>
            <w:shd w:val="clear" w:color="auto" w:fill="auto"/>
            <w:vAlign w:val="center"/>
            <w:hideMark/>
          </w:tcPr>
          <w:p w14:paraId="6DB360B7" w14:textId="38033F46" w:rsidR="00F46DFB" w:rsidRPr="00E51FED" w:rsidRDefault="00BF1211">
            <w:pPr>
              <w:jc w:val="right"/>
              <w:rPr>
                <w:rFonts w:eastAsia="Times New Roman" w:cs="Arial"/>
                <w:color w:val="A6A6A6"/>
                <w:szCs w:val="22"/>
                <w:lang w:val="en-GB" w:eastAsia="en-GB"/>
              </w:rPr>
            </w:pPr>
            <w:r>
              <w:rPr>
                <w:rFonts w:cs="Arial"/>
                <w:b/>
                <w:bCs/>
                <w:color w:val="A6A6A6"/>
                <w:szCs w:val="22"/>
              </w:rPr>
              <w:t>-1,0</w:t>
            </w:r>
            <w:r w:rsidR="00F46DFB">
              <w:rPr>
                <w:rFonts w:cs="Arial"/>
                <w:b/>
                <w:bCs/>
                <w:color w:val="A6A6A6"/>
                <w:szCs w:val="22"/>
              </w:rPr>
              <w:t xml:space="preserve">30 </w:t>
            </w:r>
          </w:p>
        </w:tc>
      </w:tr>
      <w:tr w:rsidR="00F46DFB" w:rsidRPr="003B0B89" w14:paraId="07C8563F" w14:textId="77777777" w:rsidTr="002420A7">
        <w:trPr>
          <w:trHeight w:val="293"/>
        </w:trPr>
        <w:tc>
          <w:tcPr>
            <w:tcW w:w="1488" w:type="pct"/>
            <w:tcBorders>
              <w:top w:val="nil"/>
              <w:left w:val="nil"/>
              <w:bottom w:val="nil"/>
              <w:right w:val="nil"/>
            </w:tcBorders>
            <w:shd w:val="clear" w:color="auto" w:fill="auto"/>
            <w:noWrap/>
            <w:vAlign w:val="center"/>
            <w:hideMark/>
          </w:tcPr>
          <w:p w14:paraId="24841624" w14:textId="77777777" w:rsidR="00F46DFB" w:rsidRPr="003B0B89" w:rsidRDefault="00F46DFB" w:rsidP="00F46DFB">
            <w:pPr>
              <w:rPr>
                <w:rFonts w:eastAsia="Times New Roman" w:cs="Arial"/>
                <w:color w:val="424141"/>
                <w:szCs w:val="22"/>
                <w:lang w:val="en-GB" w:eastAsia="en-GB"/>
              </w:rPr>
            </w:pPr>
            <w:r w:rsidRPr="003B0B89">
              <w:rPr>
                <w:rFonts w:eastAsia="Times New Roman" w:cs="Arial"/>
                <w:color w:val="424141"/>
                <w:szCs w:val="22"/>
                <w:lang w:val="en-GB" w:eastAsia="en-GB"/>
              </w:rPr>
              <w:t>Transfers between funds</w:t>
            </w:r>
          </w:p>
        </w:tc>
        <w:tc>
          <w:tcPr>
            <w:tcW w:w="297" w:type="pct"/>
            <w:tcBorders>
              <w:top w:val="nil"/>
              <w:left w:val="nil"/>
              <w:bottom w:val="nil"/>
              <w:right w:val="nil"/>
            </w:tcBorders>
            <w:shd w:val="clear" w:color="auto" w:fill="auto"/>
            <w:noWrap/>
            <w:vAlign w:val="center"/>
            <w:hideMark/>
          </w:tcPr>
          <w:p w14:paraId="7A5218B9" w14:textId="77777777" w:rsidR="00F46DFB" w:rsidRPr="003B0B89" w:rsidRDefault="00F46DFB" w:rsidP="00F46DFB">
            <w:pPr>
              <w:jc w:val="right"/>
              <w:rPr>
                <w:rFonts w:eastAsia="Times New Roman" w:cs="Arial"/>
                <w:color w:val="424141"/>
                <w:szCs w:val="22"/>
                <w:lang w:val="en-GB" w:eastAsia="en-GB"/>
              </w:rPr>
            </w:pPr>
            <w:r w:rsidRPr="003B0B89">
              <w:rPr>
                <w:rFonts w:eastAsia="Times New Roman" w:cs="Arial"/>
                <w:color w:val="424141"/>
                <w:szCs w:val="22"/>
                <w:lang w:val="en-GB" w:eastAsia="en-GB"/>
              </w:rPr>
              <w:t>21</w:t>
            </w:r>
          </w:p>
        </w:tc>
        <w:tc>
          <w:tcPr>
            <w:tcW w:w="447" w:type="pct"/>
            <w:tcBorders>
              <w:top w:val="nil"/>
              <w:left w:val="nil"/>
              <w:bottom w:val="single" w:sz="8" w:space="0" w:color="auto"/>
              <w:right w:val="nil"/>
            </w:tcBorders>
            <w:shd w:val="clear" w:color="auto" w:fill="D9D9D9" w:themeFill="background1" w:themeFillShade="D9"/>
            <w:noWrap/>
            <w:vAlign w:val="center"/>
            <w:hideMark/>
          </w:tcPr>
          <w:p w14:paraId="3A8B7382" w14:textId="0B0CB9F4" w:rsidR="00F46DFB" w:rsidRPr="003B0B89" w:rsidRDefault="00F46DFB">
            <w:pPr>
              <w:jc w:val="right"/>
              <w:rPr>
                <w:rFonts w:eastAsia="Times New Roman" w:cs="Arial"/>
                <w:color w:val="424141"/>
                <w:szCs w:val="22"/>
                <w:lang w:val="en-GB" w:eastAsia="en-GB"/>
              </w:rPr>
            </w:pPr>
            <w:r>
              <w:rPr>
                <w:rFonts w:cs="Arial"/>
                <w:color w:val="424141"/>
                <w:szCs w:val="22"/>
              </w:rPr>
              <w:t xml:space="preserve">22 </w:t>
            </w:r>
          </w:p>
        </w:tc>
        <w:tc>
          <w:tcPr>
            <w:tcW w:w="397" w:type="pct"/>
            <w:tcBorders>
              <w:top w:val="nil"/>
              <w:left w:val="nil"/>
              <w:bottom w:val="single" w:sz="8" w:space="0" w:color="auto"/>
              <w:right w:val="nil"/>
            </w:tcBorders>
            <w:shd w:val="clear" w:color="auto" w:fill="auto"/>
            <w:vAlign w:val="center"/>
            <w:hideMark/>
          </w:tcPr>
          <w:p w14:paraId="12DB1746" w14:textId="02468CC0" w:rsidR="00F46DFB" w:rsidRPr="003B0B89" w:rsidRDefault="00F46DFB">
            <w:pPr>
              <w:jc w:val="right"/>
              <w:rPr>
                <w:rFonts w:eastAsia="Times New Roman" w:cs="Arial"/>
                <w:color w:val="A6A6A6"/>
                <w:szCs w:val="22"/>
                <w:lang w:val="en-GB" w:eastAsia="en-GB"/>
              </w:rPr>
            </w:pPr>
            <w:r>
              <w:rPr>
                <w:rFonts w:cs="Arial"/>
                <w:color w:val="A6A6A6"/>
                <w:szCs w:val="22"/>
              </w:rPr>
              <w:t xml:space="preserve">31 </w:t>
            </w:r>
          </w:p>
        </w:tc>
        <w:tc>
          <w:tcPr>
            <w:tcW w:w="397" w:type="pct"/>
            <w:tcBorders>
              <w:top w:val="nil"/>
              <w:left w:val="nil"/>
              <w:bottom w:val="single" w:sz="8" w:space="0" w:color="auto"/>
              <w:right w:val="nil"/>
            </w:tcBorders>
            <w:shd w:val="clear" w:color="auto" w:fill="D9D9D9" w:themeFill="background1" w:themeFillShade="D9"/>
            <w:noWrap/>
            <w:vAlign w:val="center"/>
            <w:hideMark/>
          </w:tcPr>
          <w:p w14:paraId="7A18921F" w14:textId="679263AF" w:rsidR="00F46DFB" w:rsidRPr="003B0B89" w:rsidRDefault="00F46DFB">
            <w:pPr>
              <w:jc w:val="right"/>
              <w:rPr>
                <w:rFonts w:eastAsia="Times New Roman" w:cs="Arial"/>
                <w:color w:val="424141"/>
                <w:szCs w:val="22"/>
                <w:lang w:val="en-GB" w:eastAsia="en-GB"/>
              </w:rPr>
            </w:pPr>
            <w:r>
              <w:rPr>
                <w:rFonts w:cs="Arial"/>
                <w:color w:val="424141"/>
                <w:szCs w:val="22"/>
              </w:rPr>
              <w:t xml:space="preserve">-22 </w:t>
            </w:r>
          </w:p>
        </w:tc>
        <w:tc>
          <w:tcPr>
            <w:tcW w:w="397" w:type="pct"/>
            <w:tcBorders>
              <w:top w:val="nil"/>
              <w:left w:val="nil"/>
              <w:bottom w:val="single" w:sz="8" w:space="0" w:color="auto"/>
              <w:right w:val="nil"/>
            </w:tcBorders>
            <w:shd w:val="clear" w:color="auto" w:fill="auto"/>
            <w:vAlign w:val="center"/>
            <w:hideMark/>
          </w:tcPr>
          <w:p w14:paraId="1BAAAA39" w14:textId="76072AC8" w:rsidR="00F46DFB" w:rsidRPr="003B0B89" w:rsidRDefault="00F46DFB">
            <w:pPr>
              <w:jc w:val="right"/>
              <w:rPr>
                <w:rFonts w:eastAsia="Times New Roman" w:cs="Arial"/>
                <w:color w:val="A6A6A6"/>
                <w:szCs w:val="22"/>
                <w:lang w:val="en-GB" w:eastAsia="en-GB"/>
              </w:rPr>
            </w:pPr>
            <w:r>
              <w:rPr>
                <w:rFonts w:cs="Arial"/>
                <w:color w:val="A6A6A6"/>
                <w:szCs w:val="22"/>
              </w:rPr>
              <w:t xml:space="preserve">-31 </w:t>
            </w:r>
          </w:p>
        </w:tc>
        <w:tc>
          <w:tcPr>
            <w:tcW w:w="397" w:type="pct"/>
            <w:tcBorders>
              <w:top w:val="nil"/>
              <w:left w:val="nil"/>
              <w:bottom w:val="single" w:sz="8" w:space="0" w:color="auto"/>
              <w:right w:val="nil"/>
            </w:tcBorders>
            <w:shd w:val="clear" w:color="auto" w:fill="D9D9D9" w:themeFill="background1" w:themeFillShade="D9"/>
            <w:noWrap/>
            <w:vAlign w:val="center"/>
            <w:hideMark/>
          </w:tcPr>
          <w:p w14:paraId="7D510307" w14:textId="1453D759" w:rsidR="00F46DFB" w:rsidRPr="003B0B89" w:rsidRDefault="00F46DFB">
            <w:pPr>
              <w:jc w:val="right"/>
              <w:rPr>
                <w:rFonts w:eastAsia="Times New Roman" w:cs="Arial"/>
                <w:color w:val="424141"/>
                <w:szCs w:val="22"/>
                <w:lang w:val="en-GB" w:eastAsia="en-GB"/>
              </w:rPr>
            </w:pPr>
            <w:r>
              <w:rPr>
                <w:rFonts w:cs="Arial"/>
                <w:color w:val="424141"/>
                <w:szCs w:val="22"/>
              </w:rPr>
              <w:t> </w:t>
            </w:r>
          </w:p>
        </w:tc>
        <w:tc>
          <w:tcPr>
            <w:tcW w:w="396" w:type="pct"/>
            <w:tcBorders>
              <w:top w:val="nil"/>
              <w:left w:val="nil"/>
              <w:bottom w:val="single" w:sz="8" w:space="0" w:color="auto"/>
              <w:right w:val="nil"/>
            </w:tcBorders>
            <w:shd w:val="clear" w:color="auto" w:fill="auto"/>
            <w:vAlign w:val="center"/>
            <w:hideMark/>
          </w:tcPr>
          <w:p w14:paraId="27EE17D5" w14:textId="6F793FDB" w:rsidR="00F46DFB" w:rsidRPr="003B0B89" w:rsidRDefault="00F46DFB">
            <w:pPr>
              <w:jc w:val="right"/>
              <w:rPr>
                <w:rFonts w:eastAsia="Times New Roman" w:cs="Arial"/>
                <w:color w:val="A6A6A6"/>
                <w:szCs w:val="22"/>
                <w:lang w:val="en-GB" w:eastAsia="en-GB"/>
              </w:rPr>
            </w:pPr>
            <w:r>
              <w:rPr>
                <w:rFonts w:cs="Arial"/>
                <w:color w:val="A6A6A6"/>
                <w:szCs w:val="22"/>
              </w:rPr>
              <w:t> </w:t>
            </w:r>
          </w:p>
        </w:tc>
        <w:tc>
          <w:tcPr>
            <w:tcW w:w="398" w:type="pct"/>
            <w:tcBorders>
              <w:top w:val="nil"/>
              <w:left w:val="nil"/>
              <w:bottom w:val="single" w:sz="8" w:space="0" w:color="auto"/>
              <w:right w:val="nil"/>
            </w:tcBorders>
            <w:shd w:val="clear" w:color="auto" w:fill="D9D9D9" w:themeFill="background1" w:themeFillShade="D9"/>
            <w:noWrap/>
            <w:vAlign w:val="center"/>
            <w:hideMark/>
          </w:tcPr>
          <w:p w14:paraId="74151C9E" w14:textId="19939C30" w:rsidR="00F46DFB" w:rsidRPr="003B0B89" w:rsidRDefault="00F46DFB">
            <w:pPr>
              <w:jc w:val="right"/>
              <w:rPr>
                <w:rFonts w:eastAsia="Times New Roman" w:cs="Arial"/>
                <w:color w:val="424141"/>
                <w:szCs w:val="22"/>
                <w:lang w:val="en-GB" w:eastAsia="en-GB"/>
              </w:rPr>
            </w:pPr>
            <w:r>
              <w:rPr>
                <w:rFonts w:cs="Arial"/>
                <w:color w:val="424141"/>
                <w:szCs w:val="22"/>
              </w:rPr>
              <w:t> </w:t>
            </w:r>
          </w:p>
        </w:tc>
        <w:tc>
          <w:tcPr>
            <w:tcW w:w="386" w:type="pct"/>
            <w:tcBorders>
              <w:top w:val="nil"/>
              <w:left w:val="nil"/>
              <w:bottom w:val="single" w:sz="8" w:space="0" w:color="auto"/>
              <w:right w:val="nil"/>
            </w:tcBorders>
            <w:shd w:val="clear" w:color="auto" w:fill="auto"/>
            <w:vAlign w:val="center"/>
            <w:hideMark/>
          </w:tcPr>
          <w:p w14:paraId="68F7DC39" w14:textId="4EDB9901" w:rsidR="00F46DFB" w:rsidRPr="003B0B89" w:rsidRDefault="00F46DFB">
            <w:pPr>
              <w:jc w:val="right"/>
              <w:rPr>
                <w:rFonts w:eastAsia="Times New Roman" w:cs="Arial"/>
                <w:color w:val="A6A6A6"/>
                <w:szCs w:val="22"/>
                <w:lang w:val="en-GB" w:eastAsia="en-GB"/>
              </w:rPr>
            </w:pPr>
            <w:r>
              <w:rPr>
                <w:rFonts w:cs="Arial"/>
                <w:color w:val="A6A6A6"/>
                <w:szCs w:val="22"/>
              </w:rPr>
              <w:t> </w:t>
            </w:r>
          </w:p>
        </w:tc>
      </w:tr>
      <w:tr w:rsidR="00F46DFB" w:rsidRPr="003B0B89" w14:paraId="466185FB" w14:textId="77777777" w:rsidTr="002420A7">
        <w:trPr>
          <w:trHeight w:val="285"/>
        </w:trPr>
        <w:tc>
          <w:tcPr>
            <w:tcW w:w="1488" w:type="pct"/>
            <w:tcBorders>
              <w:top w:val="nil"/>
              <w:left w:val="nil"/>
              <w:bottom w:val="nil"/>
              <w:right w:val="nil"/>
            </w:tcBorders>
            <w:shd w:val="clear" w:color="auto" w:fill="auto"/>
            <w:noWrap/>
            <w:vAlign w:val="center"/>
            <w:hideMark/>
          </w:tcPr>
          <w:p w14:paraId="2BA152B4" w14:textId="77777777" w:rsidR="00F46DFB" w:rsidRPr="003B0B89" w:rsidRDefault="00F46DFB" w:rsidP="00F46DFB">
            <w:pPr>
              <w:rPr>
                <w:rFonts w:eastAsia="Times New Roman" w:cs="Arial"/>
                <w:b/>
                <w:bCs/>
                <w:color w:val="424141"/>
                <w:szCs w:val="22"/>
                <w:lang w:val="en-GB" w:eastAsia="en-GB"/>
              </w:rPr>
            </w:pPr>
            <w:r w:rsidRPr="003B0B89">
              <w:rPr>
                <w:rFonts w:eastAsia="Times New Roman" w:cs="Arial"/>
                <w:b/>
                <w:bCs/>
                <w:color w:val="424141"/>
                <w:szCs w:val="22"/>
                <w:lang w:val="en-GB" w:eastAsia="en-GB"/>
              </w:rPr>
              <w:t>Net Movement in funds</w:t>
            </w:r>
          </w:p>
        </w:tc>
        <w:tc>
          <w:tcPr>
            <w:tcW w:w="297" w:type="pct"/>
            <w:tcBorders>
              <w:top w:val="nil"/>
              <w:left w:val="nil"/>
              <w:bottom w:val="nil"/>
              <w:right w:val="nil"/>
            </w:tcBorders>
            <w:shd w:val="clear" w:color="auto" w:fill="auto"/>
            <w:noWrap/>
            <w:vAlign w:val="center"/>
            <w:hideMark/>
          </w:tcPr>
          <w:p w14:paraId="66EE967C" w14:textId="77777777" w:rsidR="00F46DFB" w:rsidRPr="003B0B89" w:rsidRDefault="00F46DFB" w:rsidP="00F46DFB">
            <w:pPr>
              <w:rPr>
                <w:rFonts w:eastAsia="Times New Roman" w:cs="Arial"/>
                <w:b/>
                <w:bCs/>
                <w:color w:val="424141"/>
                <w:szCs w:val="22"/>
                <w:lang w:val="en-GB" w:eastAsia="en-GB"/>
              </w:rPr>
            </w:pPr>
          </w:p>
        </w:tc>
        <w:tc>
          <w:tcPr>
            <w:tcW w:w="447" w:type="pct"/>
            <w:tcBorders>
              <w:top w:val="nil"/>
              <w:left w:val="nil"/>
              <w:bottom w:val="nil"/>
              <w:right w:val="nil"/>
            </w:tcBorders>
            <w:shd w:val="clear" w:color="000000" w:fill="D9D9D9"/>
            <w:noWrap/>
            <w:vAlign w:val="center"/>
            <w:hideMark/>
          </w:tcPr>
          <w:p w14:paraId="6A0FFDBE" w14:textId="7CA9396A" w:rsidR="00F46DFB" w:rsidRPr="003B0B89" w:rsidRDefault="009E6065">
            <w:pPr>
              <w:jc w:val="right"/>
              <w:rPr>
                <w:rFonts w:eastAsia="Times New Roman" w:cs="Arial"/>
                <w:b/>
                <w:bCs/>
                <w:color w:val="424141"/>
                <w:szCs w:val="22"/>
                <w:lang w:val="en-GB" w:eastAsia="en-GB"/>
              </w:rPr>
            </w:pPr>
            <w:r>
              <w:rPr>
                <w:rFonts w:cs="Arial"/>
                <w:color w:val="424141"/>
                <w:szCs w:val="22"/>
              </w:rPr>
              <w:t>-2,487</w:t>
            </w:r>
          </w:p>
        </w:tc>
        <w:tc>
          <w:tcPr>
            <w:tcW w:w="397" w:type="pct"/>
            <w:tcBorders>
              <w:top w:val="nil"/>
              <w:left w:val="nil"/>
              <w:bottom w:val="nil"/>
              <w:right w:val="nil"/>
            </w:tcBorders>
            <w:shd w:val="clear" w:color="auto" w:fill="auto"/>
            <w:vAlign w:val="center"/>
            <w:hideMark/>
          </w:tcPr>
          <w:p w14:paraId="0286550B" w14:textId="1080C2CC" w:rsidR="00F46DFB" w:rsidRPr="003B0B89" w:rsidRDefault="00F46DFB">
            <w:pPr>
              <w:jc w:val="right"/>
              <w:rPr>
                <w:rFonts w:eastAsia="Times New Roman" w:cs="Arial"/>
                <w:b/>
                <w:bCs/>
                <w:color w:val="A6A6A6"/>
                <w:szCs w:val="22"/>
                <w:lang w:val="en-GB" w:eastAsia="en-GB"/>
              </w:rPr>
            </w:pPr>
            <w:r>
              <w:rPr>
                <w:rFonts w:cs="Arial"/>
                <w:b/>
                <w:bCs/>
                <w:color w:val="A6A6A6"/>
                <w:szCs w:val="22"/>
              </w:rPr>
              <w:t xml:space="preserve">-2,778 </w:t>
            </w:r>
          </w:p>
        </w:tc>
        <w:tc>
          <w:tcPr>
            <w:tcW w:w="397" w:type="pct"/>
            <w:tcBorders>
              <w:top w:val="nil"/>
              <w:left w:val="nil"/>
              <w:bottom w:val="nil"/>
              <w:right w:val="nil"/>
            </w:tcBorders>
            <w:shd w:val="clear" w:color="000000" w:fill="D9D9D9"/>
            <w:noWrap/>
            <w:vAlign w:val="center"/>
            <w:hideMark/>
          </w:tcPr>
          <w:p w14:paraId="76793380" w14:textId="36883EC0" w:rsidR="00F46DFB" w:rsidRPr="003B0B89" w:rsidRDefault="00BA418D">
            <w:pPr>
              <w:jc w:val="right"/>
              <w:rPr>
                <w:rFonts w:eastAsia="Times New Roman" w:cs="Arial"/>
                <w:b/>
                <w:bCs/>
                <w:color w:val="424141"/>
                <w:szCs w:val="22"/>
                <w:lang w:val="en-GB" w:eastAsia="en-GB"/>
              </w:rPr>
            </w:pPr>
            <w:r>
              <w:rPr>
                <w:rFonts w:cs="Arial"/>
                <w:color w:val="424141"/>
                <w:szCs w:val="22"/>
              </w:rPr>
              <w:t>1,</w:t>
            </w:r>
            <w:r w:rsidR="00F377C6">
              <w:rPr>
                <w:rFonts w:cs="Arial"/>
                <w:color w:val="424141"/>
                <w:szCs w:val="22"/>
              </w:rPr>
              <w:t>207</w:t>
            </w:r>
          </w:p>
        </w:tc>
        <w:tc>
          <w:tcPr>
            <w:tcW w:w="397" w:type="pct"/>
            <w:tcBorders>
              <w:top w:val="nil"/>
              <w:left w:val="nil"/>
              <w:bottom w:val="nil"/>
              <w:right w:val="nil"/>
            </w:tcBorders>
            <w:shd w:val="clear" w:color="auto" w:fill="auto"/>
            <w:vAlign w:val="center"/>
            <w:hideMark/>
          </w:tcPr>
          <w:p w14:paraId="22B9B1A9" w14:textId="78944A4D" w:rsidR="00F46DFB" w:rsidRPr="003B0B89" w:rsidRDefault="002915E2">
            <w:pPr>
              <w:jc w:val="right"/>
              <w:rPr>
                <w:rFonts w:eastAsia="Times New Roman" w:cs="Arial"/>
                <w:b/>
                <w:bCs/>
                <w:color w:val="A6A6A6"/>
                <w:szCs w:val="22"/>
                <w:lang w:val="en-GB" w:eastAsia="en-GB"/>
              </w:rPr>
            </w:pPr>
            <w:r>
              <w:rPr>
                <w:rFonts w:cs="Arial"/>
                <w:b/>
                <w:bCs/>
                <w:color w:val="A6A6A6"/>
                <w:szCs w:val="22"/>
              </w:rPr>
              <w:t>1</w:t>
            </w:r>
            <w:r w:rsidR="00F46DFB">
              <w:rPr>
                <w:rFonts w:cs="Arial"/>
                <w:b/>
                <w:bCs/>
                <w:color w:val="A6A6A6"/>
                <w:szCs w:val="22"/>
              </w:rPr>
              <w:t xml:space="preserve">,291 </w:t>
            </w:r>
          </w:p>
        </w:tc>
        <w:tc>
          <w:tcPr>
            <w:tcW w:w="397" w:type="pct"/>
            <w:tcBorders>
              <w:top w:val="nil"/>
              <w:left w:val="nil"/>
              <w:bottom w:val="nil"/>
              <w:right w:val="nil"/>
            </w:tcBorders>
            <w:shd w:val="clear" w:color="000000" w:fill="D9D9D9"/>
            <w:noWrap/>
            <w:vAlign w:val="center"/>
            <w:hideMark/>
          </w:tcPr>
          <w:p w14:paraId="48E16A0C" w14:textId="28B3A9CE" w:rsidR="00F46DFB" w:rsidRPr="003B0B89" w:rsidRDefault="005540B9">
            <w:pPr>
              <w:jc w:val="right"/>
              <w:rPr>
                <w:rFonts w:eastAsia="Times New Roman" w:cs="Arial"/>
                <w:b/>
                <w:bCs/>
                <w:color w:val="424141"/>
                <w:szCs w:val="22"/>
                <w:lang w:val="en-GB" w:eastAsia="en-GB"/>
              </w:rPr>
            </w:pPr>
            <w:r>
              <w:rPr>
                <w:rFonts w:cs="Arial"/>
                <w:b/>
                <w:bCs/>
                <w:color w:val="424141"/>
                <w:szCs w:val="22"/>
              </w:rPr>
              <w:t>-44</w:t>
            </w:r>
          </w:p>
        </w:tc>
        <w:tc>
          <w:tcPr>
            <w:tcW w:w="396" w:type="pct"/>
            <w:tcBorders>
              <w:top w:val="nil"/>
              <w:left w:val="nil"/>
              <w:bottom w:val="nil"/>
              <w:right w:val="nil"/>
            </w:tcBorders>
            <w:shd w:val="clear" w:color="auto" w:fill="auto"/>
            <w:vAlign w:val="center"/>
            <w:hideMark/>
          </w:tcPr>
          <w:p w14:paraId="0AAE3D68" w14:textId="55BA7CC8" w:rsidR="00F46DFB" w:rsidRPr="003B0B89" w:rsidRDefault="00F46DFB">
            <w:pPr>
              <w:jc w:val="right"/>
              <w:rPr>
                <w:rFonts w:eastAsia="Times New Roman" w:cs="Arial"/>
                <w:b/>
                <w:bCs/>
                <w:color w:val="A6A6A6"/>
                <w:szCs w:val="22"/>
                <w:lang w:val="en-GB" w:eastAsia="en-GB"/>
              </w:rPr>
            </w:pPr>
            <w:r>
              <w:rPr>
                <w:rFonts w:cs="Arial"/>
                <w:b/>
                <w:bCs/>
                <w:color w:val="A6A6A6"/>
                <w:szCs w:val="22"/>
              </w:rPr>
              <w:t xml:space="preserve">457 </w:t>
            </w:r>
          </w:p>
        </w:tc>
        <w:tc>
          <w:tcPr>
            <w:tcW w:w="398" w:type="pct"/>
            <w:tcBorders>
              <w:top w:val="nil"/>
              <w:left w:val="nil"/>
              <w:bottom w:val="nil"/>
              <w:right w:val="nil"/>
            </w:tcBorders>
            <w:shd w:val="clear" w:color="000000" w:fill="D9D9D9"/>
            <w:noWrap/>
            <w:vAlign w:val="center"/>
            <w:hideMark/>
          </w:tcPr>
          <w:p w14:paraId="59767999" w14:textId="40F6DEDA" w:rsidR="00F46DFB" w:rsidRPr="003B0B89" w:rsidRDefault="00052897">
            <w:pPr>
              <w:jc w:val="right"/>
              <w:rPr>
                <w:rFonts w:eastAsia="Times New Roman" w:cs="Arial"/>
                <w:b/>
                <w:bCs/>
                <w:color w:val="424141"/>
                <w:szCs w:val="22"/>
                <w:lang w:val="en-GB" w:eastAsia="en-GB"/>
              </w:rPr>
            </w:pPr>
            <w:r>
              <w:rPr>
                <w:rFonts w:cs="Arial"/>
                <w:b/>
                <w:bCs/>
                <w:color w:val="424141"/>
                <w:szCs w:val="22"/>
              </w:rPr>
              <w:t>-1,324</w:t>
            </w:r>
            <w:r w:rsidR="00F46DFB">
              <w:rPr>
                <w:rFonts w:cs="Arial"/>
                <w:b/>
                <w:bCs/>
                <w:color w:val="424141"/>
                <w:szCs w:val="22"/>
              </w:rPr>
              <w:t xml:space="preserve"> </w:t>
            </w:r>
          </w:p>
        </w:tc>
        <w:tc>
          <w:tcPr>
            <w:tcW w:w="386" w:type="pct"/>
            <w:tcBorders>
              <w:top w:val="nil"/>
              <w:left w:val="nil"/>
              <w:bottom w:val="nil"/>
              <w:right w:val="nil"/>
            </w:tcBorders>
            <w:shd w:val="clear" w:color="auto" w:fill="auto"/>
            <w:vAlign w:val="center"/>
            <w:hideMark/>
          </w:tcPr>
          <w:p w14:paraId="3123D2FA" w14:textId="37BB6113" w:rsidR="00F46DFB" w:rsidRPr="003B0B89" w:rsidRDefault="00F46DFB">
            <w:pPr>
              <w:jc w:val="right"/>
              <w:rPr>
                <w:rFonts w:eastAsia="Times New Roman" w:cs="Arial"/>
                <w:b/>
                <w:bCs/>
                <w:color w:val="A6A6A6"/>
                <w:szCs w:val="22"/>
                <w:lang w:val="en-GB" w:eastAsia="en-GB"/>
              </w:rPr>
            </w:pPr>
            <w:r>
              <w:rPr>
                <w:rFonts w:cs="Arial"/>
                <w:b/>
                <w:bCs/>
                <w:color w:val="A6A6A6"/>
                <w:szCs w:val="22"/>
              </w:rPr>
              <w:t>-</w:t>
            </w:r>
            <w:r w:rsidR="009A0608">
              <w:rPr>
                <w:rFonts w:cs="Arial"/>
                <w:b/>
                <w:bCs/>
                <w:color w:val="A6A6A6"/>
                <w:szCs w:val="22"/>
              </w:rPr>
              <w:t>1,0</w:t>
            </w:r>
            <w:r>
              <w:rPr>
                <w:rFonts w:cs="Arial"/>
                <w:b/>
                <w:bCs/>
                <w:color w:val="A6A6A6"/>
                <w:szCs w:val="22"/>
              </w:rPr>
              <w:t xml:space="preserve">30 </w:t>
            </w:r>
          </w:p>
        </w:tc>
      </w:tr>
      <w:tr w:rsidR="00F46DFB" w:rsidRPr="003B0B89" w14:paraId="11077D37" w14:textId="77777777" w:rsidTr="002420A7">
        <w:trPr>
          <w:trHeight w:val="285"/>
        </w:trPr>
        <w:tc>
          <w:tcPr>
            <w:tcW w:w="1488" w:type="pct"/>
            <w:tcBorders>
              <w:top w:val="nil"/>
              <w:left w:val="nil"/>
              <w:bottom w:val="nil"/>
              <w:right w:val="nil"/>
            </w:tcBorders>
            <w:shd w:val="clear" w:color="auto" w:fill="auto"/>
            <w:noWrap/>
            <w:vAlign w:val="center"/>
            <w:hideMark/>
          </w:tcPr>
          <w:p w14:paraId="265DBAC3" w14:textId="77777777" w:rsidR="00F46DFB" w:rsidRPr="003B0B89" w:rsidRDefault="00F46DFB" w:rsidP="00F46DFB">
            <w:pPr>
              <w:jc w:val="right"/>
              <w:rPr>
                <w:rFonts w:eastAsia="Times New Roman" w:cs="Arial"/>
                <w:b/>
                <w:bCs/>
                <w:color w:val="A6A6A6"/>
                <w:szCs w:val="22"/>
                <w:lang w:val="en-GB" w:eastAsia="en-GB"/>
              </w:rPr>
            </w:pPr>
          </w:p>
        </w:tc>
        <w:tc>
          <w:tcPr>
            <w:tcW w:w="297" w:type="pct"/>
            <w:tcBorders>
              <w:top w:val="nil"/>
              <w:left w:val="nil"/>
              <w:bottom w:val="nil"/>
              <w:right w:val="nil"/>
            </w:tcBorders>
            <w:shd w:val="clear" w:color="auto" w:fill="auto"/>
            <w:noWrap/>
            <w:vAlign w:val="center"/>
            <w:hideMark/>
          </w:tcPr>
          <w:p w14:paraId="74D296BD" w14:textId="77777777" w:rsidR="00F46DFB" w:rsidRPr="003B0B89" w:rsidRDefault="00F46DFB" w:rsidP="00F46DFB">
            <w:pPr>
              <w:rPr>
                <w:rFonts w:ascii="Times New Roman" w:eastAsia="Times New Roman" w:hAnsi="Times New Roman"/>
                <w:sz w:val="20"/>
                <w:szCs w:val="20"/>
                <w:lang w:val="en-GB" w:eastAsia="en-GB"/>
              </w:rPr>
            </w:pPr>
          </w:p>
        </w:tc>
        <w:tc>
          <w:tcPr>
            <w:tcW w:w="447" w:type="pct"/>
            <w:tcBorders>
              <w:top w:val="nil"/>
              <w:left w:val="nil"/>
              <w:bottom w:val="nil"/>
              <w:right w:val="nil"/>
            </w:tcBorders>
            <w:shd w:val="clear" w:color="000000" w:fill="D9D9D9"/>
            <w:noWrap/>
            <w:vAlign w:val="center"/>
            <w:hideMark/>
          </w:tcPr>
          <w:p w14:paraId="4DEDD0F0" w14:textId="31A74A47" w:rsidR="00F46DFB" w:rsidRPr="003B0B89" w:rsidRDefault="00F46DFB" w:rsidP="00052572">
            <w:pPr>
              <w:jc w:val="right"/>
              <w:rPr>
                <w:rFonts w:eastAsia="Times New Roman" w:cs="Arial"/>
                <w:color w:val="424141"/>
                <w:szCs w:val="22"/>
                <w:lang w:val="en-GB" w:eastAsia="en-GB"/>
              </w:rPr>
            </w:pPr>
            <w:r>
              <w:rPr>
                <w:rFonts w:cs="Arial"/>
                <w:color w:val="424141"/>
                <w:szCs w:val="22"/>
              </w:rPr>
              <w:t> </w:t>
            </w:r>
          </w:p>
        </w:tc>
        <w:tc>
          <w:tcPr>
            <w:tcW w:w="397" w:type="pct"/>
            <w:tcBorders>
              <w:top w:val="nil"/>
              <w:left w:val="nil"/>
              <w:bottom w:val="nil"/>
              <w:right w:val="nil"/>
            </w:tcBorders>
            <w:shd w:val="clear" w:color="auto" w:fill="auto"/>
            <w:vAlign w:val="center"/>
            <w:hideMark/>
          </w:tcPr>
          <w:p w14:paraId="37755FD4" w14:textId="3E682953" w:rsidR="00F46DFB" w:rsidRPr="003B0B89" w:rsidRDefault="00F46DFB" w:rsidP="00052572">
            <w:pPr>
              <w:jc w:val="right"/>
              <w:rPr>
                <w:rFonts w:eastAsia="Times New Roman" w:cs="Arial"/>
                <w:color w:val="424141"/>
                <w:szCs w:val="22"/>
                <w:lang w:val="en-GB" w:eastAsia="en-GB"/>
              </w:rPr>
            </w:pPr>
          </w:p>
        </w:tc>
        <w:tc>
          <w:tcPr>
            <w:tcW w:w="397" w:type="pct"/>
            <w:tcBorders>
              <w:top w:val="nil"/>
              <w:left w:val="nil"/>
              <w:bottom w:val="nil"/>
              <w:right w:val="nil"/>
            </w:tcBorders>
            <w:shd w:val="clear" w:color="000000" w:fill="D9D9D9"/>
            <w:noWrap/>
            <w:vAlign w:val="center"/>
            <w:hideMark/>
          </w:tcPr>
          <w:p w14:paraId="2CEA1D49" w14:textId="79D96579" w:rsidR="00F46DFB" w:rsidRPr="003B0B89" w:rsidRDefault="00F46DFB" w:rsidP="00052572">
            <w:pPr>
              <w:jc w:val="right"/>
              <w:rPr>
                <w:rFonts w:eastAsia="Times New Roman" w:cs="Arial"/>
                <w:color w:val="424141"/>
                <w:szCs w:val="22"/>
                <w:lang w:val="en-GB" w:eastAsia="en-GB"/>
              </w:rPr>
            </w:pPr>
            <w:r>
              <w:rPr>
                <w:rFonts w:cs="Arial"/>
                <w:color w:val="424141"/>
                <w:szCs w:val="22"/>
              </w:rPr>
              <w:t> </w:t>
            </w:r>
          </w:p>
        </w:tc>
        <w:tc>
          <w:tcPr>
            <w:tcW w:w="397" w:type="pct"/>
            <w:tcBorders>
              <w:top w:val="nil"/>
              <w:left w:val="nil"/>
              <w:bottom w:val="nil"/>
              <w:right w:val="nil"/>
            </w:tcBorders>
            <w:shd w:val="clear" w:color="auto" w:fill="auto"/>
            <w:vAlign w:val="center"/>
            <w:hideMark/>
          </w:tcPr>
          <w:p w14:paraId="2C72481F" w14:textId="71F8CE7A" w:rsidR="00F46DFB" w:rsidRPr="003B0B89" w:rsidRDefault="00F46DFB" w:rsidP="00052572">
            <w:pPr>
              <w:jc w:val="right"/>
              <w:rPr>
                <w:rFonts w:eastAsia="Times New Roman" w:cs="Arial"/>
                <w:color w:val="424141"/>
                <w:szCs w:val="22"/>
                <w:lang w:val="en-GB" w:eastAsia="en-GB"/>
              </w:rPr>
            </w:pPr>
          </w:p>
        </w:tc>
        <w:tc>
          <w:tcPr>
            <w:tcW w:w="397" w:type="pct"/>
            <w:tcBorders>
              <w:top w:val="nil"/>
              <w:left w:val="nil"/>
              <w:bottom w:val="nil"/>
              <w:right w:val="nil"/>
            </w:tcBorders>
            <w:shd w:val="clear" w:color="000000" w:fill="D9D9D9"/>
            <w:noWrap/>
            <w:vAlign w:val="center"/>
            <w:hideMark/>
          </w:tcPr>
          <w:p w14:paraId="3745957E" w14:textId="2416D170" w:rsidR="00F46DFB" w:rsidRPr="003B0B89" w:rsidRDefault="00F46DFB" w:rsidP="00052572">
            <w:pPr>
              <w:jc w:val="right"/>
              <w:rPr>
                <w:rFonts w:eastAsia="Times New Roman" w:cs="Arial"/>
                <w:color w:val="424141"/>
                <w:szCs w:val="22"/>
                <w:lang w:val="en-GB" w:eastAsia="en-GB"/>
              </w:rPr>
            </w:pPr>
            <w:r>
              <w:rPr>
                <w:rFonts w:cs="Arial"/>
                <w:color w:val="424141"/>
                <w:szCs w:val="22"/>
              </w:rPr>
              <w:t> </w:t>
            </w:r>
          </w:p>
        </w:tc>
        <w:tc>
          <w:tcPr>
            <w:tcW w:w="396" w:type="pct"/>
            <w:tcBorders>
              <w:top w:val="nil"/>
              <w:left w:val="nil"/>
              <w:bottom w:val="nil"/>
              <w:right w:val="nil"/>
            </w:tcBorders>
            <w:shd w:val="clear" w:color="auto" w:fill="auto"/>
            <w:vAlign w:val="center"/>
            <w:hideMark/>
          </w:tcPr>
          <w:p w14:paraId="0384E083" w14:textId="77777777" w:rsidR="00F46DFB" w:rsidRPr="003B0B89" w:rsidRDefault="00F46DFB" w:rsidP="00052572">
            <w:pPr>
              <w:jc w:val="right"/>
              <w:rPr>
                <w:rFonts w:eastAsia="Times New Roman" w:cs="Arial"/>
                <w:color w:val="424141"/>
                <w:szCs w:val="22"/>
                <w:lang w:val="en-GB" w:eastAsia="en-GB"/>
              </w:rPr>
            </w:pPr>
          </w:p>
        </w:tc>
        <w:tc>
          <w:tcPr>
            <w:tcW w:w="398" w:type="pct"/>
            <w:tcBorders>
              <w:top w:val="nil"/>
              <w:left w:val="nil"/>
              <w:bottom w:val="nil"/>
              <w:right w:val="nil"/>
            </w:tcBorders>
            <w:shd w:val="clear" w:color="000000" w:fill="D9D9D9"/>
            <w:noWrap/>
            <w:vAlign w:val="center"/>
            <w:hideMark/>
          </w:tcPr>
          <w:p w14:paraId="1BA5BDFC" w14:textId="1A6D808B" w:rsidR="00F46DFB" w:rsidRPr="003B0B89" w:rsidRDefault="00F46DFB" w:rsidP="00052572">
            <w:pPr>
              <w:jc w:val="right"/>
              <w:rPr>
                <w:rFonts w:eastAsia="Times New Roman" w:cs="Arial"/>
                <w:color w:val="424141"/>
                <w:szCs w:val="22"/>
                <w:lang w:val="en-GB" w:eastAsia="en-GB"/>
              </w:rPr>
            </w:pPr>
            <w:r>
              <w:rPr>
                <w:rFonts w:cs="Arial"/>
                <w:color w:val="424141"/>
                <w:szCs w:val="22"/>
              </w:rPr>
              <w:t> </w:t>
            </w:r>
          </w:p>
        </w:tc>
        <w:tc>
          <w:tcPr>
            <w:tcW w:w="386" w:type="pct"/>
            <w:tcBorders>
              <w:top w:val="nil"/>
              <w:left w:val="nil"/>
              <w:bottom w:val="nil"/>
              <w:right w:val="nil"/>
            </w:tcBorders>
            <w:shd w:val="clear" w:color="auto" w:fill="auto"/>
            <w:noWrap/>
            <w:vAlign w:val="center"/>
            <w:hideMark/>
          </w:tcPr>
          <w:p w14:paraId="40762F75" w14:textId="72554539" w:rsidR="00F46DFB" w:rsidRPr="003B0B89" w:rsidRDefault="00F46DFB" w:rsidP="00052572">
            <w:pPr>
              <w:jc w:val="right"/>
              <w:rPr>
                <w:rFonts w:eastAsia="Times New Roman" w:cs="Arial"/>
                <w:color w:val="424141"/>
                <w:szCs w:val="22"/>
                <w:lang w:val="en-GB" w:eastAsia="en-GB"/>
              </w:rPr>
            </w:pPr>
          </w:p>
        </w:tc>
      </w:tr>
      <w:tr w:rsidR="00F46DFB" w:rsidRPr="003B0B89" w14:paraId="4D4BBB96" w14:textId="77777777" w:rsidTr="002420A7">
        <w:trPr>
          <w:trHeight w:val="285"/>
        </w:trPr>
        <w:tc>
          <w:tcPr>
            <w:tcW w:w="1488" w:type="pct"/>
            <w:tcBorders>
              <w:top w:val="nil"/>
              <w:left w:val="nil"/>
              <w:bottom w:val="nil"/>
              <w:right w:val="nil"/>
            </w:tcBorders>
            <w:shd w:val="clear" w:color="auto" w:fill="auto"/>
            <w:noWrap/>
            <w:vAlign w:val="center"/>
            <w:hideMark/>
          </w:tcPr>
          <w:p w14:paraId="675B550F" w14:textId="77777777" w:rsidR="00F46DFB" w:rsidRPr="003B0B89" w:rsidRDefault="00F46DFB" w:rsidP="00F46DFB">
            <w:pPr>
              <w:rPr>
                <w:rFonts w:eastAsia="Times New Roman" w:cs="Arial"/>
                <w:b/>
                <w:bCs/>
                <w:color w:val="424141"/>
                <w:szCs w:val="22"/>
                <w:lang w:val="en-GB" w:eastAsia="en-GB"/>
              </w:rPr>
            </w:pPr>
            <w:r w:rsidRPr="003B0B89">
              <w:rPr>
                <w:rFonts w:eastAsia="Times New Roman" w:cs="Arial"/>
                <w:b/>
                <w:bCs/>
                <w:color w:val="424141"/>
                <w:szCs w:val="22"/>
                <w:lang w:val="en-GB" w:eastAsia="en-GB"/>
              </w:rPr>
              <w:t>Reconciliation of Funds</w:t>
            </w:r>
          </w:p>
        </w:tc>
        <w:tc>
          <w:tcPr>
            <w:tcW w:w="297" w:type="pct"/>
            <w:tcBorders>
              <w:top w:val="nil"/>
              <w:left w:val="nil"/>
              <w:bottom w:val="nil"/>
              <w:right w:val="nil"/>
            </w:tcBorders>
            <w:shd w:val="clear" w:color="auto" w:fill="auto"/>
            <w:noWrap/>
            <w:vAlign w:val="center"/>
            <w:hideMark/>
          </w:tcPr>
          <w:p w14:paraId="35DB157D" w14:textId="77777777" w:rsidR="00F46DFB" w:rsidRPr="003B0B89" w:rsidRDefault="00F46DFB" w:rsidP="00F46DFB">
            <w:pPr>
              <w:rPr>
                <w:rFonts w:eastAsia="Times New Roman" w:cs="Arial"/>
                <w:b/>
                <w:bCs/>
                <w:color w:val="424141"/>
                <w:szCs w:val="22"/>
                <w:lang w:val="en-GB" w:eastAsia="en-GB"/>
              </w:rPr>
            </w:pPr>
          </w:p>
        </w:tc>
        <w:tc>
          <w:tcPr>
            <w:tcW w:w="447" w:type="pct"/>
            <w:tcBorders>
              <w:top w:val="nil"/>
              <w:left w:val="nil"/>
              <w:bottom w:val="nil"/>
              <w:right w:val="nil"/>
            </w:tcBorders>
            <w:shd w:val="clear" w:color="000000" w:fill="D9D9D9"/>
            <w:noWrap/>
            <w:vAlign w:val="center"/>
            <w:hideMark/>
          </w:tcPr>
          <w:p w14:paraId="30D42B9C" w14:textId="75E91994" w:rsidR="00F46DFB" w:rsidRPr="003B0B89" w:rsidRDefault="00F46DFB" w:rsidP="00052572">
            <w:pPr>
              <w:jc w:val="right"/>
              <w:rPr>
                <w:rFonts w:eastAsia="Times New Roman" w:cs="Arial"/>
                <w:color w:val="424141"/>
                <w:szCs w:val="22"/>
                <w:lang w:val="en-GB" w:eastAsia="en-GB"/>
              </w:rPr>
            </w:pPr>
            <w:r>
              <w:rPr>
                <w:rFonts w:cs="Arial"/>
                <w:color w:val="424141"/>
                <w:szCs w:val="22"/>
              </w:rPr>
              <w:t> </w:t>
            </w:r>
          </w:p>
        </w:tc>
        <w:tc>
          <w:tcPr>
            <w:tcW w:w="397" w:type="pct"/>
            <w:tcBorders>
              <w:top w:val="nil"/>
              <w:left w:val="nil"/>
              <w:bottom w:val="nil"/>
              <w:right w:val="nil"/>
            </w:tcBorders>
            <w:shd w:val="clear" w:color="auto" w:fill="auto"/>
            <w:vAlign w:val="center"/>
            <w:hideMark/>
          </w:tcPr>
          <w:p w14:paraId="5699D949" w14:textId="57695972" w:rsidR="00F46DFB" w:rsidRPr="003B0B89" w:rsidRDefault="00F46DFB" w:rsidP="00052572">
            <w:pPr>
              <w:jc w:val="right"/>
              <w:rPr>
                <w:rFonts w:eastAsia="Times New Roman" w:cs="Arial"/>
                <w:color w:val="424141"/>
                <w:szCs w:val="22"/>
                <w:lang w:val="en-GB" w:eastAsia="en-GB"/>
              </w:rPr>
            </w:pPr>
          </w:p>
        </w:tc>
        <w:tc>
          <w:tcPr>
            <w:tcW w:w="397" w:type="pct"/>
            <w:tcBorders>
              <w:top w:val="nil"/>
              <w:left w:val="nil"/>
              <w:bottom w:val="nil"/>
              <w:right w:val="nil"/>
            </w:tcBorders>
            <w:shd w:val="clear" w:color="000000" w:fill="D9D9D9"/>
            <w:noWrap/>
            <w:vAlign w:val="center"/>
            <w:hideMark/>
          </w:tcPr>
          <w:p w14:paraId="6731A8A6" w14:textId="0A872EBE" w:rsidR="00F46DFB" w:rsidRPr="003B0B89" w:rsidRDefault="00F46DFB" w:rsidP="00052572">
            <w:pPr>
              <w:jc w:val="right"/>
              <w:rPr>
                <w:rFonts w:eastAsia="Times New Roman" w:cs="Arial"/>
                <w:color w:val="424141"/>
                <w:szCs w:val="22"/>
                <w:lang w:val="en-GB" w:eastAsia="en-GB"/>
              </w:rPr>
            </w:pPr>
            <w:r>
              <w:rPr>
                <w:rFonts w:cs="Arial"/>
                <w:color w:val="424141"/>
                <w:szCs w:val="22"/>
              </w:rPr>
              <w:t> </w:t>
            </w:r>
          </w:p>
        </w:tc>
        <w:tc>
          <w:tcPr>
            <w:tcW w:w="397" w:type="pct"/>
            <w:tcBorders>
              <w:top w:val="nil"/>
              <w:left w:val="nil"/>
              <w:bottom w:val="nil"/>
              <w:right w:val="nil"/>
            </w:tcBorders>
            <w:shd w:val="clear" w:color="auto" w:fill="auto"/>
            <w:vAlign w:val="center"/>
            <w:hideMark/>
          </w:tcPr>
          <w:p w14:paraId="771FCE0E" w14:textId="18B1554B" w:rsidR="00F46DFB" w:rsidRPr="003B0B89" w:rsidRDefault="00F46DFB" w:rsidP="00052572">
            <w:pPr>
              <w:jc w:val="right"/>
              <w:rPr>
                <w:rFonts w:eastAsia="Times New Roman" w:cs="Arial"/>
                <w:color w:val="424141"/>
                <w:szCs w:val="22"/>
                <w:lang w:val="en-GB" w:eastAsia="en-GB"/>
              </w:rPr>
            </w:pPr>
          </w:p>
        </w:tc>
        <w:tc>
          <w:tcPr>
            <w:tcW w:w="397" w:type="pct"/>
            <w:tcBorders>
              <w:top w:val="nil"/>
              <w:left w:val="nil"/>
              <w:bottom w:val="nil"/>
              <w:right w:val="nil"/>
            </w:tcBorders>
            <w:shd w:val="clear" w:color="000000" w:fill="D9D9D9"/>
            <w:noWrap/>
            <w:vAlign w:val="center"/>
            <w:hideMark/>
          </w:tcPr>
          <w:p w14:paraId="1A30E28E" w14:textId="7F18D8C1" w:rsidR="00F46DFB" w:rsidRPr="003B0B89" w:rsidRDefault="00F46DFB" w:rsidP="00052572">
            <w:pPr>
              <w:jc w:val="right"/>
              <w:rPr>
                <w:rFonts w:eastAsia="Times New Roman" w:cs="Arial"/>
                <w:color w:val="424141"/>
                <w:szCs w:val="22"/>
                <w:lang w:val="en-GB" w:eastAsia="en-GB"/>
              </w:rPr>
            </w:pPr>
            <w:r>
              <w:rPr>
                <w:rFonts w:cs="Arial"/>
                <w:color w:val="424141"/>
                <w:szCs w:val="22"/>
              </w:rPr>
              <w:t> </w:t>
            </w:r>
          </w:p>
        </w:tc>
        <w:tc>
          <w:tcPr>
            <w:tcW w:w="396" w:type="pct"/>
            <w:tcBorders>
              <w:top w:val="nil"/>
              <w:left w:val="nil"/>
              <w:bottom w:val="nil"/>
              <w:right w:val="nil"/>
            </w:tcBorders>
            <w:shd w:val="clear" w:color="auto" w:fill="auto"/>
            <w:vAlign w:val="center"/>
            <w:hideMark/>
          </w:tcPr>
          <w:p w14:paraId="6070119D" w14:textId="77777777" w:rsidR="00F46DFB" w:rsidRPr="003B0B89" w:rsidRDefault="00F46DFB" w:rsidP="00052572">
            <w:pPr>
              <w:jc w:val="right"/>
              <w:rPr>
                <w:rFonts w:eastAsia="Times New Roman" w:cs="Arial"/>
                <w:color w:val="424141"/>
                <w:szCs w:val="22"/>
                <w:lang w:val="en-GB" w:eastAsia="en-GB"/>
              </w:rPr>
            </w:pPr>
          </w:p>
        </w:tc>
        <w:tc>
          <w:tcPr>
            <w:tcW w:w="398" w:type="pct"/>
            <w:tcBorders>
              <w:top w:val="nil"/>
              <w:left w:val="nil"/>
              <w:bottom w:val="nil"/>
              <w:right w:val="nil"/>
            </w:tcBorders>
            <w:shd w:val="clear" w:color="000000" w:fill="D9D9D9"/>
            <w:noWrap/>
            <w:vAlign w:val="center"/>
            <w:hideMark/>
          </w:tcPr>
          <w:p w14:paraId="46609E6F" w14:textId="77406AFB" w:rsidR="00F46DFB" w:rsidRPr="003B0B89" w:rsidRDefault="00F46DFB" w:rsidP="00052572">
            <w:pPr>
              <w:jc w:val="right"/>
              <w:rPr>
                <w:rFonts w:eastAsia="Times New Roman" w:cs="Arial"/>
                <w:color w:val="424141"/>
                <w:szCs w:val="22"/>
                <w:lang w:val="en-GB" w:eastAsia="en-GB"/>
              </w:rPr>
            </w:pPr>
            <w:r>
              <w:rPr>
                <w:rFonts w:cs="Arial"/>
                <w:color w:val="424141"/>
                <w:szCs w:val="22"/>
              </w:rPr>
              <w:t> </w:t>
            </w:r>
          </w:p>
        </w:tc>
        <w:tc>
          <w:tcPr>
            <w:tcW w:w="386" w:type="pct"/>
            <w:tcBorders>
              <w:top w:val="nil"/>
              <w:left w:val="nil"/>
              <w:bottom w:val="nil"/>
              <w:right w:val="nil"/>
            </w:tcBorders>
            <w:shd w:val="clear" w:color="auto" w:fill="auto"/>
            <w:noWrap/>
            <w:vAlign w:val="center"/>
            <w:hideMark/>
          </w:tcPr>
          <w:p w14:paraId="03AADF78" w14:textId="56DCD593" w:rsidR="00F46DFB" w:rsidRPr="003B0B89" w:rsidRDefault="00F46DFB" w:rsidP="00052572">
            <w:pPr>
              <w:jc w:val="right"/>
              <w:rPr>
                <w:rFonts w:eastAsia="Times New Roman" w:cs="Arial"/>
                <w:color w:val="424141"/>
                <w:szCs w:val="22"/>
                <w:lang w:val="en-GB" w:eastAsia="en-GB"/>
              </w:rPr>
            </w:pPr>
          </w:p>
        </w:tc>
      </w:tr>
      <w:tr w:rsidR="00F46DFB" w:rsidRPr="003B0B89" w14:paraId="65572026" w14:textId="77777777" w:rsidTr="002420A7">
        <w:trPr>
          <w:trHeight w:val="293"/>
        </w:trPr>
        <w:tc>
          <w:tcPr>
            <w:tcW w:w="1488" w:type="pct"/>
            <w:tcBorders>
              <w:top w:val="nil"/>
              <w:left w:val="nil"/>
              <w:bottom w:val="nil"/>
              <w:right w:val="nil"/>
            </w:tcBorders>
            <w:shd w:val="clear" w:color="auto" w:fill="auto"/>
            <w:noWrap/>
            <w:vAlign w:val="center"/>
            <w:hideMark/>
          </w:tcPr>
          <w:p w14:paraId="6D683DC9" w14:textId="77777777" w:rsidR="00F46DFB" w:rsidRPr="003B0B89" w:rsidRDefault="00F46DFB" w:rsidP="00F46DFB">
            <w:pPr>
              <w:rPr>
                <w:rFonts w:eastAsia="Times New Roman" w:cs="Arial"/>
                <w:color w:val="424141"/>
                <w:szCs w:val="22"/>
                <w:lang w:val="en-GB" w:eastAsia="en-GB"/>
              </w:rPr>
            </w:pPr>
            <w:r w:rsidRPr="003B0B89">
              <w:rPr>
                <w:rFonts w:eastAsia="Times New Roman" w:cs="Arial"/>
                <w:color w:val="424141"/>
                <w:szCs w:val="22"/>
                <w:lang w:val="en-GB" w:eastAsia="en-GB"/>
              </w:rPr>
              <w:t>Total Funds brought forward</w:t>
            </w:r>
          </w:p>
        </w:tc>
        <w:tc>
          <w:tcPr>
            <w:tcW w:w="297" w:type="pct"/>
            <w:tcBorders>
              <w:top w:val="nil"/>
              <w:left w:val="nil"/>
              <w:bottom w:val="nil"/>
              <w:right w:val="nil"/>
            </w:tcBorders>
            <w:shd w:val="clear" w:color="auto" w:fill="auto"/>
            <w:noWrap/>
            <w:vAlign w:val="center"/>
            <w:hideMark/>
          </w:tcPr>
          <w:p w14:paraId="53172F1F" w14:textId="77777777" w:rsidR="00F46DFB" w:rsidRPr="003B0B89" w:rsidRDefault="00F46DFB" w:rsidP="00F46DFB">
            <w:pPr>
              <w:jc w:val="right"/>
              <w:rPr>
                <w:rFonts w:eastAsia="Times New Roman" w:cs="Arial"/>
                <w:color w:val="424141"/>
                <w:szCs w:val="22"/>
                <w:lang w:val="en-GB" w:eastAsia="en-GB"/>
              </w:rPr>
            </w:pPr>
            <w:r w:rsidRPr="003B0B89">
              <w:rPr>
                <w:rFonts w:eastAsia="Times New Roman" w:cs="Arial"/>
                <w:color w:val="424141"/>
                <w:szCs w:val="22"/>
                <w:lang w:val="en-GB" w:eastAsia="en-GB"/>
              </w:rPr>
              <w:t>22</w:t>
            </w:r>
          </w:p>
        </w:tc>
        <w:tc>
          <w:tcPr>
            <w:tcW w:w="447" w:type="pct"/>
            <w:tcBorders>
              <w:top w:val="nil"/>
              <w:left w:val="nil"/>
              <w:bottom w:val="single" w:sz="8" w:space="0" w:color="auto"/>
              <w:right w:val="nil"/>
            </w:tcBorders>
            <w:shd w:val="clear" w:color="000000" w:fill="D9D9D9"/>
            <w:noWrap/>
            <w:vAlign w:val="center"/>
            <w:hideMark/>
          </w:tcPr>
          <w:p w14:paraId="3B778FB4" w14:textId="72AACD22" w:rsidR="00F46DFB" w:rsidRPr="003B0B89" w:rsidRDefault="00172B2D">
            <w:pPr>
              <w:jc w:val="right"/>
              <w:rPr>
                <w:rFonts w:eastAsia="Times New Roman" w:cs="Arial"/>
                <w:color w:val="424141"/>
                <w:szCs w:val="22"/>
                <w:lang w:val="en-GB" w:eastAsia="en-GB"/>
              </w:rPr>
            </w:pPr>
            <w:r>
              <w:rPr>
                <w:rFonts w:cs="Arial"/>
                <w:color w:val="424141"/>
                <w:szCs w:val="22"/>
              </w:rPr>
              <w:t>4</w:t>
            </w:r>
            <w:r w:rsidR="00B67B5E">
              <w:rPr>
                <w:rFonts w:cs="Arial"/>
                <w:color w:val="424141"/>
                <w:szCs w:val="22"/>
              </w:rPr>
              <w:t>,</w:t>
            </w:r>
            <w:r w:rsidR="00F46DFB">
              <w:rPr>
                <w:rFonts w:cs="Arial"/>
                <w:color w:val="424141"/>
                <w:szCs w:val="22"/>
              </w:rPr>
              <w:t>188</w:t>
            </w:r>
          </w:p>
        </w:tc>
        <w:tc>
          <w:tcPr>
            <w:tcW w:w="397" w:type="pct"/>
            <w:tcBorders>
              <w:top w:val="nil"/>
              <w:left w:val="nil"/>
              <w:bottom w:val="single" w:sz="8" w:space="0" w:color="auto"/>
              <w:right w:val="nil"/>
            </w:tcBorders>
            <w:shd w:val="clear" w:color="auto" w:fill="auto"/>
            <w:vAlign w:val="center"/>
            <w:hideMark/>
          </w:tcPr>
          <w:p w14:paraId="74D0C541" w14:textId="1702EEA9" w:rsidR="00F46DFB" w:rsidRPr="003B0B89" w:rsidRDefault="00172B2D">
            <w:pPr>
              <w:jc w:val="right"/>
              <w:rPr>
                <w:rFonts w:eastAsia="Times New Roman" w:cs="Arial"/>
                <w:color w:val="A6A6A6"/>
                <w:szCs w:val="22"/>
                <w:lang w:val="en-GB" w:eastAsia="en-GB"/>
              </w:rPr>
            </w:pPr>
            <w:r>
              <w:rPr>
                <w:rFonts w:cs="Arial"/>
                <w:color w:val="A6A6A6"/>
                <w:szCs w:val="22"/>
              </w:rPr>
              <w:t>6</w:t>
            </w:r>
            <w:r w:rsidR="00F46DFB">
              <w:rPr>
                <w:rFonts w:cs="Arial"/>
                <w:color w:val="A6A6A6"/>
                <w:szCs w:val="22"/>
              </w:rPr>
              <w:t>,966</w:t>
            </w:r>
          </w:p>
        </w:tc>
        <w:tc>
          <w:tcPr>
            <w:tcW w:w="397" w:type="pct"/>
            <w:tcBorders>
              <w:top w:val="nil"/>
              <w:left w:val="nil"/>
              <w:bottom w:val="single" w:sz="8" w:space="0" w:color="auto"/>
              <w:right w:val="nil"/>
            </w:tcBorders>
            <w:shd w:val="clear" w:color="000000" w:fill="D9D9D9"/>
            <w:noWrap/>
            <w:vAlign w:val="center"/>
            <w:hideMark/>
          </w:tcPr>
          <w:p w14:paraId="082C38CA" w14:textId="0E6AFAE2" w:rsidR="00F46DFB" w:rsidRPr="003B0B89" w:rsidRDefault="00F46DFB">
            <w:pPr>
              <w:jc w:val="right"/>
              <w:rPr>
                <w:rFonts w:eastAsia="Times New Roman" w:cs="Arial"/>
                <w:color w:val="424141"/>
                <w:szCs w:val="22"/>
                <w:lang w:val="en-GB" w:eastAsia="en-GB"/>
              </w:rPr>
            </w:pPr>
            <w:r>
              <w:rPr>
                <w:rFonts w:cs="Arial"/>
                <w:color w:val="424141"/>
                <w:szCs w:val="22"/>
              </w:rPr>
              <w:t>3</w:t>
            </w:r>
            <w:r w:rsidR="00B67B5E">
              <w:rPr>
                <w:rFonts w:cs="Arial"/>
                <w:color w:val="424141"/>
                <w:szCs w:val="22"/>
              </w:rPr>
              <w:t>,</w:t>
            </w:r>
            <w:r>
              <w:rPr>
                <w:rFonts w:cs="Arial"/>
                <w:color w:val="424141"/>
                <w:szCs w:val="22"/>
              </w:rPr>
              <w:t>570</w:t>
            </w:r>
          </w:p>
        </w:tc>
        <w:tc>
          <w:tcPr>
            <w:tcW w:w="397" w:type="pct"/>
            <w:tcBorders>
              <w:top w:val="nil"/>
              <w:left w:val="nil"/>
              <w:bottom w:val="single" w:sz="8" w:space="0" w:color="auto"/>
              <w:right w:val="nil"/>
            </w:tcBorders>
            <w:shd w:val="clear" w:color="auto" w:fill="auto"/>
            <w:vAlign w:val="center"/>
            <w:hideMark/>
          </w:tcPr>
          <w:p w14:paraId="238B5FB2" w14:textId="07695C39" w:rsidR="00F46DFB" w:rsidRPr="003B0B89" w:rsidRDefault="002915E2">
            <w:pPr>
              <w:jc w:val="right"/>
              <w:rPr>
                <w:rFonts w:eastAsia="Times New Roman" w:cs="Arial"/>
                <w:color w:val="A6A6A6"/>
                <w:szCs w:val="22"/>
                <w:lang w:val="en-GB" w:eastAsia="en-GB"/>
              </w:rPr>
            </w:pPr>
            <w:r>
              <w:rPr>
                <w:rFonts w:cs="Arial"/>
                <w:color w:val="A6A6A6"/>
                <w:szCs w:val="22"/>
              </w:rPr>
              <w:t>2</w:t>
            </w:r>
            <w:r w:rsidR="00F46DFB">
              <w:rPr>
                <w:rFonts w:cs="Arial"/>
                <w:color w:val="A6A6A6"/>
                <w:szCs w:val="22"/>
              </w:rPr>
              <w:t>,279</w:t>
            </w:r>
          </w:p>
        </w:tc>
        <w:tc>
          <w:tcPr>
            <w:tcW w:w="397" w:type="pct"/>
            <w:tcBorders>
              <w:top w:val="nil"/>
              <w:left w:val="nil"/>
              <w:bottom w:val="single" w:sz="8" w:space="0" w:color="auto"/>
              <w:right w:val="nil"/>
            </w:tcBorders>
            <w:shd w:val="clear" w:color="000000" w:fill="D9D9D9"/>
            <w:noWrap/>
            <w:vAlign w:val="center"/>
            <w:hideMark/>
          </w:tcPr>
          <w:p w14:paraId="34E2FFFD" w14:textId="6AD24CC2" w:rsidR="00F46DFB" w:rsidRPr="003B0B89" w:rsidRDefault="00F46DFB">
            <w:pPr>
              <w:jc w:val="right"/>
              <w:rPr>
                <w:rFonts w:eastAsia="Times New Roman" w:cs="Arial"/>
                <w:color w:val="424141"/>
                <w:szCs w:val="22"/>
                <w:lang w:val="en-GB" w:eastAsia="en-GB"/>
              </w:rPr>
            </w:pPr>
            <w:r>
              <w:rPr>
                <w:rFonts w:cs="Arial"/>
                <w:color w:val="424141"/>
                <w:szCs w:val="22"/>
              </w:rPr>
              <w:t>963</w:t>
            </w:r>
          </w:p>
        </w:tc>
        <w:tc>
          <w:tcPr>
            <w:tcW w:w="396" w:type="pct"/>
            <w:tcBorders>
              <w:top w:val="nil"/>
              <w:left w:val="nil"/>
              <w:bottom w:val="single" w:sz="8" w:space="0" w:color="auto"/>
              <w:right w:val="nil"/>
            </w:tcBorders>
            <w:shd w:val="clear" w:color="auto" w:fill="auto"/>
            <w:vAlign w:val="center"/>
            <w:hideMark/>
          </w:tcPr>
          <w:p w14:paraId="03835BF7" w14:textId="20D7998D" w:rsidR="00F46DFB" w:rsidRPr="003B0B89" w:rsidRDefault="00F46DFB">
            <w:pPr>
              <w:jc w:val="right"/>
              <w:rPr>
                <w:rFonts w:eastAsia="Times New Roman" w:cs="Arial"/>
                <w:color w:val="A6A6A6"/>
                <w:szCs w:val="22"/>
                <w:lang w:val="en-GB" w:eastAsia="en-GB"/>
              </w:rPr>
            </w:pPr>
            <w:r>
              <w:rPr>
                <w:rFonts w:cs="Arial"/>
                <w:color w:val="A6A6A6"/>
                <w:szCs w:val="22"/>
              </w:rPr>
              <w:t>506</w:t>
            </w:r>
          </w:p>
        </w:tc>
        <w:tc>
          <w:tcPr>
            <w:tcW w:w="398" w:type="pct"/>
            <w:tcBorders>
              <w:top w:val="nil"/>
              <w:left w:val="nil"/>
              <w:bottom w:val="single" w:sz="8" w:space="0" w:color="auto"/>
              <w:right w:val="nil"/>
            </w:tcBorders>
            <w:shd w:val="clear" w:color="000000" w:fill="D9D9D9"/>
            <w:noWrap/>
            <w:vAlign w:val="center"/>
            <w:hideMark/>
          </w:tcPr>
          <w:p w14:paraId="616BB80B" w14:textId="6E6A44B4" w:rsidR="00F46DFB" w:rsidRPr="003B0B89" w:rsidRDefault="00172B2D">
            <w:pPr>
              <w:jc w:val="right"/>
              <w:rPr>
                <w:rFonts w:eastAsia="Times New Roman" w:cs="Arial"/>
                <w:color w:val="424141"/>
                <w:szCs w:val="22"/>
                <w:lang w:val="en-GB" w:eastAsia="en-GB"/>
              </w:rPr>
            </w:pPr>
            <w:r>
              <w:rPr>
                <w:rFonts w:cs="Arial"/>
                <w:color w:val="424141"/>
                <w:szCs w:val="22"/>
              </w:rPr>
              <w:t>8</w:t>
            </w:r>
            <w:r w:rsidR="00F46DFB">
              <w:rPr>
                <w:rFonts w:cs="Arial"/>
                <w:color w:val="424141"/>
                <w:szCs w:val="22"/>
              </w:rPr>
              <w:t>,721</w:t>
            </w:r>
          </w:p>
        </w:tc>
        <w:tc>
          <w:tcPr>
            <w:tcW w:w="386" w:type="pct"/>
            <w:tcBorders>
              <w:top w:val="nil"/>
              <w:left w:val="nil"/>
              <w:bottom w:val="single" w:sz="8" w:space="0" w:color="auto"/>
              <w:right w:val="nil"/>
            </w:tcBorders>
            <w:shd w:val="clear" w:color="auto" w:fill="auto"/>
            <w:noWrap/>
            <w:vAlign w:val="center"/>
            <w:hideMark/>
          </w:tcPr>
          <w:p w14:paraId="7C80695D" w14:textId="51C8AF55" w:rsidR="00F46DFB" w:rsidRPr="003B0B89" w:rsidRDefault="00174FB3">
            <w:pPr>
              <w:jc w:val="right"/>
              <w:rPr>
                <w:rFonts w:eastAsia="Times New Roman" w:cs="Arial"/>
                <w:color w:val="A6A6A6"/>
                <w:szCs w:val="22"/>
                <w:lang w:val="en-GB" w:eastAsia="en-GB"/>
              </w:rPr>
            </w:pPr>
            <w:r>
              <w:rPr>
                <w:rFonts w:cs="Arial"/>
                <w:color w:val="A6A6A6"/>
                <w:szCs w:val="22"/>
              </w:rPr>
              <w:t>9</w:t>
            </w:r>
            <w:r w:rsidR="00D246B2">
              <w:rPr>
                <w:rFonts w:cs="Arial"/>
                <w:color w:val="A6A6A6"/>
                <w:szCs w:val="22"/>
              </w:rPr>
              <w:t>,751</w:t>
            </w:r>
          </w:p>
        </w:tc>
      </w:tr>
      <w:tr w:rsidR="00F46DFB" w:rsidRPr="003B0B89" w14:paraId="6353D444" w14:textId="77777777" w:rsidTr="002420A7">
        <w:trPr>
          <w:trHeight w:val="293"/>
        </w:trPr>
        <w:tc>
          <w:tcPr>
            <w:tcW w:w="1488" w:type="pct"/>
            <w:tcBorders>
              <w:top w:val="nil"/>
              <w:left w:val="nil"/>
              <w:bottom w:val="nil"/>
              <w:right w:val="nil"/>
            </w:tcBorders>
            <w:shd w:val="clear" w:color="auto" w:fill="auto"/>
            <w:noWrap/>
            <w:vAlign w:val="center"/>
            <w:hideMark/>
          </w:tcPr>
          <w:p w14:paraId="5A794C50" w14:textId="77777777" w:rsidR="00F46DFB" w:rsidRPr="003B0B89" w:rsidRDefault="00F46DFB" w:rsidP="00F46DFB">
            <w:pPr>
              <w:rPr>
                <w:rFonts w:eastAsia="Times New Roman" w:cs="Arial"/>
                <w:b/>
                <w:bCs/>
                <w:color w:val="424141"/>
                <w:szCs w:val="22"/>
                <w:lang w:val="en-GB" w:eastAsia="en-GB"/>
              </w:rPr>
            </w:pPr>
            <w:r w:rsidRPr="003B0B89">
              <w:rPr>
                <w:rFonts w:eastAsia="Times New Roman" w:cs="Arial"/>
                <w:b/>
                <w:bCs/>
                <w:color w:val="424141"/>
                <w:szCs w:val="22"/>
                <w:lang w:val="en-GB" w:eastAsia="en-GB"/>
              </w:rPr>
              <w:t>Total Funds carried forward</w:t>
            </w:r>
          </w:p>
        </w:tc>
        <w:tc>
          <w:tcPr>
            <w:tcW w:w="297" w:type="pct"/>
            <w:tcBorders>
              <w:top w:val="nil"/>
              <w:left w:val="nil"/>
              <w:bottom w:val="nil"/>
              <w:right w:val="nil"/>
            </w:tcBorders>
            <w:shd w:val="clear" w:color="auto" w:fill="auto"/>
            <w:noWrap/>
            <w:vAlign w:val="center"/>
            <w:hideMark/>
          </w:tcPr>
          <w:p w14:paraId="7A717239" w14:textId="77777777" w:rsidR="00F46DFB" w:rsidRPr="003B0B89" w:rsidRDefault="00F46DFB" w:rsidP="00F46DFB">
            <w:pPr>
              <w:jc w:val="right"/>
              <w:rPr>
                <w:rFonts w:eastAsia="Times New Roman" w:cs="Arial"/>
                <w:b/>
                <w:bCs/>
                <w:color w:val="424141"/>
                <w:szCs w:val="22"/>
                <w:lang w:val="en-GB" w:eastAsia="en-GB"/>
              </w:rPr>
            </w:pPr>
            <w:r w:rsidRPr="003B0B89">
              <w:rPr>
                <w:rFonts w:eastAsia="Times New Roman" w:cs="Arial"/>
                <w:b/>
                <w:bCs/>
                <w:color w:val="424141"/>
                <w:szCs w:val="22"/>
                <w:lang w:val="en-GB" w:eastAsia="en-GB"/>
              </w:rPr>
              <w:t>22</w:t>
            </w:r>
          </w:p>
        </w:tc>
        <w:tc>
          <w:tcPr>
            <w:tcW w:w="447" w:type="pct"/>
            <w:tcBorders>
              <w:top w:val="nil"/>
              <w:left w:val="nil"/>
              <w:bottom w:val="double" w:sz="6" w:space="0" w:color="auto"/>
              <w:right w:val="nil"/>
            </w:tcBorders>
            <w:shd w:val="clear" w:color="000000" w:fill="D9D9D9"/>
            <w:noWrap/>
            <w:vAlign w:val="center"/>
            <w:hideMark/>
          </w:tcPr>
          <w:p w14:paraId="6D37FAC0" w14:textId="0C38CBDC" w:rsidR="00F46DFB" w:rsidRPr="003B0B89" w:rsidRDefault="00174FB3">
            <w:pPr>
              <w:jc w:val="right"/>
              <w:rPr>
                <w:rFonts w:eastAsia="Times New Roman" w:cs="Arial"/>
                <w:b/>
                <w:bCs/>
                <w:color w:val="424141"/>
                <w:szCs w:val="22"/>
                <w:lang w:val="en-GB" w:eastAsia="en-GB"/>
              </w:rPr>
            </w:pPr>
            <w:r>
              <w:rPr>
                <w:rFonts w:cs="Arial"/>
                <w:b/>
                <w:bCs/>
                <w:color w:val="424141"/>
                <w:szCs w:val="22"/>
              </w:rPr>
              <w:t>1,</w:t>
            </w:r>
            <w:r w:rsidR="00C26162">
              <w:rPr>
                <w:rFonts w:cs="Arial"/>
                <w:b/>
                <w:bCs/>
                <w:color w:val="424141"/>
                <w:szCs w:val="22"/>
              </w:rPr>
              <w:t>701</w:t>
            </w:r>
          </w:p>
        </w:tc>
        <w:tc>
          <w:tcPr>
            <w:tcW w:w="397" w:type="pct"/>
            <w:tcBorders>
              <w:top w:val="nil"/>
              <w:left w:val="nil"/>
              <w:bottom w:val="double" w:sz="6" w:space="0" w:color="auto"/>
              <w:right w:val="nil"/>
            </w:tcBorders>
            <w:shd w:val="clear" w:color="auto" w:fill="auto"/>
            <w:vAlign w:val="center"/>
            <w:hideMark/>
          </w:tcPr>
          <w:p w14:paraId="179B964F" w14:textId="0CDA60FF" w:rsidR="00F46DFB" w:rsidRPr="003B0B89" w:rsidRDefault="00174FB3">
            <w:pPr>
              <w:jc w:val="right"/>
              <w:rPr>
                <w:rFonts w:eastAsia="Times New Roman" w:cs="Arial"/>
                <w:b/>
                <w:bCs/>
                <w:color w:val="A6A6A6"/>
                <w:szCs w:val="22"/>
                <w:lang w:val="en-GB" w:eastAsia="en-GB"/>
              </w:rPr>
            </w:pPr>
            <w:r>
              <w:rPr>
                <w:rFonts w:cs="Arial"/>
                <w:b/>
                <w:bCs/>
                <w:color w:val="A6A6A6"/>
                <w:szCs w:val="22"/>
              </w:rPr>
              <w:t>4</w:t>
            </w:r>
            <w:r w:rsidR="00F46DFB">
              <w:rPr>
                <w:rFonts w:cs="Arial"/>
                <w:b/>
                <w:bCs/>
                <w:color w:val="A6A6A6"/>
                <w:szCs w:val="22"/>
              </w:rPr>
              <w:t>,188</w:t>
            </w:r>
          </w:p>
        </w:tc>
        <w:tc>
          <w:tcPr>
            <w:tcW w:w="397" w:type="pct"/>
            <w:tcBorders>
              <w:top w:val="nil"/>
              <w:left w:val="nil"/>
              <w:bottom w:val="double" w:sz="6" w:space="0" w:color="auto"/>
              <w:right w:val="nil"/>
            </w:tcBorders>
            <w:shd w:val="clear" w:color="000000" w:fill="D9D9D9"/>
            <w:noWrap/>
            <w:vAlign w:val="center"/>
            <w:hideMark/>
          </w:tcPr>
          <w:p w14:paraId="46E2003C" w14:textId="4284AFD0" w:rsidR="00F46DFB" w:rsidRPr="003B0B89" w:rsidRDefault="0039423C">
            <w:pPr>
              <w:jc w:val="right"/>
              <w:rPr>
                <w:rFonts w:eastAsia="Times New Roman" w:cs="Arial"/>
                <w:b/>
                <w:bCs/>
                <w:color w:val="424141"/>
                <w:szCs w:val="22"/>
                <w:lang w:val="en-GB" w:eastAsia="en-GB"/>
              </w:rPr>
            </w:pPr>
            <w:r>
              <w:rPr>
                <w:rFonts w:cs="Arial"/>
                <w:b/>
                <w:bCs/>
                <w:color w:val="424141"/>
                <w:szCs w:val="22"/>
              </w:rPr>
              <w:t>4,777</w:t>
            </w:r>
          </w:p>
        </w:tc>
        <w:tc>
          <w:tcPr>
            <w:tcW w:w="397" w:type="pct"/>
            <w:tcBorders>
              <w:top w:val="nil"/>
              <w:left w:val="nil"/>
              <w:bottom w:val="double" w:sz="6" w:space="0" w:color="auto"/>
              <w:right w:val="nil"/>
            </w:tcBorders>
            <w:shd w:val="clear" w:color="auto" w:fill="auto"/>
            <w:vAlign w:val="center"/>
            <w:hideMark/>
          </w:tcPr>
          <w:p w14:paraId="672FC5BA" w14:textId="0F3DC4B2" w:rsidR="00F46DFB" w:rsidRPr="003B0B89" w:rsidRDefault="00F46DFB">
            <w:pPr>
              <w:jc w:val="right"/>
              <w:rPr>
                <w:rFonts w:eastAsia="Times New Roman" w:cs="Arial"/>
                <w:b/>
                <w:bCs/>
                <w:color w:val="A6A6A6"/>
                <w:szCs w:val="22"/>
                <w:lang w:val="en-GB" w:eastAsia="en-GB"/>
              </w:rPr>
            </w:pPr>
            <w:r>
              <w:rPr>
                <w:rFonts w:cs="Arial"/>
                <w:b/>
                <w:bCs/>
                <w:color w:val="A6A6A6"/>
                <w:szCs w:val="22"/>
              </w:rPr>
              <w:t>3,57</w:t>
            </w:r>
            <w:r w:rsidR="004D0D6F">
              <w:rPr>
                <w:rFonts w:cs="Arial"/>
                <w:b/>
                <w:bCs/>
                <w:color w:val="A6A6A6"/>
                <w:szCs w:val="22"/>
              </w:rPr>
              <w:t>0</w:t>
            </w:r>
          </w:p>
        </w:tc>
        <w:tc>
          <w:tcPr>
            <w:tcW w:w="397" w:type="pct"/>
            <w:tcBorders>
              <w:top w:val="nil"/>
              <w:left w:val="nil"/>
              <w:bottom w:val="double" w:sz="6" w:space="0" w:color="auto"/>
              <w:right w:val="nil"/>
            </w:tcBorders>
            <w:shd w:val="clear" w:color="000000" w:fill="D9D9D9"/>
            <w:noWrap/>
            <w:vAlign w:val="center"/>
            <w:hideMark/>
          </w:tcPr>
          <w:p w14:paraId="2EC158CC" w14:textId="580FCFAA" w:rsidR="00F46DFB" w:rsidRPr="003B0B89" w:rsidRDefault="00F46DFB">
            <w:pPr>
              <w:jc w:val="right"/>
              <w:rPr>
                <w:rFonts w:eastAsia="Times New Roman" w:cs="Arial"/>
                <w:b/>
                <w:bCs/>
                <w:color w:val="424141"/>
                <w:szCs w:val="22"/>
                <w:lang w:val="en-GB" w:eastAsia="en-GB"/>
              </w:rPr>
            </w:pPr>
            <w:r>
              <w:rPr>
                <w:rFonts w:cs="Arial"/>
                <w:b/>
                <w:bCs/>
                <w:color w:val="424141"/>
                <w:szCs w:val="22"/>
              </w:rPr>
              <w:t>91</w:t>
            </w:r>
            <w:r w:rsidR="000D35C3">
              <w:rPr>
                <w:rFonts w:cs="Arial"/>
                <w:b/>
                <w:bCs/>
                <w:color w:val="424141"/>
                <w:szCs w:val="22"/>
              </w:rPr>
              <w:t>9</w:t>
            </w:r>
          </w:p>
        </w:tc>
        <w:tc>
          <w:tcPr>
            <w:tcW w:w="396" w:type="pct"/>
            <w:tcBorders>
              <w:top w:val="nil"/>
              <w:left w:val="nil"/>
              <w:bottom w:val="double" w:sz="6" w:space="0" w:color="auto"/>
              <w:right w:val="nil"/>
            </w:tcBorders>
            <w:shd w:val="clear" w:color="auto" w:fill="auto"/>
            <w:vAlign w:val="center"/>
            <w:hideMark/>
          </w:tcPr>
          <w:p w14:paraId="4A7856FC" w14:textId="524AF9CA" w:rsidR="00F46DFB" w:rsidRPr="003B0B89" w:rsidRDefault="00F46DFB">
            <w:pPr>
              <w:jc w:val="right"/>
              <w:rPr>
                <w:rFonts w:eastAsia="Times New Roman" w:cs="Arial"/>
                <w:b/>
                <w:bCs/>
                <w:color w:val="A6A6A6"/>
                <w:szCs w:val="22"/>
                <w:lang w:val="en-GB" w:eastAsia="en-GB"/>
              </w:rPr>
            </w:pPr>
            <w:r>
              <w:rPr>
                <w:rFonts w:cs="Arial"/>
                <w:b/>
                <w:bCs/>
                <w:color w:val="A6A6A6"/>
                <w:szCs w:val="22"/>
              </w:rPr>
              <w:t>963</w:t>
            </w:r>
          </w:p>
        </w:tc>
        <w:tc>
          <w:tcPr>
            <w:tcW w:w="398" w:type="pct"/>
            <w:tcBorders>
              <w:top w:val="nil"/>
              <w:left w:val="nil"/>
              <w:bottom w:val="double" w:sz="6" w:space="0" w:color="auto"/>
              <w:right w:val="nil"/>
            </w:tcBorders>
            <w:shd w:val="clear" w:color="000000" w:fill="D9D9D9"/>
            <w:noWrap/>
            <w:vAlign w:val="center"/>
            <w:hideMark/>
          </w:tcPr>
          <w:p w14:paraId="05ADE954" w14:textId="17D88244" w:rsidR="00F46DFB" w:rsidRPr="003B0B89" w:rsidRDefault="00F3619D">
            <w:pPr>
              <w:jc w:val="right"/>
              <w:rPr>
                <w:rFonts w:eastAsia="Times New Roman" w:cs="Arial"/>
                <w:b/>
                <w:bCs/>
                <w:color w:val="424141"/>
                <w:szCs w:val="22"/>
                <w:lang w:val="en-GB" w:eastAsia="en-GB"/>
              </w:rPr>
            </w:pPr>
            <w:r>
              <w:rPr>
                <w:rFonts w:cs="Arial"/>
                <w:b/>
                <w:bCs/>
                <w:color w:val="424141"/>
                <w:szCs w:val="22"/>
              </w:rPr>
              <w:t>7</w:t>
            </w:r>
            <w:r w:rsidR="0039423C">
              <w:rPr>
                <w:rFonts w:cs="Arial"/>
                <w:b/>
                <w:bCs/>
                <w:color w:val="424141"/>
                <w:szCs w:val="22"/>
              </w:rPr>
              <w:t>,397</w:t>
            </w:r>
          </w:p>
        </w:tc>
        <w:tc>
          <w:tcPr>
            <w:tcW w:w="386" w:type="pct"/>
            <w:tcBorders>
              <w:top w:val="nil"/>
              <w:left w:val="nil"/>
              <w:bottom w:val="double" w:sz="6" w:space="0" w:color="auto"/>
              <w:right w:val="nil"/>
            </w:tcBorders>
            <w:shd w:val="clear" w:color="auto" w:fill="auto"/>
            <w:vAlign w:val="center"/>
            <w:hideMark/>
          </w:tcPr>
          <w:p w14:paraId="7BDCDE94" w14:textId="50B0DE95" w:rsidR="00F46DFB" w:rsidRPr="003B0B89" w:rsidRDefault="00E61C61">
            <w:pPr>
              <w:jc w:val="right"/>
              <w:rPr>
                <w:rFonts w:eastAsia="Times New Roman" w:cs="Arial"/>
                <w:b/>
                <w:bCs/>
                <w:color w:val="A6A6A6"/>
                <w:szCs w:val="22"/>
                <w:lang w:val="en-GB" w:eastAsia="en-GB"/>
              </w:rPr>
            </w:pPr>
            <w:r>
              <w:rPr>
                <w:rFonts w:cs="Arial"/>
                <w:b/>
                <w:bCs/>
                <w:color w:val="A6A6A6"/>
                <w:szCs w:val="22"/>
              </w:rPr>
              <w:t>8</w:t>
            </w:r>
            <w:r w:rsidR="00F46DFB">
              <w:rPr>
                <w:rFonts w:cs="Arial"/>
                <w:b/>
                <w:bCs/>
                <w:color w:val="A6A6A6"/>
                <w:szCs w:val="22"/>
              </w:rPr>
              <w:t>,721</w:t>
            </w:r>
          </w:p>
        </w:tc>
      </w:tr>
    </w:tbl>
    <w:p w14:paraId="2737C677" w14:textId="77777777" w:rsidR="00082979" w:rsidRDefault="00082979" w:rsidP="00E53DB1">
      <w:pPr>
        <w:pStyle w:val="Heading1"/>
        <w:sectPr w:rsidR="00082979" w:rsidSect="00237BC5">
          <w:pgSz w:w="16840" w:h="11900" w:orient="landscape"/>
          <w:pgMar w:top="1021" w:right="1701" w:bottom="1021" w:left="851" w:header="851" w:footer="851" w:gutter="0"/>
          <w:cols w:space="720"/>
          <w:titlePg/>
          <w:docGrid w:linePitch="360"/>
        </w:sectPr>
      </w:pPr>
    </w:p>
    <w:p w14:paraId="0EB872B4" w14:textId="5F1E8E62" w:rsidR="00E53DB1" w:rsidRPr="006644A8" w:rsidRDefault="00E53DB1" w:rsidP="00E53DB1">
      <w:pPr>
        <w:pStyle w:val="Heading1"/>
      </w:pPr>
      <w:r>
        <w:lastRenderedPageBreak/>
        <w:t>On the Mend</w:t>
      </w:r>
      <w:r w:rsidRPr="006644A8">
        <w:t xml:space="preserve"> </w:t>
      </w:r>
      <w:r>
        <w:t xml:space="preserve">NHS </w:t>
      </w:r>
      <w:r w:rsidRPr="006644A8">
        <w:t>Charit</w:t>
      </w:r>
      <w:r>
        <w:t>y</w:t>
      </w:r>
      <w:r w:rsidRPr="006644A8">
        <w:t xml:space="preserve"> </w:t>
      </w:r>
      <w:r w:rsidR="00E74588">
        <w:t>b</w:t>
      </w:r>
      <w:r w:rsidRPr="006644A8">
        <w:t xml:space="preserve">alance </w:t>
      </w:r>
      <w:r w:rsidR="00E74588">
        <w:t>s</w:t>
      </w:r>
      <w:r w:rsidRPr="006644A8">
        <w:t xml:space="preserve">heet as at 31 March </w:t>
      </w:r>
      <w:r>
        <w:t>202</w:t>
      </w:r>
      <w:r w:rsidR="003B126B">
        <w:t>4</w:t>
      </w:r>
    </w:p>
    <w:p w14:paraId="551511D8" w14:textId="77777777" w:rsidR="00E53DB1" w:rsidRPr="006644A8" w:rsidRDefault="00E53DB1" w:rsidP="00E53DB1">
      <w:pPr>
        <w:tabs>
          <w:tab w:val="left" w:pos="9072"/>
        </w:tabs>
        <w:ind w:right="249"/>
        <w:rPr>
          <w:rFonts w:asciiTheme="minorHAnsi" w:hAnsiTheme="minorHAnsi" w:cstheme="minorHAnsi"/>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8"/>
      </w:tblGrid>
      <w:tr w:rsidR="00E53DB1" w:rsidRPr="006644A8" w14:paraId="5F90F629" w14:textId="77777777" w:rsidTr="00EC1B15">
        <w:tc>
          <w:tcPr>
            <w:tcW w:w="5000" w:type="pct"/>
            <w:shd w:val="clear" w:color="auto" w:fill="auto"/>
          </w:tcPr>
          <w:p w14:paraId="245A7CFD" w14:textId="77777777" w:rsidR="00E53DB1" w:rsidRPr="006644A8" w:rsidRDefault="00E53DB1" w:rsidP="00EC1B15">
            <w:pPr>
              <w:pStyle w:val="Bodytext"/>
            </w:pPr>
            <w:r w:rsidRPr="006644A8">
              <w:t xml:space="preserve">Paragraph 10.1 of the </w:t>
            </w:r>
            <w:r>
              <w:t>SORP FRS 102</w:t>
            </w:r>
            <w:r w:rsidRPr="006644A8">
              <w:t xml:space="preserve"> states that all charities preparing their accounts on an accruals basis to give a true and fair view must prepare a balance sheet at the end of each reporting period.</w:t>
            </w:r>
            <w:r>
              <w:t xml:space="preserve"> </w:t>
            </w:r>
            <w:r w:rsidRPr="006644A8">
              <w:t xml:space="preserve">The structure, format and headings of the balance sheet are set out in table 5 of the </w:t>
            </w:r>
            <w:r>
              <w:t>SORP FRS 102</w:t>
            </w:r>
            <w:r w:rsidRPr="006644A8">
              <w:t>.</w:t>
            </w:r>
          </w:p>
          <w:p w14:paraId="3E79B081" w14:textId="77777777" w:rsidR="00E53DB1" w:rsidRDefault="00E53DB1" w:rsidP="00EC1B15">
            <w:pPr>
              <w:pStyle w:val="Bodytext"/>
            </w:pPr>
            <w:r w:rsidRPr="006644A8">
              <w:t xml:space="preserve">Paragraph 4.2 of the </w:t>
            </w:r>
            <w:r>
              <w:t>SORP FRS 102</w:t>
            </w:r>
            <w:r w:rsidRPr="006644A8">
              <w:t xml:space="preserve"> states that FR</w:t>
            </w:r>
            <w:r>
              <w:t>S</w:t>
            </w:r>
            <w:r w:rsidRPr="006644A8">
              <w:t xml:space="preserve"> 102 requires that comparative information must be provided for all amounts provided in the balance sheet.</w:t>
            </w:r>
            <w:r>
              <w:t xml:space="preserve"> </w:t>
            </w:r>
            <w:r w:rsidRPr="006644A8">
              <w:t xml:space="preserve">The </w:t>
            </w:r>
            <w:r>
              <w:t>SORP FRS 102</w:t>
            </w:r>
            <w:r w:rsidRPr="006644A8">
              <w:t xml:space="preserve"> requires that comparative information for the total funds of a charity must be provided on the face of the balance sheet and comparative information for each class of funds can be provided either on the face of the balance sheet or in a note to the accounts.</w:t>
            </w:r>
            <w:r>
              <w:t xml:space="preserve"> </w:t>
            </w:r>
            <w:r w:rsidRPr="006644A8">
              <w:t>The options available are therefore:</w:t>
            </w:r>
          </w:p>
          <w:p w14:paraId="5D752059" w14:textId="77777777" w:rsidR="00E53DB1" w:rsidRPr="003E524D" w:rsidRDefault="00E53DB1" w:rsidP="003E524D">
            <w:pPr>
              <w:pStyle w:val="Bullet"/>
            </w:pPr>
            <w:r w:rsidRPr="003E524D">
              <w:t>an 8-column balance sheet</w:t>
            </w:r>
          </w:p>
          <w:p w14:paraId="7166EE37" w14:textId="77777777" w:rsidR="00E53DB1" w:rsidRPr="003E524D" w:rsidRDefault="00E53DB1" w:rsidP="003E524D">
            <w:pPr>
              <w:pStyle w:val="Bullet"/>
            </w:pPr>
            <w:r w:rsidRPr="003E524D">
              <w:t>comparatives for each fund included in the notes to the accounts</w:t>
            </w:r>
          </w:p>
          <w:p w14:paraId="14CDA5CD" w14:textId="77777777" w:rsidR="00E53DB1" w:rsidRPr="006644A8" w:rsidRDefault="00E53DB1" w:rsidP="003E524D">
            <w:pPr>
              <w:pStyle w:val="Bullet"/>
            </w:pPr>
            <w:r w:rsidRPr="003E524D">
              <w:t>the inclusion</w:t>
            </w:r>
            <w:r w:rsidRPr="006644A8">
              <w:t xml:space="preserve"> of two balance sheets in the accounts (one for this year and one for last year).</w:t>
            </w:r>
          </w:p>
          <w:p w14:paraId="305E59A7" w14:textId="2032A064" w:rsidR="00E53DB1" w:rsidRPr="003E524D" w:rsidRDefault="00E53DB1" w:rsidP="00EC1B15">
            <w:pPr>
              <w:pStyle w:val="Bodytext"/>
            </w:pPr>
            <w:r w:rsidRPr="003E524D">
              <w:t xml:space="preserve">OtM </w:t>
            </w:r>
            <w:r w:rsidR="003E524D" w:rsidRPr="003E524D">
              <w:t xml:space="preserve">has </w:t>
            </w:r>
            <w:r w:rsidRPr="003E524D">
              <w:t>opted to prepare an 8-column balance sheet.</w:t>
            </w:r>
          </w:p>
          <w:p w14:paraId="2EA22DA4" w14:textId="77777777" w:rsidR="00E53DB1" w:rsidRPr="006644A8" w:rsidRDefault="00E53DB1" w:rsidP="00EC1B15">
            <w:pPr>
              <w:pStyle w:val="Bodytext"/>
            </w:pPr>
            <w:r w:rsidRPr="000B4D64">
              <w:t>This example set of accounts therefore:</w:t>
            </w:r>
          </w:p>
          <w:p w14:paraId="1EBDBB7B" w14:textId="77777777" w:rsidR="00E53DB1" w:rsidRPr="003E524D" w:rsidRDefault="00E53DB1" w:rsidP="003E524D">
            <w:pPr>
              <w:pStyle w:val="Bullet"/>
            </w:pPr>
            <w:r w:rsidRPr="003E524D">
              <w:t xml:space="preserve">includes comparative amounts </w:t>
            </w:r>
          </w:p>
          <w:p w14:paraId="6FCE1B6C" w14:textId="77777777" w:rsidR="00E53DB1" w:rsidRPr="006644A8" w:rsidRDefault="00E53DB1" w:rsidP="003E524D">
            <w:pPr>
              <w:pStyle w:val="Bullet"/>
            </w:pPr>
            <w:r w:rsidRPr="003E524D">
              <w:t>exclude</w:t>
            </w:r>
            <w:r w:rsidRPr="006644A8">
              <w:t>s any rows where there is nothing to report in the current or prior year</w:t>
            </w:r>
            <w:r>
              <w:t>.</w:t>
            </w:r>
          </w:p>
          <w:p w14:paraId="50FEF1D9" w14:textId="77777777" w:rsidR="00E53DB1" w:rsidRPr="006644A8" w:rsidRDefault="00E53DB1" w:rsidP="00EC1B15">
            <w:pPr>
              <w:pStyle w:val="Bodytext"/>
            </w:pPr>
            <w:r w:rsidRPr="006644A8">
              <w:t xml:space="preserve">Paragraph 10.8 of the </w:t>
            </w:r>
            <w:r>
              <w:t>SORP FRS 102</w:t>
            </w:r>
            <w:r w:rsidRPr="006644A8">
              <w:t xml:space="preserve"> states that the balance sheet must be signed by one or more of the trustees who have been authorised to do so.</w:t>
            </w:r>
            <w:r>
              <w:t xml:space="preserve"> </w:t>
            </w:r>
            <w:r w:rsidRPr="006644A8">
              <w:t>The date on which the accounts including the balance sheet were approved must be specified.</w:t>
            </w:r>
          </w:p>
        </w:tc>
      </w:tr>
    </w:tbl>
    <w:p w14:paraId="5740650D" w14:textId="77777777" w:rsidR="00E53DB1" w:rsidRDefault="00E53DB1" w:rsidP="00E53DB1">
      <w:pPr>
        <w:pStyle w:val="Heading1"/>
      </w:pPr>
      <w:r>
        <w:br w:type="page"/>
      </w:r>
    </w:p>
    <w:p w14:paraId="5C717B9D" w14:textId="24D99723" w:rsidR="00E53DB1" w:rsidRPr="006644A8" w:rsidRDefault="00E53DB1" w:rsidP="00E53DB1">
      <w:pPr>
        <w:pStyle w:val="Heading1"/>
      </w:pPr>
      <w:r>
        <w:lastRenderedPageBreak/>
        <w:t>On the Mend NHS</w:t>
      </w:r>
      <w:r w:rsidRPr="006644A8">
        <w:t xml:space="preserve"> Charit</w:t>
      </w:r>
      <w:r>
        <w:t>y</w:t>
      </w:r>
      <w:r w:rsidRPr="006644A8">
        <w:t xml:space="preserve"> </w:t>
      </w:r>
      <w:r w:rsidR="00E74588">
        <w:t>b</w:t>
      </w:r>
      <w:r w:rsidRPr="006644A8">
        <w:t xml:space="preserve">alance </w:t>
      </w:r>
      <w:r w:rsidR="00E74588">
        <w:t>s</w:t>
      </w:r>
      <w:r w:rsidRPr="006644A8">
        <w:t xml:space="preserve">heet as at 31 March </w:t>
      </w:r>
      <w:r>
        <w:t>202</w:t>
      </w:r>
      <w:r w:rsidR="007E7980">
        <w:t>4</w:t>
      </w:r>
    </w:p>
    <w:tbl>
      <w:tblPr>
        <w:tblW w:w="5000" w:type="pct"/>
        <w:tblLayout w:type="fixed"/>
        <w:tblLook w:val="04A0" w:firstRow="1" w:lastRow="0" w:firstColumn="1" w:lastColumn="0" w:noHBand="0" w:noVBand="1"/>
      </w:tblPr>
      <w:tblGrid>
        <w:gridCol w:w="4396"/>
        <w:gridCol w:w="852"/>
        <w:gridCol w:w="1134"/>
        <w:gridCol w:w="1134"/>
        <w:gridCol w:w="1132"/>
        <w:gridCol w:w="1137"/>
        <w:gridCol w:w="1137"/>
        <w:gridCol w:w="1137"/>
        <w:gridCol w:w="1137"/>
        <w:gridCol w:w="1092"/>
      </w:tblGrid>
      <w:tr w:rsidR="008A41BA" w:rsidRPr="002E302D" w14:paraId="2FCA2384" w14:textId="77777777" w:rsidTr="00052572">
        <w:trPr>
          <w:trHeight w:val="300"/>
        </w:trPr>
        <w:tc>
          <w:tcPr>
            <w:tcW w:w="1538" w:type="pct"/>
            <w:vMerge w:val="restart"/>
            <w:tcBorders>
              <w:top w:val="nil"/>
              <w:left w:val="nil"/>
              <w:bottom w:val="nil"/>
              <w:right w:val="nil"/>
            </w:tcBorders>
            <w:shd w:val="clear" w:color="auto" w:fill="auto"/>
            <w:noWrap/>
            <w:vAlign w:val="center"/>
            <w:hideMark/>
          </w:tcPr>
          <w:p w14:paraId="456762CF" w14:textId="77777777" w:rsidR="002E302D" w:rsidRPr="002E302D" w:rsidRDefault="002E302D" w:rsidP="002E302D">
            <w:pPr>
              <w:rPr>
                <w:rFonts w:ascii="Times New Roman" w:eastAsia="Times New Roman" w:hAnsi="Times New Roman"/>
                <w:sz w:val="20"/>
                <w:szCs w:val="20"/>
                <w:lang w:val="en-GB" w:eastAsia="en-GB"/>
              </w:rPr>
            </w:pPr>
          </w:p>
        </w:tc>
        <w:tc>
          <w:tcPr>
            <w:tcW w:w="298" w:type="pct"/>
            <w:vMerge w:val="restart"/>
            <w:tcBorders>
              <w:top w:val="nil"/>
              <w:left w:val="nil"/>
              <w:bottom w:val="nil"/>
              <w:right w:val="nil"/>
            </w:tcBorders>
            <w:shd w:val="clear" w:color="auto" w:fill="auto"/>
            <w:noWrap/>
            <w:vAlign w:val="center"/>
            <w:hideMark/>
          </w:tcPr>
          <w:p w14:paraId="2A468674" w14:textId="77777777" w:rsidR="002E302D" w:rsidRPr="002E302D" w:rsidRDefault="002E302D" w:rsidP="002E302D">
            <w:pPr>
              <w:rPr>
                <w:rFonts w:eastAsia="Times New Roman" w:cs="Arial"/>
                <w:b/>
                <w:bCs/>
                <w:color w:val="424141"/>
                <w:szCs w:val="22"/>
                <w:lang w:val="en-GB" w:eastAsia="en-GB"/>
              </w:rPr>
            </w:pPr>
            <w:r w:rsidRPr="002E302D">
              <w:rPr>
                <w:rFonts w:eastAsia="Times New Roman" w:cs="Arial"/>
                <w:b/>
                <w:bCs/>
                <w:color w:val="424141"/>
                <w:szCs w:val="22"/>
                <w:lang w:val="en-GB" w:eastAsia="en-GB"/>
              </w:rPr>
              <w:t>Note</w:t>
            </w:r>
          </w:p>
        </w:tc>
        <w:tc>
          <w:tcPr>
            <w:tcW w:w="794" w:type="pct"/>
            <w:gridSpan w:val="2"/>
            <w:tcBorders>
              <w:top w:val="nil"/>
              <w:left w:val="nil"/>
              <w:bottom w:val="nil"/>
              <w:right w:val="nil"/>
            </w:tcBorders>
            <w:shd w:val="clear" w:color="auto" w:fill="auto"/>
            <w:noWrap/>
            <w:vAlign w:val="center"/>
            <w:hideMark/>
          </w:tcPr>
          <w:p w14:paraId="6EA0CF27" w14:textId="77777777" w:rsidR="002E302D" w:rsidRPr="002E302D" w:rsidRDefault="002E302D" w:rsidP="002E302D">
            <w:pPr>
              <w:jc w:val="center"/>
              <w:rPr>
                <w:rFonts w:eastAsia="Times New Roman" w:cs="Arial"/>
                <w:b/>
                <w:bCs/>
                <w:color w:val="424141"/>
                <w:szCs w:val="22"/>
                <w:lang w:val="en-GB" w:eastAsia="en-GB"/>
              </w:rPr>
            </w:pPr>
            <w:r w:rsidRPr="002E302D">
              <w:rPr>
                <w:rFonts w:eastAsia="Times New Roman" w:cs="Arial"/>
                <w:b/>
                <w:bCs/>
                <w:color w:val="424141"/>
                <w:szCs w:val="22"/>
                <w:lang w:val="en-GB" w:eastAsia="en-GB"/>
              </w:rPr>
              <w:t>Unrestricted Funds</w:t>
            </w:r>
          </w:p>
        </w:tc>
        <w:tc>
          <w:tcPr>
            <w:tcW w:w="794" w:type="pct"/>
            <w:gridSpan w:val="2"/>
            <w:tcBorders>
              <w:top w:val="nil"/>
              <w:left w:val="nil"/>
              <w:bottom w:val="nil"/>
              <w:right w:val="nil"/>
            </w:tcBorders>
            <w:shd w:val="clear" w:color="auto" w:fill="auto"/>
            <w:noWrap/>
            <w:vAlign w:val="center"/>
            <w:hideMark/>
          </w:tcPr>
          <w:p w14:paraId="2A380228" w14:textId="77777777" w:rsidR="002E302D" w:rsidRPr="002E302D" w:rsidRDefault="002E302D" w:rsidP="002E302D">
            <w:pPr>
              <w:jc w:val="center"/>
              <w:rPr>
                <w:rFonts w:eastAsia="Times New Roman" w:cs="Arial"/>
                <w:b/>
                <w:bCs/>
                <w:color w:val="424141"/>
                <w:szCs w:val="22"/>
                <w:lang w:val="en-GB" w:eastAsia="en-GB"/>
              </w:rPr>
            </w:pPr>
            <w:r w:rsidRPr="002E302D">
              <w:rPr>
                <w:rFonts w:eastAsia="Times New Roman" w:cs="Arial"/>
                <w:b/>
                <w:bCs/>
                <w:color w:val="424141"/>
                <w:szCs w:val="22"/>
                <w:lang w:val="en-GB" w:eastAsia="en-GB"/>
              </w:rPr>
              <w:t>Restricted Funds</w:t>
            </w:r>
          </w:p>
        </w:tc>
        <w:tc>
          <w:tcPr>
            <w:tcW w:w="796" w:type="pct"/>
            <w:gridSpan w:val="2"/>
            <w:tcBorders>
              <w:top w:val="nil"/>
              <w:left w:val="nil"/>
              <w:bottom w:val="nil"/>
              <w:right w:val="nil"/>
            </w:tcBorders>
            <w:shd w:val="clear" w:color="auto" w:fill="auto"/>
            <w:noWrap/>
            <w:vAlign w:val="center"/>
            <w:hideMark/>
          </w:tcPr>
          <w:p w14:paraId="41B77D17" w14:textId="77777777" w:rsidR="002E302D" w:rsidRPr="002E302D" w:rsidRDefault="002E302D" w:rsidP="002E302D">
            <w:pPr>
              <w:jc w:val="center"/>
              <w:rPr>
                <w:rFonts w:eastAsia="Times New Roman" w:cs="Arial"/>
                <w:b/>
                <w:bCs/>
                <w:color w:val="424141"/>
                <w:szCs w:val="22"/>
                <w:lang w:val="en-GB" w:eastAsia="en-GB"/>
              </w:rPr>
            </w:pPr>
            <w:r w:rsidRPr="002E302D">
              <w:rPr>
                <w:rFonts w:eastAsia="Times New Roman" w:cs="Arial"/>
                <w:b/>
                <w:bCs/>
                <w:color w:val="424141"/>
                <w:szCs w:val="22"/>
                <w:lang w:val="en-GB" w:eastAsia="en-GB"/>
              </w:rPr>
              <w:t>Endowment Funds</w:t>
            </w:r>
          </w:p>
        </w:tc>
        <w:tc>
          <w:tcPr>
            <w:tcW w:w="780" w:type="pct"/>
            <w:gridSpan w:val="2"/>
            <w:tcBorders>
              <w:top w:val="nil"/>
              <w:left w:val="nil"/>
              <w:bottom w:val="nil"/>
              <w:right w:val="nil"/>
            </w:tcBorders>
            <w:shd w:val="clear" w:color="auto" w:fill="auto"/>
            <w:noWrap/>
            <w:vAlign w:val="center"/>
            <w:hideMark/>
          </w:tcPr>
          <w:p w14:paraId="3746BCEA" w14:textId="77777777" w:rsidR="002E302D" w:rsidRPr="002E302D" w:rsidRDefault="002E302D" w:rsidP="002E302D">
            <w:pPr>
              <w:jc w:val="center"/>
              <w:rPr>
                <w:rFonts w:eastAsia="Times New Roman" w:cs="Arial"/>
                <w:b/>
                <w:bCs/>
                <w:color w:val="424141"/>
                <w:szCs w:val="22"/>
                <w:lang w:val="en-GB" w:eastAsia="en-GB"/>
              </w:rPr>
            </w:pPr>
            <w:r w:rsidRPr="002E302D">
              <w:rPr>
                <w:rFonts w:eastAsia="Times New Roman" w:cs="Arial"/>
                <w:b/>
                <w:bCs/>
                <w:color w:val="424141"/>
                <w:szCs w:val="22"/>
                <w:lang w:val="en-GB" w:eastAsia="en-GB"/>
              </w:rPr>
              <w:t>Total Funds</w:t>
            </w:r>
          </w:p>
        </w:tc>
      </w:tr>
      <w:tr w:rsidR="008A41BA" w:rsidRPr="002E302D" w14:paraId="2F52D7EF" w14:textId="77777777" w:rsidTr="00052572">
        <w:trPr>
          <w:trHeight w:val="285"/>
        </w:trPr>
        <w:tc>
          <w:tcPr>
            <w:tcW w:w="1538" w:type="pct"/>
            <w:vMerge/>
            <w:tcBorders>
              <w:top w:val="nil"/>
              <w:left w:val="nil"/>
              <w:bottom w:val="nil"/>
              <w:right w:val="nil"/>
            </w:tcBorders>
            <w:vAlign w:val="center"/>
            <w:hideMark/>
          </w:tcPr>
          <w:p w14:paraId="78C155DE" w14:textId="77777777" w:rsidR="00827546" w:rsidRPr="002E302D" w:rsidRDefault="00827546" w:rsidP="00827546">
            <w:pPr>
              <w:rPr>
                <w:rFonts w:ascii="Times New Roman" w:eastAsia="Times New Roman" w:hAnsi="Times New Roman"/>
                <w:sz w:val="20"/>
                <w:szCs w:val="20"/>
                <w:lang w:val="en-GB" w:eastAsia="en-GB"/>
              </w:rPr>
            </w:pPr>
          </w:p>
        </w:tc>
        <w:tc>
          <w:tcPr>
            <w:tcW w:w="298" w:type="pct"/>
            <w:vMerge/>
            <w:tcBorders>
              <w:top w:val="nil"/>
              <w:left w:val="nil"/>
              <w:bottom w:val="nil"/>
              <w:right w:val="nil"/>
            </w:tcBorders>
            <w:vAlign w:val="center"/>
            <w:hideMark/>
          </w:tcPr>
          <w:p w14:paraId="2C081A77" w14:textId="77777777" w:rsidR="00827546" w:rsidRPr="002E302D" w:rsidRDefault="00827546" w:rsidP="00827546">
            <w:pPr>
              <w:rPr>
                <w:rFonts w:eastAsia="Times New Roman" w:cs="Arial"/>
                <w:b/>
                <w:bCs/>
                <w:color w:val="424141"/>
                <w:szCs w:val="22"/>
                <w:lang w:val="en-GB" w:eastAsia="en-GB"/>
              </w:rPr>
            </w:pPr>
          </w:p>
        </w:tc>
        <w:tc>
          <w:tcPr>
            <w:tcW w:w="397" w:type="pct"/>
            <w:tcBorders>
              <w:top w:val="nil"/>
              <w:left w:val="nil"/>
              <w:bottom w:val="nil"/>
              <w:right w:val="nil"/>
            </w:tcBorders>
            <w:shd w:val="clear" w:color="000000" w:fill="D9D9D9"/>
            <w:noWrap/>
            <w:vAlign w:val="center"/>
            <w:hideMark/>
          </w:tcPr>
          <w:p w14:paraId="4DEC0199" w14:textId="551E25F6" w:rsidR="00827546" w:rsidRPr="002E302D" w:rsidRDefault="00827546" w:rsidP="00827546">
            <w:pPr>
              <w:jc w:val="right"/>
              <w:rPr>
                <w:rFonts w:eastAsia="Times New Roman" w:cs="Arial"/>
                <w:b/>
                <w:bCs/>
                <w:color w:val="424141"/>
                <w:szCs w:val="22"/>
                <w:lang w:val="en-GB" w:eastAsia="en-GB"/>
              </w:rPr>
            </w:pPr>
            <w:r w:rsidRPr="003B0B89">
              <w:rPr>
                <w:rFonts w:eastAsia="Times New Roman" w:cs="Arial"/>
                <w:b/>
                <w:bCs/>
                <w:color w:val="424141"/>
                <w:szCs w:val="22"/>
                <w:lang w:val="en-GB" w:eastAsia="en-GB"/>
              </w:rPr>
              <w:t>202</w:t>
            </w:r>
            <w:r w:rsidR="007E7980">
              <w:rPr>
                <w:rFonts w:eastAsia="Times New Roman" w:cs="Arial"/>
                <w:b/>
                <w:bCs/>
                <w:color w:val="424141"/>
                <w:szCs w:val="22"/>
                <w:lang w:val="en-GB" w:eastAsia="en-GB"/>
              </w:rPr>
              <w:t>3</w:t>
            </w:r>
            <w:r w:rsidRPr="003B0B89">
              <w:rPr>
                <w:rFonts w:eastAsia="Times New Roman" w:cs="Arial"/>
                <w:b/>
                <w:bCs/>
                <w:color w:val="424141"/>
                <w:szCs w:val="22"/>
                <w:lang w:val="en-GB" w:eastAsia="en-GB"/>
              </w:rPr>
              <w:t>/2</w:t>
            </w:r>
            <w:r w:rsidR="007E7980">
              <w:rPr>
                <w:rFonts w:eastAsia="Times New Roman" w:cs="Arial"/>
                <w:b/>
                <w:bCs/>
                <w:color w:val="424141"/>
                <w:szCs w:val="22"/>
                <w:lang w:val="en-GB" w:eastAsia="en-GB"/>
              </w:rPr>
              <w:t>4</w:t>
            </w:r>
          </w:p>
        </w:tc>
        <w:tc>
          <w:tcPr>
            <w:tcW w:w="397" w:type="pct"/>
            <w:tcBorders>
              <w:top w:val="nil"/>
              <w:left w:val="nil"/>
              <w:bottom w:val="nil"/>
              <w:right w:val="nil"/>
            </w:tcBorders>
            <w:shd w:val="clear" w:color="auto" w:fill="auto"/>
            <w:vAlign w:val="center"/>
            <w:hideMark/>
          </w:tcPr>
          <w:p w14:paraId="72063786" w14:textId="670586C5" w:rsidR="00827546" w:rsidRPr="002E302D" w:rsidRDefault="00827546" w:rsidP="00827546">
            <w:pPr>
              <w:jc w:val="right"/>
              <w:rPr>
                <w:rFonts w:eastAsia="Times New Roman" w:cs="Arial"/>
                <w:b/>
                <w:bCs/>
                <w:color w:val="A6A6A6"/>
                <w:szCs w:val="22"/>
                <w:lang w:val="en-GB" w:eastAsia="en-GB"/>
              </w:rPr>
            </w:pPr>
            <w:r w:rsidRPr="003B0B89">
              <w:rPr>
                <w:rFonts w:eastAsia="Times New Roman" w:cs="Arial"/>
                <w:b/>
                <w:bCs/>
                <w:color w:val="A6A6A6"/>
                <w:szCs w:val="22"/>
                <w:lang w:val="en-GB" w:eastAsia="en-GB"/>
              </w:rPr>
              <w:t>202</w:t>
            </w:r>
            <w:r w:rsidR="007E7980">
              <w:rPr>
                <w:rFonts w:eastAsia="Times New Roman" w:cs="Arial"/>
                <w:b/>
                <w:bCs/>
                <w:color w:val="A6A6A6"/>
                <w:szCs w:val="22"/>
                <w:lang w:val="en-GB" w:eastAsia="en-GB"/>
              </w:rPr>
              <w:t>2</w:t>
            </w:r>
            <w:r w:rsidRPr="003B0B89">
              <w:rPr>
                <w:rFonts w:eastAsia="Times New Roman" w:cs="Arial"/>
                <w:b/>
                <w:bCs/>
                <w:color w:val="A6A6A6"/>
                <w:szCs w:val="22"/>
                <w:lang w:val="en-GB" w:eastAsia="en-GB"/>
              </w:rPr>
              <w:t>/2</w:t>
            </w:r>
            <w:r w:rsidR="007E7980">
              <w:rPr>
                <w:rFonts w:eastAsia="Times New Roman" w:cs="Arial"/>
                <w:b/>
                <w:bCs/>
                <w:color w:val="A6A6A6"/>
                <w:szCs w:val="22"/>
                <w:lang w:val="en-GB" w:eastAsia="en-GB"/>
              </w:rPr>
              <w:t>3</w:t>
            </w:r>
          </w:p>
        </w:tc>
        <w:tc>
          <w:tcPr>
            <w:tcW w:w="396" w:type="pct"/>
            <w:tcBorders>
              <w:top w:val="nil"/>
              <w:left w:val="nil"/>
              <w:bottom w:val="nil"/>
              <w:right w:val="nil"/>
            </w:tcBorders>
            <w:shd w:val="clear" w:color="000000" w:fill="D9D9D9"/>
            <w:noWrap/>
            <w:vAlign w:val="center"/>
            <w:hideMark/>
          </w:tcPr>
          <w:p w14:paraId="738D13ED" w14:textId="001B2C1C" w:rsidR="00827546" w:rsidRPr="002E302D" w:rsidRDefault="00827546" w:rsidP="00827546">
            <w:pPr>
              <w:jc w:val="right"/>
              <w:rPr>
                <w:rFonts w:eastAsia="Times New Roman" w:cs="Arial"/>
                <w:b/>
                <w:bCs/>
                <w:color w:val="424141"/>
                <w:szCs w:val="22"/>
                <w:lang w:val="en-GB" w:eastAsia="en-GB"/>
              </w:rPr>
            </w:pPr>
            <w:r w:rsidRPr="003B0B89">
              <w:rPr>
                <w:rFonts w:eastAsia="Times New Roman" w:cs="Arial"/>
                <w:b/>
                <w:bCs/>
                <w:color w:val="424141"/>
                <w:szCs w:val="22"/>
                <w:lang w:val="en-GB" w:eastAsia="en-GB"/>
              </w:rPr>
              <w:t>202</w:t>
            </w:r>
            <w:r w:rsidR="007E7980">
              <w:rPr>
                <w:rFonts w:eastAsia="Times New Roman" w:cs="Arial"/>
                <w:b/>
                <w:bCs/>
                <w:color w:val="424141"/>
                <w:szCs w:val="22"/>
                <w:lang w:val="en-GB" w:eastAsia="en-GB"/>
              </w:rPr>
              <w:t>3</w:t>
            </w:r>
            <w:r w:rsidRPr="003B0B89">
              <w:rPr>
                <w:rFonts w:eastAsia="Times New Roman" w:cs="Arial"/>
                <w:b/>
                <w:bCs/>
                <w:color w:val="424141"/>
                <w:szCs w:val="22"/>
                <w:lang w:val="en-GB" w:eastAsia="en-GB"/>
              </w:rPr>
              <w:t>/2</w:t>
            </w:r>
            <w:r w:rsidR="007E7980">
              <w:rPr>
                <w:rFonts w:eastAsia="Times New Roman" w:cs="Arial"/>
                <w:b/>
                <w:bCs/>
                <w:color w:val="424141"/>
                <w:szCs w:val="22"/>
                <w:lang w:val="en-GB" w:eastAsia="en-GB"/>
              </w:rPr>
              <w:t>4</w:t>
            </w:r>
          </w:p>
        </w:tc>
        <w:tc>
          <w:tcPr>
            <w:tcW w:w="398" w:type="pct"/>
            <w:tcBorders>
              <w:top w:val="nil"/>
              <w:left w:val="nil"/>
              <w:bottom w:val="nil"/>
              <w:right w:val="nil"/>
            </w:tcBorders>
            <w:shd w:val="clear" w:color="auto" w:fill="auto"/>
            <w:vAlign w:val="center"/>
            <w:hideMark/>
          </w:tcPr>
          <w:p w14:paraId="06425BDE" w14:textId="3AC6ABCF" w:rsidR="00827546" w:rsidRPr="002E302D" w:rsidRDefault="00827546" w:rsidP="00827546">
            <w:pPr>
              <w:jc w:val="right"/>
              <w:rPr>
                <w:rFonts w:eastAsia="Times New Roman" w:cs="Arial"/>
                <w:b/>
                <w:bCs/>
                <w:color w:val="A6A6A6"/>
                <w:szCs w:val="22"/>
                <w:lang w:val="en-GB" w:eastAsia="en-GB"/>
              </w:rPr>
            </w:pPr>
            <w:r w:rsidRPr="003B0B89">
              <w:rPr>
                <w:rFonts w:eastAsia="Times New Roman" w:cs="Arial"/>
                <w:b/>
                <w:bCs/>
                <w:color w:val="A6A6A6"/>
                <w:szCs w:val="22"/>
                <w:lang w:val="en-GB" w:eastAsia="en-GB"/>
              </w:rPr>
              <w:t>202</w:t>
            </w:r>
            <w:r w:rsidR="007E7980">
              <w:rPr>
                <w:rFonts w:eastAsia="Times New Roman" w:cs="Arial"/>
                <w:b/>
                <w:bCs/>
                <w:color w:val="A6A6A6"/>
                <w:szCs w:val="22"/>
                <w:lang w:val="en-GB" w:eastAsia="en-GB"/>
              </w:rPr>
              <w:t>2</w:t>
            </w:r>
            <w:r w:rsidRPr="003B0B89">
              <w:rPr>
                <w:rFonts w:eastAsia="Times New Roman" w:cs="Arial"/>
                <w:b/>
                <w:bCs/>
                <w:color w:val="A6A6A6"/>
                <w:szCs w:val="22"/>
                <w:lang w:val="en-GB" w:eastAsia="en-GB"/>
              </w:rPr>
              <w:t>/2</w:t>
            </w:r>
            <w:r w:rsidR="007E7980">
              <w:rPr>
                <w:rFonts w:eastAsia="Times New Roman" w:cs="Arial"/>
                <w:b/>
                <w:bCs/>
                <w:color w:val="A6A6A6"/>
                <w:szCs w:val="22"/>
                <w:lang w:val="en-GB" w:eastAsia="en-GB"/>
              </w:rPr>
              <w:t>3</w:t>
            </w:r>
          </w:p>
        </w:tc>
        <w:tc>
          <w:tcPr>
            <w:tcW w:w="398" w:type="pct"/>
            <w:tcBorders>
              <w:top w:val="nil"/>
              <w:left w:val="nil"/>
              <w:bottom w:val="nil"/>
              <w:right w:val="nil"/>
            </w:tcBorders>
            <w:shd w:val="clear" w:color="000000" w:fill="D9D9D9"/>
            <w:noWrap/>
            <w:vAlign w:val="center"/>
            <w:hideMark/>
          </w:tcPr>
          <w:p w14:paraId="3ACB155C" w14:textId="0E89975D" w:rsidR="00827546" w:rsidRPr="002E302D" w:rsidRDefault="00827546" w:rsidP="00827546">
            <w:pPr>
              <w:jc w:val="right"/>
              <w:rPr>
                <w:rFonts w:eastAsia="Times New Roman" w:cs="Arial"/>
                <w:b/>
                <w:bCs/>
                <w:color w:val="424141"/>
                <w:szCs w:val="22"/>
                <w:lang w:val="en-GB" w:eastAsia="en-GB"/>
              </w:rPr>
            </w:pPr>
            <w:r w:rsidRPr="003B0B89">
              <w:rPr>
                <w:rFonts w:eastAsia="Times New Roman" w:cs="Arial"/>
                <w:b/>
                <w:bCs/>
                <w:color w:val="424141"/>
                <w:szCs w:val="22"/>
                <w:lang w:val="en-GB" w:eastAsia="en-GB"/>
              </w:rPr>
              <w:t>202</w:t>
            </w:r>
            <w:r w:rsidR="007E7980">
              <w:rPr>
                <w:rFonts w:eastAsia="Times New Roman" w:cs="Arial"/>
                <w:b/>
                <w:bCs/>
                <w:color w:val="424141"/>
                <w:szCs w:val="22"/>
                <w:lang w:val="en-GB" w:eastAsia="en-GB"/>
              </w:rPr>
              <w:t>3</w:t>
            </w:r>
            <w:r w:rsidRPr="003B0B89">
              <w:rPr>
                <w:rFonts w:eastAsia="Times New Roman" w:cs="Arial"/>
                <w:b/>
                <w:bCs/>
                <w:color w:val="424141"/>
                <w:szCs w:val="22"/>
                <w:lang w:val="en-GB" w:eastAsia="en-GB"/>
              </w:rPr>
              <w:t>/2</w:t>
            </w:r>
            <w:r w:rsidR="007E7980">
              <w:rPr>
                <w:rFonts w:eastAsia="Times New Roman" w:cs="Arial"/>
                <w:b/>
                <w:bCs/>
                <w:color w:val="424141"/>
                <w:szCs w:val="22"/>
                <w:lang w:val="en-GB" w:eastAsia="en-GB"/>
              </w:rPr>
              <w:t>4</w:t>
            </w:r>
          </w:p>
        </w:tc>
        <w:tc>
          <w:tcPr>
            <w:tcW w:w="398" w:type="pct"/>
            <w:tcBorders>
              <w:top w:val="nil"/>
              <w:left w:val="nil"/>
              <w:bottom w:val="nil"/>
              <w:right w:val="nil"/>
            </w:tcBorders>
            <w:shd w:val="clear" w:color="auto" w:fill="auto"/>
            <w:vAlign w:val="center"/>
            <w:hideMark/>
          </w:tcPr>
          <w:p w14:paraId="1BFF4FBA" w14:textId="5BA72008" w:rsidR="00827546" w:rsidRPr="002E302D" w:rsidRDefault="00827546" w:rsidP="00827546">
            <w:pPr>
              <w:jc w:val="right"/>
              <w:rPr>
                <w:rFonts w:eastAsia="Times New Roman" w:cs="Arial"/>
                <w:b/>
                <w:bCs/>
                <w:color w:val="A6A6A6"/>
                <w:szCs w:val="22"/>
                <w:lang w:val="en-GB" w:eastAsia="en-GB"/>
              </w:rPr>
            </w:pPr>
            <w:r w:rsidRPr="003B0B89">
              <w:rPr>
                <w:rFonts w:eastAsia="Times New Roman" w:cs="Arial"/>
                <w:b/>
                <w:bCs/>
                <w:color w:val="A6A6A6"/>
                <w:szCs w:val="22"/>
                <w:lang w:val="en-GB" w:eastAsia="en-GB"/>
              </w:rPr>
              <w:t>202</w:t>
            </w:r>
            <w:r w:rsidR="007E7980">
              <w:rPr>
                <w:rFonts w:eastAsia="Times New Roman" w:cs="Arial"/>
                <w:b/>
                <w:bCs/>
                <w:color w:val="A6A6A6"/>
                <w:szCs w:val="22"/>
                <w:lang w:val="en-GB" w:eastAsia="en-GB"/>
              </w:rPr>
              <w:t>2</w:t>
            </w:r>
            <w:r w:rsidRPr="003B0B89">
              <w:rPr>
                <w:rFonts w:eastAsia="Times New Roman" w:cs="Arial"/>
                <w:b/>
                <w:bCs/>
                <w:color w:val="A6A6A6"/>
                <w:szCs w:val="22"/>
                <w:lang w:val="en-GB" w:eastAsia="en-GB"/>
              </w:rPr>
              <w:t>/2</w:t>
            </w:r>
            <w:r w:rsidR="007E7980">
              <w:rPr>
                <w:rFonts w:eastAsia="Times New Roman" w:cs="Arial"/>
                <w:b/>
                <w:bCs/>
                <w:color w:val="A6A6A6"/>
                <w:szCs w:val="22"/>
                <w:lang w:val="en-GB" w:eastAsia="en-GB"/>
              </w:rPr>
              <w:t>3</w:t>
            </w:r>
          </w:p>
        </w:tc>
        <w:tc>
          <w:tcPr>
            <w:tcW w:w="398" w:type="pct"/>
            <w:tcBorders>
              <w:top w:val="nil"/>
              <w:left w:val="nil"/>
              <w:bottom w:val="nil"/>
              <w:right w:val="nil"/>
            </w:tcBorders>
            <w:shd w:val="clear" w:color="000000" w:fill="D9D9D9"/>
            <w:noWrap/>
            <w:vAlign w:val="center"/>
            <w:hideMark/>
          </w:tcPr>
          <w:p w14:paraId="2CA25C3A" w14:textId="3F7CD309" w:rsidR="00827546" w:rsidRPr="002E302D" w:rsidRDefault="00827546" w:rsidP="00827546">
            <w:pPr>
              <w:jc w:val="right"/>
              <w:rPr>
                <w:rFonts w:eastAsia="Times New Roman" w:cs="Arial"/>
                <w:b/>
                <w:bCs/>
                <w:color w:val="424141"/>
                <w:szCs w:val="22"/>
                <w:lang w:val="en-GB" w:eastAsia="en-GB"/>
              </w:rPr>
            </w:pPr>
            <w:r w:rsidRPr="003B0B89">
              <w:rPr>
                <w:rFonts w:eastAsia="Times New Roman" w:cs="Arial"/>
                <w:b/>
                <w:bCs/>
                <w:color w:val="424141"/>
                <w:szCs w:val="22"/>
                <w:lang w:val="en-GB" w:eastAsia="en-GB"/>
              </w:rPr>
              <w:t>202</w:t>
            </w:r>
            <w:r w:rsidR="003B126B">
              <w:rPr>
                <w:rFonts w:eastAsia="Times New Roman" w:cs="Arial"/>
                <w:b/>
                <w:bCs/>
                <w:color w:val="424141"/>
                <w:szCs w:val="22"/>
                <w:lang w:val="en-GB" w:eastAsia="en-GB"/>
              </w:rPr>
              <w:t>3</w:t>
            </w:r>
            <w:r w:rsidRPr="003B0B89">
              <w:rPr>
                <w:rFonts w:eastAsia="Times New Roman" w:cs="Arial"/>
                <w:b/>
                <w:bCs/>
                <w:color w:val="424141"/>
                <w:szCs w:val="22"/>
                <w:lang w:val="en-GB" w:eastAsia="en-GB"/>
              </w:rPr>
              <w:t>/2</w:t>
            </w:r>
            <w:r w:rsidR="003B126B">
              <w:rPr>
                <w:rFonts w:eastAsia="Times New Roman" w:cs="Arial"/>
                <w:b/>
                <w:bCs/>
                <w:color w:val="424141"/>
                <w:szCs w:val="22"/>
                <w:lang w:val="en-GB" w:eastAsia="en-GB"/>
              </w:rPr>
              <w:t>4</w:t>
            </w:r>
          </w:p>
        </w:tc>
        <w:tc>
          <w:tcPr>
            <w:tcW w:w="382" w:type="pct"/>
            <w:tcBorders>
              <w:top w:val="nil"/>
              <w:left w:val="nil"/>
              <w:bottom w:val="nil"/>
              <w:right w:val="nil"/>
            </w:tcBorders>
            <w:shd w:val="clear" w:color="auto" w:fill="auto"/>
            <w:vAlign w:val="center"/>
            <w:hideMark/>
          </w:tcPr>
          <w:p w14:paraId="6BB8E5C0" w14:textId="5AB6F06C" w:rsidR="00827546" w:rsidRPr="002E302D" w:rsidRDefault="00827546" w:rsidP="00827546">
            <w:pPr>
              <w:jc w:val="right"/>
              <w:rPr>
                <w:rFonts w:eastAsia="Times New Roman" w:cs="Arial"/>
                <w:b/>
                <w:bCs/>
                <w:color w:val="A6A6A6"/>
                <w:szCs w:val="22"/>
                <w:lang w:val="en-GB" w:eastAsia="en-GB"/>
              </w:rPr>
            </w:pPr>
            <w:r w:rsidRPr="003B0B89">
              <w:rPr>
                <w:rFonts w:eastAsia="Times New Roman" w:cs="Arial"/>
                <w:b/>
                <w:bCs/>
                <w:color w:val="A6A6A6"/>
                <w:szCs w:val="22"/>
                <w:lang w:val="en-GB" w:eastAsia="en-GB"/>
              </w:rPr>
              <w:t>202</w:t>
            </w:r>
            <w:r w:rsidR="003B126B">
              <w:rPr>
                <w:rFonts w:eastAsia="Times New Roman" w:cs="Arial"/>
                <w:b/>
                <w:bCs/>
                <w:color w:val="A6A6A6"/>
                <w:szCs w:val="22"/>
                <w:lang w:val="en-GB" w:eastAsia="en-GB"/>
              </w:rPr>
              <w:t>2</w:t>
            </w:r>
            <w:r w:rsidRPr="003B0B89">
              <w:rPr>
                <w:rFonts w:eastAsia="Times New Roman" w:cs="Arial"/>
                <w:b/>
                <w:bCs/>
                <w:color w:val="A6A6A6"/>
                <w:szCs w:val="22"/>
                <w:lang w:val="en-GB" w:eastAsia="en-GB"/>
              </w:rPr>
              <w:t>/2</w:t>
            </w:r>
            <w:r w:rsidR="003B126B">
              <w:rPr>
                <w:rFonts w:eastAsia="Times New Roman" w:cs="Arial"/>
                <w:b/>
                <w:bCs/>
                <w:color w:val="A6A6A6"/>
                <w:szCs w:val="22"/>
                <w:lang w:val="en-GB" w:eastAsia="en-GB"/>
              </w:rPr>
              <w:t>3</w:t>
            </w:r>
          </w:p>
        </w:tc>
      </w:tr>
      <w:tr w:rsidR="008A41BA" w:rsidRPr="002E302D" w14:paraId="6F3DCF16" w14:textId="77777777" w:rsidTr="00052572">
        <w:trPr>
          <w:trHeight w:val="285"/>
        </w:trPr>
        <w:tc>
          <w:tcPr>
            <w:tcW w:w="1538" w:type="pct"/>
            <w:tcBorders>
              <w:top w:val="nil"/>
              <w:left w:val="nil"/>
              <w:bottom w:val="nil"/>
              <w:right w:val="nil"/>
            </w:tcBorders>
            <w:shd w:val="clear" w:color="auto" w:fill="auto"/>
            <w:noWrap/>
            <w:vAlign w:val="center"/>
            <w:hideMark/>
          </w:tcPr>
          <w:p w14:paraId="1832B5EE" w14:textId="77777777" w:rsidR="00827546" w:rsidRPr="002E302D" w:rsidRDefault="00827546" w:rsidP="00827546">
            <w:pPr>
              <w:jc w:val="right"/>
              <w:rPr>
                <w:rFonts w:eastAsia="Times New Roman" w:cs="Arial"/>
                <w:b/>
                <w:bCs/>
                <w:color w:val="A6A6A6"/>
                <w:szCs w:val="22"/>
                <w:lang w:val="en-GB" w:eastAsia="en-GB"/>
              </w:rPr>
            </w:pPr>
          </w:p>
        </w:tc>
        <w:tc>
          <w:tcPr>
            <w:tcW w:w="298" w:type="pct"/>
            <w:tcBorders>
              <w:top w:val="nil"/>
              <w:left w:val="nil"/>
              <w:bottom w:val="nil"/>
              <w:right w:val="nil"/>
            </w:tcBorders>
            <w:shd w:val="clear" w:color="auto" w:fill="auto"/>
            <w:noWrap/>
            <w:vAlign w:val="center"/>
            <w:hideMark/>
          </w:tcPr>
          <w:p w14:paraId="6C7A3796" w14:textId="77777777" w:rsidR="00827546" w:rsidRPr="002E302D" w:rsidRDefault="00827546" w:rsidP="00827546">
            <w:pPr>
              <w:rPr>
                <w:rFonts w:ascii="Times New Roman" w:eastAsia="Times New Roman" w:hAnsi="Times New Roman"/>
                <w:sz w:val="20"/>
                <w:szCs w:val="20"/>
                <w:lang w:val="en-GB" w:eastAsia="en-GB"/>
              </w:rPr>
            </w:pPr>
          </w:p>
        </w:tc>
        <w:tc>
          <w:tcPr>
            <w:tcW w:w="397" w:type="pct"/>
            <w:tcBorders>
              <w:top w:val="nil"/>
              <w:left w:val="nil"/>
              <w:bottom w:val="nil"/>
              <w:right w:val="nil"/>
            </w:tcBorders>
            <w:shd w:val="clear" w:color="000000" w:fill="D9D9D9"/>
            <w:noWrap/>
            <w:vAlign w:val="center"/>
            <w:hideMark/>
          </w:tcPr>
          <w:p w14:paraId="27B36450" w14:textId="77777777" w:rsidR="00827546" w:rsidRPr="002E302D" w:rsidRDefault="00827546" w:rsidP="00827546">
            <w:pPr>
              <w:jc w:val="right"/>
              <w:rPr>
                <w:rFonts w:eastAsia="Times New Roman" w:cs="Arial"/>
                <w:b/>
                <w:bCs/>
                <w:color w:val="424141"/>
                <w:szCs w:val="22"/>
                <w:lang w:val="en-GB" w:eastAsia="en-GB"/>
              </w:rPr>
            </w:pPr>
            <w:r w:rsidRPr="002E302D">
              <w:rPr>
                <w:rFonts w:eastAsia="Times New Roman" w:cs="Arial"/>
                <w:b/>
                <w:bCs/>
                <w:color w:val="424141"/>
                <w:szCs w:val="22"/>
                <w:lang w:val="en-GB" w:eastAsia="en-GB"/>
              </w:rPr>
              <w:t>£000</w:t>
            </w:r>
          </w:p>
        </w:tc>
        <w:tc>
          <w:tcPr>
            <w:tcW w:w="397" w:type="pct"/>
            <w:tcBorders>
              <w:top w:val="nil"/>
              <w:left w:val="nil"/>
              <w:bottom w:val="nil"/>
              <w:right w:val="nil"/>
            </w:tcBorders>
            <w:shd w:val="clear" w:color="auto" w:fill="auto"/>
            <w:vAlign w:val="center"/>
            <w:hideMark/>
          </w:tcPr>
          <w:p w14:paraId="281C1D6B" w14:textId="77777777" w:rsidR="00827546" w:rsidRPr="002E302D" w:rsidRDefault="00827546" w:rsidP="00827546">
            <w:pPr>
              <w:jc w:val="right"/>
              <w:rPr>
                <w:rFonts w:eastAsia="Times New Roman" w:cs="Arial"/>
                <w:b/>
                <w:bCs/>
                <w:color w:val="A6A6A6"/>
                <w:szCs w:val="22"/>
                <w:lang w:val="en-GB" w:eastAsia="en-GB"/>
              </w:rPr>
            </w:pPr>
            <w:r w:rsidRPr="002E302D">
              <w:rPr>
                <w:rFonts w:eastAsia="Times New Roman" w:cs="Arial"/>
                <w:b/>
                <w:bCs/>
                <w:color w:val="A6A6A6"/>
                <w:szCs w:val="22"/>
                <w:lang w:val="en-GB" w:eastAsia="en-GB"/>
              </w:rPr>
              <w:t>£000</w:t>
            </w:r>
          </w:p>
        </w:tc>
        <w:tc>
          <w:tcPr>
            <w:tcW w:w="396" w:type="pct"/>
            <w:tcBorders>
              <w:top w:val="nil"/>
              <w:left w:val="nil"/>
              <w:bottom w:val="nil"/>
              <w:right w:val="nil"/>
            </w:tcBorders>
            <w:shd w:val="clear" w:color="000000" w:fill="D9D9D9"/>
            <w:noWrap/>
            <w:vAlign w:val="center"/>
            <w:hideMark/>
          </w:tcPr>
          <w:p w14:paraId="59A148DE" w14:textId="77777777" w:rsidR="00827546" w:rsidRPr="002E302D" w:rsidRDefault="00827546" w:rsidP="00827546">
            <w:pPr>
              <w:jc w:val="right"/>
              <w:rPr>
                <w:rFonts w:eastAsia="Times New Roman" w:cs="Arial"/>
                <w:b/>
                <w:bCs/>
                <w:color w:val="424141"/>
                <w:szCs w:val="22"/>
                <w:lang w:val="en-GB" w:eastAsia="en-GB"/>
              </w:rPr>
            </w:pPr>
            <w:r w:rsidRPr="002E302D">
              <w:rPr>
                <w:rFonts w:eastAsia="Times New Roman" w:cs="Arial"/>
                <w:b/>
                <w:bCs/>
                <w:color w:val="424141"/>
                <w:szCs w:val="22"/>
                <w:lang w:val="en-GB" w:eastAsia="en-GB"/>
              </w:rPr>
              <w:t>£000</w:t>
            </w:r>
          </w:p>
        </w:tc>
        <w:tc>
          <w:tcPr>
            <w:tcW w:w="398" w:type="pct"/>
            <w:tcBorders>
              <w:top w:val="nil"/>
              <w:left w:val="nil"/>
              <w:bottom w:val="nil"/>
              <w:right w:val="nil"/>
            </w:tcBorders>
            <w:shd w:val="clear" w:color="auto" w:fill="auto"/>
            <w:vAlign w:val="center"/>
            <w:hideMark/>
          </w:tcPr>
          <w:p w14:paraId="1B7552EE" w14:textId="77777777" w:rsidR="00827546" w:rsidRPr="002E302D" w:rsidRDefault="00827546" w:rsidP="00827546">
            <w:pPr>
              <w:jc w:val="right"/>
              <w:rPr>
                <w:rFonts w:eastAsia="Times New Roman" w:cs="Arial"/>
                <w:b/>
                <w:bCs/>
                <w:color w:val="A6A6A6"/>
                <w:szCs w:val="22"/>
                <w:lang w:val="en-GB" w:eastAsia="en-GB"/>
              </w:rPr>
            </w:pPr>
            <w:r w:rsidRPr="002E302D">
              <w:rPr>
                <w:rFonts w:eastAsia="Times New Roman" w:cs="Arial"/>
                <w:b/>
                <w:bCs/>
                <w:color w:val="A6A6A6"/>
                <w:szCs w:val="22"/>
                <w:lang w:val="en-GB" w:eastAsia="en-GB"/>
              </w:rPr>
              <w:t>£000</w:t>
            </w:r>
          </w:p>
        </w:tc>
        <w:tc>
          <w:tcPr>
            <w:tcW w:w="398" w:type="pct"/>
            <w:tcBorders>
              <w:top w:val="nil"/>
              <w:left w:val="nil"/>
              <w:bottom w:val="nil"/>
              <w:right w:val="nil"/>
            </w:tcBorders>
            <w:shd w:val="clear" w:color="000000" w:fill="D9D9D9"/>
            <w:noWrap/>
            <w:vAlign w:val="center"/>
            <w:hideMark/>
          </w:tcPr>
          <w:p w14:paraId="7EFB259C" w14:textId="77777777" w:rsidR="00827546" w:rsidRPr="002E302D" w:rsidRDefault="00827546" w:rsidP="00827546">
            <w:pPr>
              <w:jc w:val="right"/>
              <w:rPr>
                <w:rFonts w:eastAsia="Times New Roman" w:cs="Arial"/>
                <w:b/>
                <w:bCs/>
                <w:color w:val="424141"/>
                <w:szCs w:val="22"/>
                <w:lang w:val="en-GB" w:eastAsia="en-GB"/>
              </w:rPr>
            </w:pPr>
            <w:r w:rsidRPr="002E302D">
              <w:rPr>
                <w:rFonts w:eastAsia="Times New Roman" w:cs="Arial"/>
                <w:b/>
                <w:bCs/>
                <w:color w:val="424141"/>
                <w:szCs w:val="22"/>
                <w:lang w:val="en-GB" w:eastAsia="en-GB"/>
              </w:rPr>
              <w:t>£000</w:t>
            </w:r>
          </w:p>
        </w:tc>
        <w:tc>
          <w:tcPr>
            <w:tcW w:w="398" w:type="pct"/>
            <w:tcBorders>
              <w:top w:val="nil"/>
              <w:left w:val="nil"/>
              <w:bottom w:val="nil"/>
              <w:right w:val="nil"/>
            </w:tcBorders>
            <w:shd w:val="clear" w:color="auto" w:fill="auto"/>
            <w:vAlign w:val="center"/>
            <w:hideMark/>
          </w:tcPr>
          <w:p w14:paraId="03DED7DF" w14:textId="77777777" w:rsidR="00827546" w:rsidRPr="002E302D" w:rsidRDefault="00827546" w:rsidP="00827546">
            <w:pPr>
              <w:jc w:val="right"/>
              <w:rPr>
                <w:rFonts w:eastAsia="Times New Roman" w:cs="Arial"/>
                <w:b/>
                <w:bCs/>
                <w:color w:val="A6A6A6"/>
                <w:szCs w:val="22"/>
                <w:lang w:val="en-GB" w:eastAsia="en-GB"/>
              </w:rPr>
            </w:pPr>
            <w:r w:rsidRPr="002E302D">
              <w:rPr>
                <w:rFonts w:eastAsia="Times New Roman" w:cs="Arial"/>
                <w:b/>
                <w:bCs/>
                <w:color w:val="A6A6A6"/>
                <w:szCs w:val="22"/>
                <w:lang w:val="en-GB" w:eastAsia="en-GB"/>
              </w:rPr>
              <w:t>£000</w:t>
            </w:r>
          </w:p>
        </w:tc>
        <w:tc>
          <w:tcPr>
            <w:tcW w:w="398" w:type="pct"/>
            <w:tcBorders>
              <w:top w:val="nil"/>
              <w:left w:val="nil"/>
              <w:bottom w:val="nil"/>
              <w:right w:val="nil"/>
            </w:tcBorders>
            <w:shd w:val="clear" w:color="000000" w:fill="D9D9D9"/>
            <w:noWrap/>
            <w:vAlign w:val="center"/>
            <w:hideMark/>
          </w:tcPr>
          <w:p w14:paraId="170C45C7" w14:textId="77777777" w:rsidR="00827546" w:rsidRPr="002E302D" w:rsidRDefault="00827546" w:rsidP="00827546">
            <w:pPr>
              <w:jc w:val="right"/>
              <w:rPr>
                <w:rFonts w:eastAsia="Times New Roman" w:cs="Arial"/>
                <w:b/>
                <w:bCs/>
                <w:color w:val="424141"/>
                <w:szCs w:val="22"/>
                <w:lang w:val="en-GB" w:eastAsia="en-GB"/>
              </w:rPr>
            </w:pPr>
            <w:r w:rsidRPr="002E302D">
              <w:rPr>
                <w:rFonts w:eastAsia="Times New Roman" w:cs="Arial"/>
                <w:b/>
                <w:bCs/>
                <w:color w:val="424141"/>
                <w:szCs w:val="22"/>
                <w:lang w:val="en-GB" w:eastAsia="en-GB"/>
              </w:rPr>
              <w:t>£000</w:t>
            </w:r>
          </w:p>
        </w:tc>
        <w:tc>
          <w:tcPr>
            <w:tcW w:w="382" w:type="pct"/>
            <w:tcBorders>
              <w:top w:val="nil"/>
              <w:left w:val="nil"/>
              <w:bottom w:val="nil"/>
              <w:right w:val="nil"/>
            </w:tcBorders>
            <w:shd w:val="clear" w:color="auto" w:fill="auto"/>
            <w:vAlign w:val="center"/>
            <w:hideMark/>
          </w:tcPr>
          <w:p w14:paraId="4CDDACDF" w14:textId="77777777" w:rsidR="00827546" w:rsidRPr="002E302D" w:rsidRDefault="00827546" w:rsidP="00827546">
            <w:pPr>
              <w:jc w:val="right"/>
              <w:rPr>
                <w:rFonts w:eastAsia="Times New Roman" w:cs="Arial"/>
                <w:b/>
                <w:bCs/>
                <w:color w:val="A6A6A6"/>
                <w:szCs w:val="22"/>
                <w:lang w:val="en-GB" w:eastAsia="en-GB"/>
              </w:rPr>
            </w:pPr>
            <w:r w:rsidRPr="002E302D">
              <w:rPr>
                <w:rFonts w:eastAsia="Times New Roman" w:cs="Arial"/>
                <w:b/>
                <w:bCs/>
                <w:color w:val="A6A6A6"/>
                <w:szCs w:val="22"/>
                <w:lang w:val="en-GB" w:eastAsia="en-GB"/>
              </w:rPr>
              <w:t>£000</w:t>
            </w:r>
          </w:p>
        </w:tc>
      </w:tr>
      <w:tr w:rsidR="008A41BA" w:rsidRPr="002E302D" w14:paraId="3348BB8C" w14:textId="77777777" w:rsidTr="00052572">
        <w:trPr>
          <w:trHeight w:val="285"/>
        </w:trPr>
        <w:tc>
          <w:tcPr>
            <w:tcW w:w="1538" w:type="pct"/>
            <w:tcBorders>
              <w:top w:val="nil"/>
              <w:left w:val="nil"/>
              <w:bottom w:val="nil"/>
              <w:right w:val="nil"/>
            </w:tcBorders>
            <w:shd w:val="clear" w:color="auto" w:fill="auto"/>
            <w:noWrap/>
            <w:vAlign w:val="center"/>
            <w:hideMark/>
          </w:tcPr>
          <w:p w14:paraId="313E644C" w14:textId="77777777" w:rsidR="00827546" w:rsidRPr="002E302D" w:rsidRDefault="00827546" w:rsidP="00827546">
            <w:pPr>
              <w:rPr>
                <w:rFonts w:eastAsia="Times New Roman" w:cs="Arial"/>
                <w:i/>
                <w:iCs/>
                <w:color w:val="424141"/>
                <w:szCs w:val="22"/>
                <w:lang w:val="en-GB" w:eastAsia="en-GB"/>
              </w:rPr>
            </w:pPr>
            <w:r w:rsidRPr="002E302D">
              <w:rPr>
                <w:rFonts w:eastAsia="Times New Roman" w:cs="Arial"/>
                <w:i/>
                <w:iCs/>
                <w:color w:val="424141"/>
                <w:szCs w:val="22"/>
                <w:lang w:val="en-GB" w:eastAsia="en-GB"/>
              </w:rPr>
              <w:t>Fixed assets:</w:t>
            </w:r>
          </w:p>
        </w:tc>
        <w:tc>
          <w:tcPr>
            <w:tcW w:w="298" w:type="pct"/>
            <w:tcBorders>
              <w:top w:val="nil"/>
              <w:left w:val="nil"/>
              <w:bottom w:val="nil"/>
              <w:right w:val="nil"/>
            </w:tcBorders>
            <w:shd w:val="clear" w:color="auto" w:fill="auto"/>
            <w:noWrap/>
            <w:vAlign w:val="center"/>
            <w:hideMark/>
          </w:tcPr>
          <w:p w14:paraId="419A8144" w14:textId="77777777" w:rsidR="00827546" w:rsidRPr="002E302D" w:rsidRDefault="00827546" w:rsidP="00827546">
            <w:pPr>
              <w:rPr>
                <w:rFonts w:eastAsia="Times New Roman" w:cs="Arial"/>
                <w:i/>
                <w:iCs/>
                <w:color w:val="424141"/>
                <w:szCs w:val="22"/>
                <w:lang w:val="en-GB" w:eastAsia="en-GB"/>
              </w:rPr>
            </w:pPr>
          </w:p>
        </w:tc>
        <w:tc>
          <w:tcPr>
            <w:tcW w:w="397" w:type="pct"/>
            <w:tcBorders>
              <w:top w:val="nil"/>
              <w:left w:val="nil"/>
              <w:bottom w:val="nil"/>
              <w:right w:val="nil"/>
            </w:tcBorders>
            <w:shd w:val="clear" w:color="000000" w:fill="D9D9D9"/>
            <w:noWrap/>
            <w:vAlign w:val="center"/>
            <w:hideMark/>
          </w:tcPr>
          <w:p w14:paraId="5F5DD662" w14:textId="77777777" w:rsidR="00827546" w:rsidRPr="002E302D" w:rsidRDefault="00827546" w:rsidP="00827546">
            <w:pPr>
              <w:jc w:val="right"/>
              <w:rPr>
                <w:rFonts w:eastAsia="Times New Roman" w:cs="Arial"/>
                <w:color w:val="424141"/>
                <w:szCs w:val="22"/>
                <w:lang w:val="en-GB" w:eastAsia="en-GB"/>
              </w:rPr>
            </w:pPr>
            <w:r w:rsidRPr="002E302D">
              <w:rPr>
                <w:rFonts w:eastAsia="Times New Roman" w:cs="Arial"/>
                <w:color w:val="424141"/>
                <w:szCs w:val="22"/>
                <w:lang w:val="en-GB" w:eastAsia="en-GB"/>
              </w:rPr>
              <w:t> </w:t>
            </w:r>
          </w:p>
        </w:tc>
        <w:tc>
          <w:tcPr>
            <w:tcW w:w="397" w:type="pct"/>
            <w:tcBorders>
              <w:top w:val="nil"/>
              <w:left w:val="nil"/>
              <w:bottom w:val="nil"/>
              <w:right w:val="nil"/>
            </w:tcBorders>
            <w:shd w:val="clear" w:color="auto" w:fill="auto"/>
            <w:vAlign w:val="center"/>
            <w:hideMark/>
          </w:tcPr>
          <w:p w14:paraId="2DF64EC9" w14:textId="77777777" w:rsidR="00827546" w:rsidRPr="002E302D" w:rsidRDefault="00827546" w:rsidP="00827546">
            <w:pPr>
              <w:jc w:val="right"/>
              <w:rPr>
                <w:rFonts w:eastAsia="Times New Roman" w:cs="Arial"/>
                <w:color w:val="424141"/>
                <w:szCs w:val="22"/>
                <w:lang w:val="en-GB" w:eastAsia="en-GB"/>
              </w:rPr>
            </w:pPr>
          </w:p>
        </w:tc>
        <w:tc>
          <w:tcPr>
            <w:tcW w:w="396" w:type="pct"/>
            <w:tcBorders>
              <w:top w:val="nil"/>
              <w:left w:val="nil"/>
              <w:bottom w:val="nil"/>
              <w:right w:val="nil"/>
            </w:tcBorders>
            <w:shd w:val="clear" w:color="000000" w:fill="D9D9D9"/>
            <w:noWrap/>
            <w:vAlign w:val="center"/>
            <w:hideMark/>
          </w:tcPr>
          <w:p w14:paraId="5D393F0C" w14:textId="77777777" w:rsidR="00827546" w:rsidRPr="002E302D" w:rsidRDefault="00827546" w:rsidP="00827546">
            <w:pPr>
              <w:jc w:val="right"/>
              <w:rPr>
                <w:rFonts w:eastAsia="Times New Roman" w:cs="Arial"/>
                <w:color w:val="424141"/>
                <w:szCs w:val="22"/>
                <w:lang w:val="en-GB" w:eastAsia="en-GB"/>
              </w:rPr>
            </w:pPr>
            <w:r w:rsidRPr="002E302D">
              <w:rPr>
                <w:rFonts w:eastAsia="Times New Roman" w:cs="Arial"/>
                <w:color w:val="424141"/>
                <w:szCs w:val="22"/>
                <w:lang w:val="en-GB" w:eastAsia="en-GB"/>
              </w:rPr>
              <w:t> </w:t>
            </w:r>
          </w:p>
        </w:tc>
        <w:tc>
          <w:tcPr>
            <w:tcW w:w="398" w:type="pct"/>
            <w:tcBorders>
              <w:top w:val="nil"/>
              <w:left w:val="nil"/>
              <w:bottom w:val="nil"/>
              <w:right w:val="nil"/>
            </w:tcBorders>
            <w:shd w:val="clear" w:color="auto" w:fill="auto"/>
            <w:vAlign w:val="center"/>
            <w:hideMark/>
          </w:tcPr>
          <w:p w14:paraId="78349AE1" w14:textId="77777777" w:rsidR="00827546" w:rsidRPr="002E302D" w:rsidRDefault="00827546" w:rsidP="00827546">
            <w:pPr>
              <w:jc w:val="right"/>
              <w:rPr>
                <w:rFonts w:eastAsia="Times New Roman" w:cs="Arial"/>
                <w:color w:val="424141"/>
                <w:szCs w:val="22"/>
                <w:lang w:val="en-GB" w:eastAsia="en-GB"/>
              </w:rPr>
            </w:pPr>
          </w:p>
        </w:tc>
        <w:tc>
          <w:tcPr>
            <w:tcW w:w="398" w:type="pct"/>
            <w:tcBorders>
              <w:top w:val="nil"/>
              <w:left w:val="nil"/>
              <w:bottom w:val="nil"/>
              <w:right w:val="nil"/>
            </w:tcBorders>
            <w:shd w:val="clear" w:color="000000" w:fill="D9D9D9"/>
            <w:noWrap/>
            <w:vAlign w:val="center"/>
            <w:hideMark/>
          </w:tcPr>
          <w:p w14:paraId="15269CAE" w14:textId="77777777" w:rsidR="00827546" w:rsidRPr="002E302D" w:rsidRDefault="00827546" w:rsidP="00827546">
            <w:pPr>
              <w:jc w:val="right"/>
              <w:rPr>
                <w:rFonts w:eastAsia="Times New Roman" w:cs="Arial"/>
                <w:color w:val="424141"/>
                <w:szCs w:val="22"/>
                <w:lang w:val="en-GB" w:eastAsia="en-GB"/>
              </w:rPr>
            </w:pPr>
            <w:r w:rsidRPr="002E302D">
              <w:rPr>
                <w:rFonts w:eastAsia="Times New Roman" w:cs="Arial"/>
                <w:color w:val="424141"/>
                <w:szCs w:val="22"/>
                <w:lang w:val="en-GB" w:eastAsia="en-GB"/>
              </w:rPr>
              <w:t> </w:t>
            </w:r>
          </w:p>
        </w:tc>
        <w:tc>
          <w:tcPr>
            <w:tcW w:w="398" w:type="pct"/>
            <w:tcBorders>
              <w:top w:val="nil"/>
              <w:left w:val="nil"/>
              <w:bottom w:val="nil"/>
              <w:right w:val="nil"/>
            </w:tcBorders>
            <w:shd w:val="clear" w:color="auto" w:fill="auto"/>
            <w:vAlign w:val="center"/>
            <w:hideMark/>
          </w:tcPr>
          <w:p w14:paraId="05558B44" w14:textId="77777777" w:rsidR="00827546" w:rsidRPr="002E302D" w:rsidRDefault="00827546" w:rsidP="00827546">
            <w:pPr>
              <w:jc w:val="right"/>
              <w:rPr>
                <w:rFonts w:eastAsia="Times New Roman" w:cs="Arial"/>
                <w:color w:val="424141"/>
                <w:szCs w:val="22"/>
                <w:lang w:val="en-GB" w:eastAsia="en-GB"/>
              </w:rPr>
            </w:pPr>
          </w:p>
        </w:tc>
        <w:tc>
          <w:tcPr>
            <w:tcW w:w="398" w:type="pct"/>
            <w:tcBorders>
              <w:top w:val="nil"/>
              <w:left w:val="nil"/>
              <w:bottom w:val="nil"/>
              <w:right w:val="nil"/>
            </w:tcBorders>
            <w:shd w:val="clear" w:color="000000" w:fill="D9D9D9"/>
            <w:noWrap/>
            <w:vAlign w:val="center"/>
            <w:hideMark/>
          </w:tcPr>
          <w:p w14:paraId="3DCC7131" w14:textId="77777777" w:rsidR="00827546" w:rsidRPr="002E302D" w:rsidRDefault="00827546" w:rsidP="00827546">
            <w:pPr>
              <w:jc w:val="right"/>
              <w:rPr>
                <w:rFonts w:eastAsia="Times New Roman" w:cs="Arial"/>
                <w:color w:val="424141"/>
                <w:szCs w:val="22"/>
                <w:lang w:val="en-GB" w:eastAsia="en-GB"/>
              </w:rPr>
            </w:pPr>
            <w:r w:rsidRPr="002E302D">
              <w:rPr>
                <w:rFonts w:eastAsia="Times New Roman" w:cs="Arial"/>
                <w:color w:val="424141"/>
                <w:szCs w:val="22"/>
                <w:lang w:val="en-GB" w:eastAsia="en-GB"/>
              </w:rPr>
              <w:t> </w:t>
            </w:r>
          </w:p>
        </w:tc>
        <w:tc>
          <w:tcPr>
            <w:tcW w:w="382" w:type="pct"/>
            <w:tcBorders>
              <w:top w:val="nil"/>
              <w:left w:val="nil"/>
              <w:bottom w:val="nil"/>
              <w:right w:val="nil"/>
            </w:tcBorders>
            <w:shd w:val="clear" w:color="auto" w:fill="auto"/>
            <w:noWrap/>
            <w:vAlign w:val="center"/>
            <w:hideMark/>
          </w:tcPr>
          <w:p w14:paraId="671F3532" w14:textId="77777777" w:rsidR="00827546" w:rsidRPr="002E302D" w:rsidRDefault="00827546" w:rsidP="00827546">
            <w:pPr>
              <w:jc w:val="right"/>
              <w:rPr>
                <w:rFonts w:eastAsia="Times New Roman" w:cs="Arial"/>
                <w:color w:val="424141"/>
                <w:szCs w:val="22"/>
                <w:lang w:val="en-GB" w:eastAsia="en-GB"/>
              </w:rPr>
            </w:pPr>
          </w:p>
        </w:tc>
      </w:tr>
      <w:tr w:rsidR="00F46DFB" w:rsidRPr="002E302D" w14:paraId="11844FAF" w14:textId="77777777" w:rsidTr="00052572">
        <w:trPr>
          <w:trHeight w:val="293"/>
        </w:trPr>
        <w:tc>
          <w:tcPr>
            <w:tcW w:w="1538" w:type="pct"/>
            <w:tcBorders>
              <w:top w:val="nil"/>
              <w:left w:val="nil"/>
              <w:bottom w:val="nil"/>
              <w:right w:val="nil"/>
            </w:tcBorders>
            <w:shd w:val="clear" w:color="auto" w:fill="auto"/>
            <w:noWrap/>
            <w:vAlign w:val="center"/>
            <w:hideMark/>
          </w:tcPr>
          <w:p w14:paraId="084FB16B" w14:textId="77777777" w:rsidR="00F46DFB" w:rsidRPr="002E302D" w:rsidRDefault="00F46DFB" w:rsidP="00F46DFB">
            <w:pPr>
              <w:rPr>
                <w:rFonts w:eastAsia="Times New Roman" w:cs="Arial"/>
                <w:color w:val="424141"/>
                <w:szCs w:val="22"/>
                <w:lang w:val="en-GB" w:eastAsia="en-GB"/>
              </w:rPr>
            </w:pPr>
            <w:r w:rsidRPr="002E302D">
              <w:rPr>
                <w:rFonts w:eastAsia="Times New Roman" w:cs="Arial"/>
                <w:color w:val="424141"/>
                <w:szCs w:val="22"/>
                <w:lang w:val="en-GB" w:eastAsia="en-GB"/>
              </w:rPr>
              <w:t>Investments</w:t>
            </w:r>
          </w:p>
        </w:tc>
        <w:tc>
          <w:tcPr>
            <w:tcW w:w="298" w:type="pct"/>
            <w:tcBorders>
              <w:top w:val="nil"/>
              <w:left w:val="nil"/>
              <w:bottom w:val="nil"/>
              <w:right w:val="nil"/>
            </w:tcBorders>
            <w:shd w:val="clear" w:color="auto" w:fill="auto"/>
            <w:noWrap/>
            <w:vAlign w:val="center"/>
            <w:hideMark/>
          </w:tcPr>
          <w:p w14:paraId="74561B40" w14:textId="77777777" w:rsidR="00F46DFB" w:rsidRPr="002E302D" w:rsidRDefault="00F46DFB" w:rsidP="00F46DFB">
            <w:pPr>
              <w:jc w:val="right"/>
              <w:rPr>
                <w:rFonts w:eastAsia="Times New Roman" w:cs="Arial"/>
                <w:color w:val="424141"/>
                <w:szCs w:val="22"/>
                <w:lang w:val="en-GB" w:eastAsia="en-GB"/>
              </w:rPr>
            </w:pPr>
            <w:r w:rsidRPr="002E302D">
              <w:rPr>
                <w:rFonts w:eastAsia="Times New Roman" w:cs="Arial"/>
                <w:color w:val="424141"/>
                <w:szCs w:val="22"/>
                <w:lang w:val="en-GB" w:eastAsia="en-GB"/>
              </w:rPr>
              <w:t>16</w:t>
            </w:r>
          </w:p>
        </w:tc>
        <w:tc>
          <w:tcPr>
            <w:tcW w:w="397" w:type="pct"/>
            <w:tcBorders>
              <w:top w:val="nil"/>
              <w:left w:val="nil"/>
              <w:bottom w:val="single" w:sz="8" w:space="0" w:color="auto"/>
              <w:right w:val="nil"/>
            </w:tcBorders>
            <w:shd w:val="clear" w:color="auto" w:fill="D9D9D9" w:themeFill="background1" w:themeFillShade="D9"/>
            <w:noWrap/>
            <w:vAlign w:val="center"/>
            <w:hideMark/>
          </w:tcPr>
          <w:p w14:paraId="26606E19" w14:textId="5C58BC18" w:rsidR="00F46DFB" w:rsidRPr="002E302D" w:rsidRDefault="00F46DFB" w:rsidP="00F46DFB">
            <w:pPr>
              <w:jc w:val="right"/>
              <w:rPr>
                <w:rFonts w:eastAsia="Times New Roman" w:cs="Arial"/>
                <w:color w:val="424141"/>
                <w:szCs w:val="22"/>
                <w:lang w:val="en-GB" w:eastAsia="en-GB"/>
              </w:rPr>
            </w:pPr>
            <w:r>
              <w:rPr>
                <w:rFonts w:cs="Arial"/>
                <w:color w:val="424141"/>
                <w:szCs w:val="22"/>
              </w:rPr>
              <w:t>3,</w:t>
            </w:r>
            <w:r w:rsidR="00344F86">
              <w:rPr>
                <w:rFonts w:cs="Arial"/>
                <w:color w:val="424141"/>
                <w:szCs w:val="22"/>
              </w:rPr>
              <w:t xml:space="preserve">863 </w:t>
            </w:r>
          </w:p>
        </w:tc>
        <w:tc>
          <w:tcPr>
            <w:tcW w:w="397" w:type="pct"/>
            <w:tcBorders>
              <w:top w:val="nil"/>
              <w:left w:val="nil"/>
              <w:bottom w:val="single" w:sz="8" w:space="0" w:color="auto"/>
              <w:right w:val="nil"/>
            </w:tcBorders>
            <w:shd w:val="clear" w:color="auto" w:fill="auto"/>
            <w:vAlign w:val="center"/>
            <w:hideMark/>
          </w:tcPr>
          <w:p w14:paraId="5C6C74B2" w14:textId="57095775" w:rsidR="00F46DFB" w:rsidRPr="002E302D" w:rsidRDefault="00E61C61" w:rsidP="00F46DFB">
            <w:pPr>
              <w:jc w:val="right"/>
              <w:rPr>
                <w:rFonts w:eastAsia="Times New Roman" w:cs="Arial"/>
                <w:color w:val="424141"/>
                <w:szCs w:val="22"/>
                <w:lang w:val="en-GB" w:eastAsia="en-GB"/>
              </w:rPr>
            </w:pPr>
            <w:r>
              <w:rPr>
                <w:rFonts w:cs="Arial"/>
                <w:color w:val="A6A6A6"/>
                <w:szCs w:val="22"/>
              </w:rPr>
              <w:t>5</w:t>
            </w:r>
            <w:r w:rsidR="00F46DFB">
              <w:rPr>
                <w:rFonts w:cs="Arial"/>
                <w:color w:val="A6A6A6"/>
                <w:szCs w:val="22"/>
              </w:rPr>
              <w:t xml:space="preserve">,510 </w:t>
            </w:r>
          </w:p>
        </w:tc>
        <w:tc>
          <w:tcPr>
            <w:tcW w:w="396" w:type="pct"/>
            <w:tcBorders>
              <w:top w:val="nil"/>
              <w:left w:val="nil"/>
              <w:bottom w:val="single" w:sz="8" w:space="0" w:color="auto"/>
              <w:right w:val="nil"/>
            </w:tcBorders>
            <w:shd w:val="clear" w:color="auto" w:fill="D9D9D9" w:themeFill="background1" w:themeFillShade="D9"/>
            <w:noWrap/>
            <w:vAlign w:val="center"/>
            <w:hideMark/>
          </w:tcPr>
          <w:p w14:paraId="47C5B2AC" w14:textId="03F041B1" w:rsidR="00F46DFB" w:rsidRPr="002E302D" w:rsidRDefault="006F4DFC" w:rsidP="00F46DFB">
            <w:pPr>
              <w:jc w:val="right"/>
              <w:rPr>
                <w:rFonts w:eastAsia="Times New Roman" w:cs="Arial"/>
                <w:color w:val="424141"/>
                <w:szCs w:val="22"/>
                <w:lang w:val="en-GB" w:eastAsia="en-GB"/>
              </w:rPr>
            </w:pPr>
            <w:r>
              <w:rPr>
                <w:rFonts w:cs="Arial"/>
                <w:color w:val="424141"/>
                <w:szCs w:val="22"/>
              </w:rPr>
              <w:t>4,198</w:t>
            </w:r>
            <w:r w:rsidR="00F46DFB">
              <w:rPr>
                <w:rFonts w:cs="Arial"/>
                <w:color w:val="424141"/>
                <w:szCs w:val="22"/>
              </w:rPr>
              <w:t xml:space="preserve"> </w:t>
            </w:r>
          </w:p>
        </w:tc>
        <w:tc>
          <w:tcPr>
            <w:tcW w:w="398" w:type="pct"/>
            <w:tcBorders>
              <w:top w:val="nil"/>
              <w:left w:val="nil"/>
              <w:bottom w:val="single" w:sz="8" w:space="0" w:color="auto"/>
              <w:right w:val="nil"/>
            </w:tcBorders>
            <w:shd w:val="clear" w:color="auto" w:fill="auto"/>
            <w:vAlign w:val="center"/>
            <w:hideMark/>
          </w:tcPr>
          <w:p w14:paraId="06643A71" w14:textId="735A76A8" w:rsidR="00F46DFB" w:rsidRPr="002E302D" w:rsidRDefault="00F46DFB" w:rsidP="00F46DFB">
            <w:pPr>
              <w:jc w:val="right"/>
              <w:rPr>
                <w:rFonts w:eastAsia="Times New Roman" w:cs="Arial"/>
                <w:color w:val="A6A6A6"/>
                <w:szCs w:val="22"/>
                <w:lang w:val="en-GB" w:eastAsia="en-GB"/>
              </w:rPr>
            </w:pPr>
            <w:r>
              <w:rPr>
                <w:rFonts w:cs="Arial"/>
                <w:color w:val="A6A6A6"/>
                <w:szCs w:val="22"/>
              </w:rPr>
              <w:t xml:space="preserve">3,461 </w:t>
            </w:r>
          </w:p>
        </w:tc>
        <w:tc>
          <w:tcPr>
            <w:tcW w:w="398" w:type="pct"/>
            <w:tcBorders>
              <w:top w:val="nil"/>
              <w:left w:val="nil"/>
              <w:bottom w:val="single" w:sz="8" w:space="0" w:color="auto"/>
              <w:right w:val="nil"/>
            </w:tcBorders>
            <w:shd w:val="clear" w:color="auto" w:fill="D9D9D9" w:themeFill="background1" w:themeFillShade="D9"/>
            <w:noWrap/>
            <w:vAlign w:val="center"/>
            <w:hideMark/>
          </w:tcPr>
          <w:p w14:paraId="4E22BF3E" w14:textId="70870F47" w:rsidR="00F46DFB" w:rsidRPr="002E302D" w:rsidRDefault="00F46DFB" w:rsidP="00F46DFB">
            <w:pPr>
              <w:jc w:val="right"/>
              <w:rPr>
                <w:rFonts w:eastAsia="Times New Roman" w:cs="Arial"/>
                <w:color w:val="424141"/>
                <w:szCs w:val="22"/>
                <w:lang w:val="en-GB" w:eastAsia="en-GB"/>
              </w:rPr>
            </w:pPr>
            <w:r>
              <w:rPr>
                <w:rFonts w:cs="Arial"/>
                <w:color w:val="424141"/>
                <w:szCs w:val="22"/>
              </w:rPr>
              <w:t xml:space="preserve">728 </w:t>
            </w:r>
          </w:p>
        </w:tc>
        <w:tc>
          <w:tcPr>
            <w:tcW w:w="398" w:type="pct"/>
            <w:tcBorders>
              <w:top w:val="nil"/>
              <w:left w:val="nil"/>
              <w:bottom w:val="single" w:sz="8" w:space="0" w:color="auto"/>
              <w:right w:val="nil"/>
            </w:tcBorders>
            <w:shd w:val="clear" w:color="auto" w:fill="auto"/>
            <w:vAlign w:val="center"/>
            <w:hideMark/>
          </w:tcPr>
          <w:p w14:paraId="260F7E39" w14:textId="08620790" w:rsidR="00F46DFB" w:rsidRPr="002E302D" w:rsidRDefault="00F46DFB" w:rsidP="00F46DFB">
            <w:pPr>
              <w:jc w:val="right"/>
              <w:rPr>
                <w:rFonts w:eastAsia="Times New Roman" w:cs="Arial"/>
                <w:color w:val="A6A6A6"/>
                <w:szCs w:val="22"/>
                <w:lang w:val="en-GB" w:eastAsia="en-GB"/>
              </w:rPr>
            </w:pPr>
            <w:r>
              <w:rPr>
                <w:rFonts w:cs="Arial"/>
                <w:color w:val="A6A6A6"/>
                <w:szCs w:val="22"/>
              </w:rPr>
              <w:t xml:space="preserve">970 </w:t>
            </w:r>
          </w:p>
        </w:tc>
        <w:tc>
          <w:tcPr>
            <w:tcW w:w="398" w:type="pct"/>
            <w:tcBorders>
              <w:top w:val="nil"/>
              <w:left w:val="nil"/>
              <w:bottom w:val="single" w:sz="8" w:space="0" w:color="auto"/>
              <w:right w:val="nil"/>
            </w:tcBorders>
            <w:shd w:val="clear" w:color="000000" w:fill="D9D9D9"/>
            <w:noWrap/>
            <w:vAlign w:val="center"/>
            <w:hideMark/>
          </w:tcPr>
          <w:p w14:paraId="3B6A1C3C" w14:textId="097ED1CA" w:rsidR="00F46DFB" w:rsidRPr="002E302D" w:rsidRDefault="0079581F" w:rsidP="00F46DFB">
            <w:pPr>
              <w:jc w:val="right"/>
              <w:rPr>
                <w:rFonts w:eastAsia="Times New Roman" w:cs="Arial"/>
                <w:color w:val="424141"/>
                <w:szCs w:val="22"/>
                <w:lang w:val="en-GB" w:eastAsia="en-GB"/>
              </w:rPr>
            </w:pPr>
            <w:r>
              <w:rPr>
                <w:rFonts w:cs="Arial"/>
                <w:color w:val="424141"/>
                <w:szCs w:val="22"/>
              </w:rPr>
              <w:t>8</w:t>
            </w:r>
            <w:r w:rsidR="00F46DFB">
              <w:rPr>
                <w:rFonts w:cs="Arial"/>
                <w:color w:val="424141"/>
                <w:szCs w:val="22"/>
              </w:rPr>
              <w:t xml:space="preserve">,789 </w:t>
            </w:r>
          </w:p>
        </w:tc>
        <w:tc>
          <w:tcPr>
            <w:tcW w:w="382" w:type="pct"/>
            <w:tcBorders>
              <w:top w:val="nil"/>
              <w:left w:val="nil"/>
              <w:bottom w:val="single" w:sz="8" w:space="0" w:color="auto"/>
              <w:right w:val="nil"/>
            </w:tcBorders>
            <w:shd w:val="clear" w:color="auto" w:fill="auto"/>
            <w:noWrap/>
            <w:vAlign w:val="center"/>
            <w:hideMark/>
          </w:tcPr>
          <w:p w14:paraId="70CA073B" w14:textId="6C340082" w:rsidR="00F46DFB" w:rsidRPr="002E302D" w:rsidRDefault="0079581F" w:rsidP="00F46DFB">
            <w:pPr>
              <w:jc w:val="right"/>
              <w:rPr>
                <w:rFonts w:eastAsia="Times New Roman" w:cs="Arial"/>
                <w:color w:val="A6A6A6"/>
                <w:szCs w:val="22"/>
                <w:lang w:val="en-GB" w:eastAsia="en-GB"/>
              </w:rPr>
            </w:pPr>
            <w:r>
              <w:rPr>
                <w:rFonts w:cs="Arial"/>
                <w:color w:val="A6A6A6"/>
                <w:szCs w:val="22"/>
              </w:rPr>
              <w:t>9</w:t>
            </w:r>
            <w:r w:rsidR="00F46DFB">
              <w:rPr>
                <w:rFonts w:cs="Arial"/>
                <w:color w:val="A6A6A6"/>
                <w:szCs w:val="22"/>
              </w:rPr>
              <w:t xml:space="preserve">,941 </w:t>
            </w:r>
          </w:p>
        </w:tc>
      </w:tr>
      <w:tr w:rsidR="00F46DFB" w:rsidRPr="002E302D" w14:paraId="61FA0F16" w14:textId="77777777" w:rsidTr="00052572">
        <w:trPr>
          <w:trHeight w:val="285"/>
        </w:trPr>
        <w:tc>
          <w:tcPr>
            <w:tcW w:w="1538" w:type="pct"/>
            <w:tcBorders>
              <w:top w:val="nil"/>
              <w:left w:val="nil"/>
              <w:bottom w:val="nil"/>
              <w:right w:val="nil"/>
            </w:tcBorders>
            <w:shd w:val="clear" w:color="auto" w:fill="auto"/>
            <w:noWrap/>
            <w:vAlign w:val="center"/>
            <w:hideMark/>
          </w:tcPr>
          <w:p w14:paraId="1BF199C2" w14:textId="77777777" w:rsidR="00F46DFB" w:rsidRPr="002E302D" w:rsidRDefault="00F46DFB" w:rsidP="00F46DFB">
            <w:pPr>
              <w:rPr>
                <w:rFonts w:eastAsia="Times New Roman" w:cs="Arial"/>
                <w:b/>
                <w:bCs/>
                <w:color w:val="424141"/>
                <w:szCs w:val="22"/>
                <w:lang w:val="en-GB" w:eastAsia="en-GB"/>
              </w:rPr>
            </w:pPr>
            <w:r w:rsidRPr="002E302D">
              <w:rPr>
                <w:rFonts w:eastAsia="Times New Roman" w:cs="Arial"/>
                <w:b/>
                <w:bCs/>
                <w:color w:val="424141"/>
                <w:szCs w:val="22"/>
                <w:lang w:val="en-GB" w:eastAsia="en-GB"/>
              </w:rPr>
              <w:t>Total Fixed Assets</w:t>
            </w:r>
          </w:p>
        </w:tc>
        <w:tc>
          <w:tcPr>
            <w:tcW w:w="298" w:type="pct"/>
            <w:tcBorders>
              <w:top w:val="nil"/>
              <w:left w:val="nil"/>
              <w:bottom w:val="nil"/>
              <w:right w:val="nil"/>
            </w:tcBorders>
            <w:shd w:val="clear" w:color="auto" w:fill="auto"/>
            <w:noWrap/>
            <w:vAlign w:val="center"/>
            <w:hideMark/>
          </w:tcPr>
          <w:p w14:paraId="1EA46F43" w14:textId="77777777" w:rsidR="00F46DFB" w:rsidRPr="002E302D" w:rsidRDefault="00F46DFB" w:rsidP="00F46DFB">
            <w:pPr>
              <w:rPr>
                <w:rFonts w:eastAsia="Times New Roman" w:cs="Arial"/>
                <w:b/>
                <w:bCs/>
                <w:color w:val="424141"/>
                <w:szCs w:val="22"/>
                <w:lang w:val="en-GB" w:eastAsia="en-GB"/>
              </w:rPr>
            </w:pPr>
          </w:p>
        </w:tc>
        <w:tc>
          <w:tcPr>
            <w:tcW w:w="397" w:type="pct"/>
            <w:tcBorders>
              <w:top w:val="nil"/>
              <w:left w:val="nil"/>
              <w:bottom w:val="nil"/>
              <w:right w:val="nil"/>
            </w:tcBorders>
            <w:shd w:val="clear" w:color="000000" w:fill="D9D9D9"/>
            <w:noWrap/>
            <w:vAlign w:val="center"/>
            <w:hideMark/>
          </w:tcPr>
          <w:p w14:paraId="254D1144" w14:textId="0D881D95" w:rsidR="00F46DFB" w:rsidRPr="002E302D" w:rsidRDefault="00F46DFB" w:rsidP="00F46DFB">
            <w:pPr>
              <w:jc w:val="right"/>
              <w:rPr>
                <w:rFonts w:eastAsia="Times New Roman" w:cs="Arial"/>
                <w:b/>
                <w:bCs/>
                <w:color w:val="424141"/>
                <w:szCs w:val="22"/>
                <w:lang w:val="en-GB" w:eastAsia="en-GB"/>
              </w:rPr>
            </w:pPr>
            <w:r>
              <w:rPr>
                <w:rFonts w:cs="Arial"/>
                <w:b/>
                <w:bCs/>
                <w:color w:val="424141"/>
                <w:szCs w:val="22"/>
              </w:rPr>
              <w:t>3,8</w:t>
            </w:r>
            <w:r w:rsidR="009A722C">
              <w:rPr>
                <w:rFonts w:cs="Arial"/>
                <w:b/>
                <w:bCs/>
                <w:color w:val="424141"/>
                <w:szCs w:val="22"/>
              </w:rPr>
              <w:t>6</w:t>
            </w:r>
            <w:r>
              <w:rPr>
                <w:rFonts w:cs="Arial"/>
                <w:b/>
                <w:bCs/>
                <w:color w:val="424141"/>
                <w:szCs w:val="22"/>
              </w:rPr>
              <w:t xml:space="preserve">3 </w:t>
            </w:r>
          </w:p>
        </w:tc>
        <w:tc>
          <w:tcPr>
            <w:tcW w:w="397" w:type="pct"/>
            <w:tcBorders>
              <w:top w:val="nil"/>
              <w:left w:val="nil"/>
              <w:bottom w:val="nil"/>
              <w:right w:val="nil"/>
            </w:tcBorders>
            <w:shd w:val="clear" w:color="auto" w:fill="auto"/>
            <w:vAlign w:val="center"/>
            <w:hideMark/>
          </w:tcPr>
          <w:p w14:paraId="189C32D3" w14:textId="4EAC1014" w:rsidR="00F46DFB" w:rsidRPr="002E302D" w:rsidRDefault="0079581F" w:rsidP="00F46DFB">
            <w:pPr>
              <w:jc w:val="right"/>
              <w:rPr>
                <w:rFonts w:eastAsia="Times New Roman" w:cs="Arial"/>
                <w:b/>
                <w:bCs/>
                <w:color w:val="A6A6A6"/>
                <w:szCs w:val="22"/>
                <w:lang w:val="en-GB" w:eastAsia="en-GB"/>
              </w:rPr>
            </w:pPr>
            <w:r>
              <w:rPr>
                <w:rFonts w:cs="Arial"/>
                <w:b/>
                <w:bCs/>
                <w:color w:val="A6A6A6"/>
                <w:szCs w:val="22"/>
              </w:rPr>
              <w:t>5</w:t>
            </w:r>
            <w:r w:rsidR="00F46DFB">
              <w:rPr>
                <w:rFonts w:cs="Arial"/>
                <w:b/>
                <w:bCs/>
                <w:color w:val="A6A6A6"/>
                <w:szCs w:val="22"/>
              </w:rPr>
              <w:t xml:space="preserve">,510 </w:t>
            </w:r>
          </w:p>
        </w:tc>
        <w:tc>
          <w:tcPr>
            <w:tcW w:w="396" w:type="pct"/>
            <w:tcBorders>
              <w:top w:val="nil"/>
              <w:left w:val="nil"/>
              <w:bottom w:val="nil"/>
              <w:right w:val="nil"/>
            </w:tcBorders>
            <w:shd w:val="clear" w:color="000000" w:fill="D9D9D9"/>
            <w:noWrap/>
            <w:vAlign w:val="center"/>
            <w:hideMark/>
          </w:tcPr>
          <w:p w14:paraId="3B568951" w14:textId="6A0ABBD0" w:rsidR="00F46DFB" w:rsidRPr="002E302D" w:rsidRDefault="0079581F" w:rsidP="00F46DFB">
            <w:pPr>
              <w:jc w:val="right"/>
              <w:rPr>
                <w:rFonts w:eastAsia="Times New Roman" w:cs="Arial"/>
                <w:b/>
                <w:bCs/>
                <w:color w:val="424141"/>
                <w:szCs w:val="22"/>
                <w:lang w:val="en-GB" w:eastAsia="en-GB"/>
              </w:rPr>
            </w:pPr>
            <w:r>
              <w:rPr>
                <w:rFonts w:cs="Arial"/>
                <w:b/>
                <w:bCs/>
                <w:color w:val="424141"/>
                <w:szCs w:val="22"/>
              </w:rPr>
              <w:t>4</w:t>
            </w:r>
            <w:r w:rsidR="00F46DFB">
              <w:rPr>
                <w:rFonts w:cs="Arial"/>
                <w:b/>
                <w:bCs/>
                <w:color w:val="424141"/>
                <w:szCs w:val="22"/>
              </w:rPr>
              <w:t>,</w:t>
            </w:r>
            <w:r>
              <w:rPr>
                <w:rFonts w:cs="Arial"/>
                <w:b/>
                <w:bCs/>
                <w:color w:val="424141"/>
                <w:szCs w:val="22"/>
              </w:rPr>
              <w:t>198</w:t>
            </w:r>
            <w:r w:rsidR="00F46DFB">
              <w:rPr>
                <w:rFonts w:cs="Arial"/>
                <w:b/>
                <w:bCs/>
                <w:color w:val="424141"/>
                <w:szCs w:val="22"/>
              </w:rPr>
              <w:t xml:space="preserve"> </w:t>
            </w:r>
          </w:p>
        </w:tc>
        <w:tc>
          <w:tcPr>
            <w:tcW w:w="398" w:type="pct"/>
            <w:tcBorders>
              <w:top w:val="nil"/>
              <w:left w:val="nil"/>
              <w:bottom w:val="nil"/>
              <w:right w:val="nil"/>
            </w:tcBorders>
            <w:shd w:val="clear" w:color="auto" w:fill="auto"/>
            <w:vAlign w:val="center"/>
            <w:hideMark/>
          </w:tcPr>
          <w:p w14:paraId="01DEB8E7" w14:textId="14451A3D" w:rsidR="00F46DFB" w:rsidRPr="002E302D" w:rsidRDefault="00F46DFB" w:rsidP="00F46DFB">
            <w:pPr>
              <w:jc w:val="right"/>
              <w:rPr>
                <w:rFonts w:eastAsia="Times New Roman" w:cs="Arial"/>
                <w:b/>
                <w:bCs/>
                <w:color w:val="A6A6A6"/>
                <w:szCs w:val="22"/>
                <w:lang w:val="en-GB" w:eastAsia="en-GB"/>
              </w:rPr>
            </w:pPr>
            <w:r>
              <w:rPr>
                <w:rFonts w:cs="Arial"/>
                <w:b/>
                <w:bCs/>
                <w:color w:val="A6A6A6"/>
                <w:szCs w:val="22"/>
              </w:rPr>
              <w:t xml:space="preserve">3,461 </w:t>
            </w:r>
          </w:p>
        </w:tc>
        <w:tc>
          <w:tcPr>
            <w:tcW w:w="398" w:type="pct"/>
            <w:tcBorders>
              <w:top w:val="nil"/>
              <w:left w:val="nil"/>
              <w:bottom w:val="nil"/>
              <w:right w:val="nil"/>
            </w:tcBorders>
            <w:shd w:val="clear" w:color="000000" w:fill="D9D9D9"/>
            <w:noWrap/>
            <w:vAlign w:val="center"/>
            <w:hideMark/>
          </w:tcPr>
          <w:p w14:paraId="58682C8A" w14:textId="3A0C5B52" w:rsidR="00F46DFB" w:rsidRPr="002E302D" w:rsidRDefault="00F46DFB" w:rsidP="00F46DFB">
            <w:pPr>
              <w:jc w:val="right"/>
              <w:rPr>
                <w:rFonts w:eastAsia="Times New Roman" w:cs="Arial"/>
                <w:b/>
                <w:bCs/>
                <w:color w:val="424141"/>
                <w:szCs w:val="22"/>
                <w:lang w:val="en-GB" w:eastAsia="en-GB"/>
              </w:rPr>
            </w:pPr>
            <w:r>
              <w:rPr>
                <w:rFonts w:cs="Arial"/>
                <w:b/>
                <w:bCs/>
                <w:color w:val="424141"/>
                <w:szCs w:val="22"/>
              </w:rPr>
              <w:t xml:space="preserve">728 </w:t>
            </w:r>
          </w:p>
        </w:tc>
        <w:tc>
          <w:tcPr>
            <w:tcW w:w="398" w:type="pct"/>
            <w:tcBorders>
              <w:top w:val="nil"/>
              <w:left w:val="nil"/>
              <w:bottom w:val="nil"/>
              <w:right w:val="nil"/>
            </w:tcBorders>
            <w:shd w:val="clear" w:color="auto" w:fill="auto"/>
            <w:vAlign w:val="center"/>
            <w:hideMark/>
          </w:tcPr>
          <w:p w14:paraId="2F8193EF" w14:textId="0718255F" w:rsidR="00F46DFB" w:rsidRPr="002E302D" w:rsidRDefault="00F46DFB" w:rsidP="00F46DFB">
            <w:pPr>
              <w:jc w:val="right"/>
              <w:rPr>
                <w:rFonts w:eastAsia="Times New Roman" w:cs="Arial"/>
                <w:b/>
                <w:bCs/>
                <w:color w:val="A6A6A6"/>
                <w:szCs w:val="22"/>
                <w:lang w:val="en-GB" w:eastAsia="en-GB"/>
              </w:rPr>
            </w:pPr>
            <w:r>
              <w:rPr>
                <w:rFonts w:cs="Arial"/>
                <w:b/>
                <w:bCs/>
                <w:color w:val="A6A6A6"/>
                <w:szCs w:val="22"/>
              </w:rPr>
              <w:t xml:space="preserve">970 </w:t>
            </w:r>
          </w:p>
        </w:tc>
        <w:tc>
          <w:tcPr>
            <w:tcW w:w="398" w:type="pct"/>
            <w:tcBorders>
              <w:top w:val="nil"/>
              <w:left w:val="nil"/>
              <w:bottom w:val="nil"/>
              <w:right w:val="nil"/>
            </w:tcBorders>
            <w:shd w:val="clear" w:color="000000" w:fill="D9D9D9"/>
            <w:noWrap/>
            <w:vAlign w:val="center"/>
            <w:hideMark/>
          </w:tcPr>
          <w:p w14:paraId="19151497" w14:textId="0DB3D420" w:rsidR="00F46DFB" w:rsidRPr="002E302D" w:rsidRDefault="003B46A2" w:rsidP="00F46DFB">
            <w:pPr>
              <w:jc w:val="right"/>
              <w:rPr>
                <w:rFonts w:eastAsia="Times New Roman" w:cs="Arial"/>
                <w:b/>
                <w:bCs/>
                <w:color w:val="424141"/>
                <w:szCs w:val="22"/>
                <w:lang w:val="en-GB" w:eastAsia="en-GB"/>
              </w:rPr>
            </w:pPr>
            <w:r>
              <w:rPr>
                <w:rFonts w:cs="Arial"/>
                <w:b/>
                <w:bCs/>
                <w:color w:val="424141"/>
                <w:szCs w:val="22"/>
              </w:rPr>
              <w:t>8</w:t>
            </w:r>
            <w:r w:rsidR="00F46DFB">
              <w:rPr>
                <w:rFonts w:cs="Arial"/>
                <w:b/>
                <w:bCs/>
                <w:color w:val="424141"/>
                <w:szCs w:val="22"/>
              </w:rPr>
              <w:t xml:space="preserve">,789 </w:t>
            </w:r>
          </w:p>
        </w:tc>
        <w:tc>
          <w:tcPr>
            <w:tcW w:w="382" w:type="pct"/>
            <w:tcBorders>
              <w:top w:val="nil"/>
              <w:left w:val="nil"/>
              <w:bottom w:val="nil"/>
              <w:right w:val="nil"/>
            </w:tcBorders>
            <w:shd w:val="clear" w:color="auto" w:fill="auto"/>
            <w:noWrap/>
            <w:vAlign w:val="center"/>
            <w:hideMark/>
          </w:tcPr>
          <w:p w14:paraId="58C39362" w14:textId="511DB91A" w:rsidR="00F46DFB" w:rsidRPr="002E302D" w:rsidRDefault="003B46A2" w:rsidP="00F46DFB">
            <w:pPr>
              <w:jc w:val="right"/>
              <w:rPr>
                <w:rFonts w:eastAsia="Times New Roman" w:cs="Arial"/>
                <w:b/>
                <w:bCs/>
                <w:color w:val="A6A6A6"/>
                <w:szCs w:val="22"/>
                <w:lang w:val="en-GB" w:eastAsia="en-GB"/>
              </w:rPr>
            </w:pPr>
            <w:r>
              <w:rPr>
                <w:rFonts w:cs="Arial"/>
                <w:b/>
                <w:bCs/>
                <w:color w:val="A6A6A6"/>
                <w:szCs w:val="22"/>
              </w:rPr>
              <w:t>9</w:t>
            </w:r>
            <w:r w:rsidR="00F46DFB">
              <w:rPr>
                <w:rFonts w:cs="Arial"/>
                <w:b/>
                <w:bCs/>
                <w:color w:val="A6A6A6"/>
                <w:szCs w:val="22"/>
              </w:rPr>
              <w:t xml:space="preserve">,941 </w:t>
            </w:r>
          </w:p>
        </w:tc>
      </w:tr>
      <w:tr w:rsidR="00F46DFB" w:rsidRPr="002E302D" w14:paraId="2C4761A6" w14:textId="77777777" w:rsidTr="00052572">
        <w:trPr>
          <w:trHeight w:val="285"/>
        </w:trPr>
        <w:tc>
          <w:tcPr>
            <w:tcW w:w="1538" w:type="pct"/>
            <w:tcBorders>
              <w:top w:val="nil"/>
              <w:left w:val="nil"/>
              <w:bottom w:val="nil"/>
              <w:right w:val="nil"/>
            </w:tcBorders>
            <w:shd w:val="clear" w:color="auto" w:fill="auto"/>
            <w:noWrap/>
            <w:vAlign w:val="center"/>
            <w:hideMark/>
          </w:tcPr>
          <w:p w14:paraId="51219BD4" w14:textId="77777777" w:rsidR="00F46DFB" w:rsidRPr="002E302D" w:rsidRDefault="00F46DFB" w:rsidP="00F46DFB">
            <w:pPr>
              <w:rPr>
                <w:rFonts w:eastAsia="Times New Roman" w:cs="Arial"/>
                <w:i/>
                <w:iCs/>
                <w:color w:val="424141"/>
                <w:szCs w:val="22"/>
                <w:lang w:val="en-GB" w:eastAsia="en-GB"/>
              </w:rPr>
            </w:pPr>
            <w:r w:rsidRPr="002E302D">
              <w:rPr>
                <w:rFonts w:eastAsia="Times New Roman" w:cs="Arial"/>
                <w:i/>
                <w:iCs/>
                <w:color w:val="424141"/>
                <w:szCs w:val="22"/>
                <w:lang w:val="en-GB" w:eastAsia="en-GB"/>
              </w:rPr>
              <w:t>Current assets:</w:t>
            </w:r>
          </w:p>
        </w:tc>
        <w:tc>
          <w:tcPr>
            <w:tcW w:w="298" w:type="pct"/>
            <w:tcBorders>
              <w:top w:val="nil"/>
              <w:left w:val="nil"/>
              <w:bottom w:val="nil"/>
              <w:right w:val="nil"/>
            </w:tcBorders>
            <w:shd w:val="clear" w:color="auto" w:fill="auto"/>
            <w:noWrap/>
            <w:vAlign w:val="center"/>
            <w:hideMark/>
          </w:tcPr>
          <w:p w14:paraId="1163EFE2" w14:textId="77777777" w:rsidR="00F46DFB" w:rsidRPr="002E302D" w:rsidRDefault="00F46DFB" w:rsidP="00F46DFB">
            <w:pPr>
              <w:rPr>
                <w:rFonts w:eastAsia="Times New Roman" w:cs="Arial"/>
                <w:i/>
                <w:iCs/>
                <w:color w:val="424141"/>
                <w:szCs w:val="22"/>
                <w:lang w:val="en-GB" w:eastAsia="en-GB"/>
              </w:rPr>
            </w:pPr>
          </w:p>
        </w:tc>
        <w:tc>
          <w:tcPr>
            <w:tcW w:w="397" w:type="pct"/>
            <w:tcBorders>
              <w:top w:val="nil"/>
              <w:left w:val="nil"/>
              <w:bottom w:val="nil"/>
              <w:right w:val="nil"/>
            </w:tcBorders>
            <w:shd w:val="clear" w:color="000000" w:fill="D9D9D9"/>
            <w:noWrap/>
            <w:vAlign w:val="center"/>
            <w:hideMark/>
          </w:tcPr>
          <w:p w14:paraId="41F658BD" w14:textId="60238CDA" w:rsidR="00F46DFB" w:rsidRPr="002E302D" w:rsidRDefault="00F46DFB" w:rsidP="00F46DFB">
            <w:pPr>
              <w:jc w:val="right"/>
              <w:rPr>
                <w:rFonts w:eastAsia="Times New Roman" w:cs="Arial"/>
                <w:color w:val="424141"/>
                <w:szCs w:val="22"/>
                <w:lang w:val="en-GB" w:eastAsia="en-GB"/>
              </w:rPr>
            </w:pPr>
            <w:r>
              <w:rPr>
                <w:rFonts w:cs="Arial"/>
                <w:color w:val="424141"/>
                <w:szCs w:val="22"/>
              </w:rPr>
              <w:t> </w:t>
            </w:r>
          </w:p>
        </w:tc>
        <w:tc>
          <w:tcPr>
            <w:tcW w:w="397" w:type="pct"/>
            <w:tcBorders>
              <w:top w:val="nil"/>
              <w:left w:val="nil"/>
              <w:bottom w:val="nil"/>
              <w:right w:val="nil"/>
            </w:tcBorders>
            <w:shd w:val="clear" w:color="auto" w:fill="auto"/>
            <w:vAlign w:val="center"/>
            <w:hideMark/>
          </w:tcPr>
          <w:p w14:paraId="22B727E0" w14:textId="77777777" w:rsidR="00F46DFB" w:rsidRPr="002E302D" w:rsidRDefault="00F46DFB" w:rsidP="00F46DFB">
            <w:pPr>
              <w:jc w:val="right"/>
              <w:rPr>
                <w:rFonts w:eastAsia="Times New Roman" w:cs="Arial"/>
                <w:color w:val="424141"/>
                <w:szCs w:val="22"/>
                <w:lang w:val="en-GB" w:eastAsia="en-GB"/>
              </w:rPr>
            </w:pPr>
          </w:p>
        </w:tc>
        <w:tc>
          <w:tcPr>
            <w:tcW w:w="396" w:type="pct"/>
            <w:tcBorders>
              <w:top w:val="nil"/>
              <w:left w:val="nil"/>
              <w:bottom w:val="nil"/>
              <w:right w:val="nil"/>
            </w:tcBorders>
            <w:shd w:val="clear" w:color="000000" w:fill="D9D9D9"/>
            <w:noWrap/>
            <w:vAlign w:val="center"/>
            <w:hideMark/>
          </w:tcPr>
          <w:p w14:paraId="67816E5A" w14:textId="4EDF82E7" w:rsidR="00F46DFB" w:rsidRPr="002E302D" w:rsidRDefault="00F46DFB" w:rsidP="00F46DFB">
            <w:pPr>
              <w:jc w:val="right"/>
              <w:rPr>
                <w:rFonts w:eastAsia="Times New Roman" w:cs="Arial"/>
                <w:color w:val="424141"/>
                <w:szCs w:val="22"/>
                <w:lang w:val="en-GB" w:eastAsia="en-GB"/>
              </w:rPr>
            </w:pPr>
            <w:r>
              <w:rPr>
                <w:rFonts w:cs="Arial"/>
                <w:color w:val="424141"/>
                <w:szCs w:val="22"/>
              </w:rPr>
              <w:t> </w:t>
            </w:r>
          </w:p>
        </w:tc>
        <w:tc>
          <w:tcPr>
            <w:tcW w:w="398" w:type="pct"/>
            <w:tcBorders>
              <w:top w:val="nil"/>
              <w:left w:val="nil"/>
              <w:bottom w:val="nil"/>
              <w:right w:val="nil"/>
            </w:tcBorders>
            <w:shd w:val="clear" w:color="auto" w:fill="auto"/>
            <w:vAlign w:val="center"/>
            <w:hideMark/>
          </w:tcPr>
          <w:p w14:paraId="6B735274" w14:textId="77777777" w:rsidR="00F46DFB" w:rsidRPr="002E302D" w:rsidRDefault="00F46DFB" w:rsidP="00F46DFB">
            <w:pPr>
              <w:jc w:val="right"/>
              <w:rPr>
                <w:rFonts w:eastAsia="Times New Roman" w:cs="Arial"/>
                <w:color w:val="424141"/>
                <w:szCs w:val="22"/>
                <w:lang w:val="en-GB" w:eastAsia="en-GB"/>
              </w:rPr>
            </w:pPr>
          </w:p>
        </w:tc>
        <w:tc>
          <w:tcPr>
            <w:tcW w:w="398" w:type="pct"/>
            <w:tcBorders>
              <w:top w:val="nil"/>
              <w:left w:val="nil"/>
              <w:bottom w:val="nil"/>
              <w:right w:val="nil"/>
            </w:tcBorders>
            <w:shd w:val="clear" w:color="000000" w:fill="D9D9D9"/>
            <w:noWrap/>
            <w:vAlign w:val="center"/>
            <w:hideMark/>
          </w:tcPr>
          <w:p w14:paraId="422F0B3A" w14:textId="6FADAD7C" w:rsidR="00F46DFB" w:rsidRPr="002E302D" w:rsidRDefault="00F46DFB" w:rsidP="00F46DFB">
            <w:pPr>
              <w:jc w:val="right"/>
              <w:rPr>
                <w:rFonts w:eastAsia="Times New Roman" w:cs="Arial"/>
                <w:color w:val="424141"/>
                <w:szCs w:val="22"/>
                <w:lang w:val="en-GB" w:eastAsia="en-GB"/>
              </w:rPr>
            </w:pPr>
            <w:r>
              <w:rPr>
                <w:rFonts w:cs="Arial"/>
                <w:color w:val="424141"/>
                <w:szCs w:val="22"/>
              </w:rPr>
              <w:t> </w:t>
            </w:r>
          </w:p>
        </w:tc>
        <w:tc>
          <w:tcPr>
            <w:tcW w:w="398" w:type="pct"/>
            <w:tcBorders>
              <w:top w:val="nil"/>
              <w:left w:val="nil"/>
              <w:bottom w:val="nil"/>
              <w:right w:val="nil"/>
            </w:tcBorders>
            <w:shd w:val="clear" w:color="auto" w:fill="auto"/>
            <w:vAlign w:val="center"/>
            <w:hideMark/>
          </w:tcPr>
          <w:p w14:paraId="21CE76E1" w14:textId="77777777" w:rsidR="00F46DFB" w:rsidRPr="002E302D" w:rsidRDefault="00F46DFB" w:rsidP="00F46DFB">
            <w:pPr>
              <w:jc w:val="right"/>
              <w:rPr>
                <w:rFonts w:eastAsia="Times New Roman" w:cs="Arial"/>
                <w:color w:val="424141"/>
                <w:szCs w:val="22"/>
                <w:lang w:val="en-GB" w:eastAsia="en-GB"/>
              </w:rPr>
            </w:pPr>
          </w:p>
        </w:tc>
        <w:tc>
          <w:tcPr>
            <w:tcW w:w="398" w:type="pct"/>
            <w:tcBorders>
              <w:top w:val="nil"/>
              <w:left w:val="nil"/>
              <w:bottom w:val="nil"/>
              <w:right w:val="nil"/>
            </w:tcBorders>
            <w:shd w:val="clear" w:color="000000" w:fill="D9D9D9"/>
            <w:noWrap/>
            <w:vAlign w:val="center"/>
            <w:hideMark/>
          </w:tcPr>
          <w:p w14:paraId="08B3622B" w14:textId="74E55884" w:rsidR="00F46DFB" w:rsidRPr="002E302D" w:rsidRDefault="00F46DFB" w:rsidP="00F46DFB">
            <w:pPr>
              <w:jc w:val="right"/>
              <w:rPr>
                <w:rFonts w:eastAsia="Times New Roman" w:cs="Arial"/>
                <w:color w:val="424141"/>
                <w:szCs w:val="22"/>
                <w:lang w:val="en-GB" w:eastAsia="en-GB"/>
              </w:rPr>
            </w:pPr>
            <w:r>
              <w:rPr>
                <w:rFonts w:cs="Arial"/>
                <w:color w:val="424141"/>
                <w:szCs w:val="22"/>
              </w:rPr>
              <w:t> </w:t>
            </w:r>
          </w:p>
        </w:tc>
        <w:tc>
          <w:tcPr>
            <w:tcW w:w="382" w:type="pct"/>
            <w:tcBorders>
              <w:top w:val="nil"/>
              <w:left w:val="nil"/>
              <w:bottom w:val="nil"/>
              <w:right w:val="nil"/>
            </w:tcBorders>
            <w:shd w:val="clear" w:color="auto" w:fill="auto"/>
            <w:noWrap/>
            <w:vAlign w:val="center"/>
            <w:hideMark/>
          </w:tcPr>
          <w:p w14:paraId="64C9C996" w14:textId="77777777" w:rsidR="00F46DFB" w:rsidRPr="002E302D" w:rsidRDefault="00F46DFB" w:rsidP="00F46DFB">
            <w:pPr>
              <w:jc w:val="right"/>
              <w:rPr>
                <w:rFonts w:eastAsia="Times New Roman" w:cs="Arial"/>
                <w:color w:val="424141"/>
                <w:szCs w:val="22"/>
                <w:lang w:val="en-GB" w:eastAsia="en-GB"/>
              </w:rPr>
            </w:pPr>
          </w:p>
        </w:tc>
      </w:tr>
      <w:tr w:rsidR="00F46DFB" w:rsidRPr="002E302D" w14:paraId="01BA3D1B" w14:textId="77777777" w:rsidTr="00052572">
        <w:trPr>
          <w:trHeight w:val="285"/>
        </w:trPr>
        <w:tc>
          <w:tcPr>
            <w:tcW w:w="1538" w:type="pct"/>
            <w:tcBorders>
              <w:top w:val="nil"/>
              <w:left w:val="nil"/>
              <w:bottom w:val="nil"/>
              <w:right w:val="nil"/>
            </w:tcBorders>
            <w:shd w:val="clear" w:color="auto" w:fill="auto"/>
            <w:noWrap/>
            <w:vAlign w:val="center"/>
            <w:hideMark/>
          </w:tcPr>
          <w:p w14:paraId="4979F532" w14:textId="77777777" w:rsidR="00F46DFB" w:rsidRPr="002E302D" w:rsidRDefault="00F46DFB" w:rsidP="00F46DFB">
            <w:pPr>
              <w:rPr>
                <w:rFonts w:eastAsia="Times New Roman" w:cs="Arial"/>
                <w:color w:val="424141"/>
                <w:szCs w:val="22"/>
                <w:lang w:val="en-GB" w:eastAsia="en-GB"/>
              </w:rPr>
            </w:pPr>
            <w:r w:rsidRPr="002E302D">
              <w:rPr>
                <w:rFonts w:eastAsia="Times New Roman" w:cs="Arial"/>
                <w:color w:val="424141"/>
                <w:szCs w:val="22"/>
                <w:lang w:val="en-GB" w:eastAsia="en-GB"/>
              </w:rPr>
              <w:t>Stock</w:t>
            </w:r>
          </w:p>
        </w:tc>
        <w:tc>
          <w:tcPr>
            <w:tcW w:w="298" w:type="pct"/>
            <w:tcBorders>
              <w:top w:val="nil"/>
              <w:left w:val="nil"/>
              <w:bottom w:val="nil"/>
              <w:right w:val="nil"/>
            </w:tcBorders>
            <w:shd w:val="clear" w:color="auto" w:fill="auto"/>
            <w:noWrap/>
            <w:vAlign w:val="center"/>
            <w:hideMark/>
          </w:tcPr>
          <w:p w14:paraId="66C05B79" w14:textId="77777777" w:rsidR="00F46DFB" w:rsidRPr="002E302D" w:rsidRDefault="00F46DFB" w:rsidP="00F46DFB">
            <w:pPr>
              <w:rPr>
                <w:rFonts w:eastAsia="Times New Roman" w:cs="Arial"/>
                <w:color w:val="424141"/>
                <w:szCs w:val="22"/>
                <w:lang w:val="en-GB" w:eastAsia="en-GB"/>
              </w:rPr>
            </w:pPr>
          </w:p>
        </w:tc>
        <w:tc>
          <w:tcPr>
            <w:tcW w:w="397" w:type="pct"/>
            <w:tcBorders>
              <w:top w:val="nil"/>
              <w:left w:val="nil"/>
              <w:bottom w:val="nil"/>
              <w:right w:val="nil"/>
            </w:tcBorders>
            <w:shd w:val="clear" w:color="auto" w:fill="D9D9D9" w:themeFill="background1" w:themeFillShade="D9"/>
            <w:noWrap/>
            <w:vAlign w:val="center"/>
            <w:hideMark/>
          </w:tcPr>
          <w:p w14:paraId="7C8228C4" w14:textId="1D81C481" w:rsidR="00F46DFB" w:rsidRPr="002E302D" w:rsidRDefault="00F46DFB" w:rsidP="00F46DFB">
            <w:pPr>
              <w:jc w:val="right"/>
              <w:rPr>
                <w:rFonts w:eastAsia="Times New Roman" w:cs="Arial"/>
                <w:color w:val="424141"/>
                <w:szCs w:val="22"/>
                <w:lang w:val="en-GB" w:eastAsia="en-GB"/>
              </w:rPr>
            </w:pPr>
            <w:r>
              <w:rPr>
                <w:rFonts w:cs="Arial"/>
                <w:color w:val="424141"/>
                <w:szCs w:val="22"/>
              </w:rPr>
              <w:t> </w:t>
            </w:r>
          </w:p>
        </w:tc>
        <w:tc>
          <w:tcPr>
            <w:tcW w:w="397" w:type="pct"/>
            <w:tcBorders>
              <w:top w:val="nil"/>
              <w:left w:val="nil"/>
              <w:bottom w:val="nil"/>
              <w:right w:val="nil"/>
            </w:tcBorders>
            <w:shd w:val="clear" w:color="auto" w:fill="auto"/>
            <w:vAlign w:val="center"/>
            <w:hideMark/>
          </w:tcPr>
          <w:p w14:paraId="2862D20D" w14:textId="165C48C8" w:rsidR="00F46DFB" w:rsidRPr="002E302D" w:rsidRDefault="00F46DFB" w:rsidP="00F46DFB">
            <w:pPr>
              <w:jc w:val="right"/>
              <w:rPr>
                <w:rFonts w:eastAsia="Times New Roman" w:cs="Arial"/>
                <w:color w:val="424141"/>
                <w:szCs w:val="22"/>
                <w:lang w:val="en-GB" w:eastAsia="en-GB"/>
              </w:rPr>
            </w:pPr>
          </w:p>
        </w:tc>
        <w:tc>
          <w:tcPr>
            <w:tcW w:w="396" w:type="pct"/>
            <w:tcBorders>
              <w:top w:val="nil"/>
              <w:left w:val="nil"/>
              <w:bottom w:val="nil"/>
              <w:right w:val="nil"/>
            </w:tcBorders>
            <w:shd w:val="clear" w:color="000000" w:fill="D9D9D9"/>
            <w:noWrap/>
            <w:vAlign w:val="center"/>
            <w:hideMark/>
          </w:tcPr>
          <w:p w14:paraId="72211775" w14:textId="6D60D1CF" w:rsidR="00F46DFB" w:rsidRPr="002E302D" w:rsidRDefault="00F46DFB" w:rsidP="00F46DFB">
            <w:pPr>
              <w:jc w:val="right"/>
              <w:rPr>
                <w:rFonts w:eastAsia="Times New Roman" w:cs="Arial"/>
                <w:color w:val="424141"/>
                <w:szCs w:val="22"/>
                <w:lang w:val="en-GB" w:eastAsia="en-GB"/>
              </w:rPr>
            </w:pPr>
            <w:r>
              <w:rPr>
                <w:rFonts w:cs="Arial"/>
                <w:color w:val="424141"/>
                <w:szCs w:val="22"/>
              </w:rPr>
              <w:t> </w:t>
            </w:r>
          </w:p>
        </w:tc>
        <w:tc>
          <w:tcPr>
            <w:tcW w:w="398" w:type="pct"/>
            <w:tcBorders>
              <w:top w:val="nil"/>
              <w:left w:val="nil"/>
              <w:bottom w:val="nil"/>
              <w:right w:val="nil"/>
            </w:tcBorders>
            <w:shd w:val="clear" w:color="auto" w:fill="auto"/>
            <w:vAlign w:val="center"/>
            <w:hideMark/>
          </w:tcPr>
          <w:p w14:paraId="7A8DE26E" w14:textId="77777777" w:rsidR="00F46DFB" w:rsidRPr="002E302D" w:rsidRDefault="00F46DFB" w:rsidP="00F46DFB">
            <w:pPr>
              <w:jc w:val="right"/>
              <w:rPr>
                <w:rFonts w:eastAsia="Times New Roman" w:cs="Arial"/>
                <w:color w:val="424141"/>
                <w:szCs w:val="22"/>
                <w:lang w:val="en-GB" w:eastAsia="en-GB"/>
              </w:rPr>
            </w:pPr>
          </w:p>
        </w:tc>
        <w:tc>
          <w:tcPr>
            <w:tcW w:w="398" w:type="pct"/>
            <w:tcBorders>
              <w:top w:val="nil"/>
              <w:left w:val="nil"/>
              <w:bottom w:val="nil"/>
              <w:right w:val="nil"/>
            </w:tcBorders>
            <w:shd w:val="clear" w:color="000000" w:fill="D9D9D9"/>
            <w:noWrap/>
            <w:vAlign w:val="center"/>
            <w:hideMark/>
          </w:tcPr>
          <w:p w14:paraId="30348AC7" w14:textId="365DD209" w:rsidR="00F46DFB" w:rsidRPr="002E302D" w:rsidRDefault="00F46DFB" w:rsidP="00F46DFB">
            <w:pPr>
              <w:jc w:val="right"/>
              <w:rPr>
                <w:rFonts w:eastAsia="Times New Roman" w:cs="Arial"/>
                <w:color w:val="424141"/>
                <w:szCs w:val="22"/>
                <w:lang w:val="en-GB" w:eastAsia="en-GB"/>
              </w:rPr>
            </w:pPr>
            <w:r>
              <w:rPr>
                <w:rFonts w:cs="Arial"/>
                <w:color w:val="424141"/>
                <w:szCs w:val="22"/>
              </w:rPr>
              <w:t> </w:t>
            </w:r>
          </w:p>
        </w:tc>
        <w:tc>
          <w:tcPr>
            <w:tcW w:w="398" w:type="pct"/>
            <w:tcBorders>
              <w:top w:val="nil"/>
              <w:left w:val="nil"/>
              <w:bottom w:val="nil"/>
              <w:right w:val="nil"/>
            </w:tcBorders>
            <w:shd w:val="clear" w:color="auto" w:fill="auto"/>
            <w:vAlign w:val="center"/>
            <w:hideMark/>
          </w:tcPr>
          <w:p w14:paraId="6ABCAEA9" w14:textId="77777777" w:rsidR="00F46DFB" w:rsidRPr="002E302D" w:rsidRDefault="00F46DFB" w:rsidP="00F46DFB">
            <w:pPr>
              <w:jc w:val="right"/>
              <w:rPr>
                <w:rFonts w:eastAsia="Times New Roman" w:cs="Arial"/>
                <w:color w:val="424141"/>
                <w:szCs w:val="22"/>
                <w:lang w:val="en-GB" w:eastAsia="en-GB"/>
              </w:rPr>
            </w:pPr>
          </w:p>
        </w:tc>
        <w:tc>
          <w:tcPr>
            <w:tcW w:w="398" w:type="pct"/>
            <w:tcBorders>
              <w:top w:val="nil"/>
              <w:left w:val="nil"/>
              <w:bottom w:val="nil"/>
              <w:right w:val="nil"/>
            </w:tcBorders>
            <w:shd w:val="clear" w:color="000000" w:fill="D9D9D9"/>
            <w:noWrap/>
            <w:vAlign w:val="center"/>
            <w:hideMark/>
          </w:tcPr>
          <w:p w14:paraId="63857657" w14:textId="484F6309" w:rsidR="00F46DFB" w:rsidRPr="002E302D" w:rsidRDefault="00F46DFB" w:rsidP="00F46DFB">
            <w:pPr>
              <w:jc w:val="right"/>
              <w:rPr>
                <w:rFonts w:eastAsia="Times New Roman" w:cs="Arial"/>
                <w:color w:val="424141"/>
                <w:szCs w:val="22"/>
                <w:lang w:val="en-GB" w:eastAsia="en-GB"/>
              </w:rPr>
            </w:pPr>
            <w:r>
              <w:rPr>
                <w:rFonts w:cs="Arial"/>
                <w:color w:val="424141"/>
                <w:szCs w:val="22"/>
              </w:rPr>
              <w:t xml:space="preserve">0 </w:t>
            </w:r>
          </w:p>
        </w:tc>
        <w:tc>
          <w:tcPr>
            <w:tcW w:w="382" w:type="pct"/>
            <w:tcBorders>
              <w:top w:val="nil"/>
              <w:left w:val="nil"/>
              <w:bottom w:val="nil"/>
              <w:right w:val="nil"/>
            </w:tcBorders>
            <w:shd w:val="clear" w:color="auto" w:fill="auto"/>
            <w:noWrap/>
            <w:vAlign w:val="center"/>
            <w:hideMark/>
          </w:tcPr>
          <w:p w14:paraId="1219C57E" w14:textId="289719DA" w:rsidR="00F46DFB" w:rsidRPr="002E302D" w:rsidRDefault="00F46DFB" w:rsidP="00F46DFB">
            <w:pPr>
              <w:jc w:val="right"/>
              <w:rPr>
                <w:rFonts w:eastAsia="Times New Roman" w:cs="Arial"/>
                <w:color w:val="A6A6A6"/>
                <w:szCs w:val="22"/>
                <w:lang w:val="en-GB" w:eastAsia="en-GB"/>
              </w:rPr>
            </w:pPr>
            <w:r>
              <w:rPr>
                <w:rFonts w:cs="Arial"/>
                <w:color w:val="A6A6A6"/>
                <w:szCs w:val="22"/>
              </w:rPr>
              <w:t xml:space="preserve">0 </w:t>
            </w:r>
          </w:p>
        </w:tc>
      </w:tr>
      <w:tr w:rsidR="00F46DFB" w:rsidRPr="002E302D" w14:paraId="61BC901E" w14:textId="77777777" w:rsidTr="008E56BF">
        <w:trPr>
          <w:trHeight w:val="285"/>
        </w:trPr>
        <w:tc>
          <w:tcPr>
            <w:tcW w:w="1538" w:type="pct"/>
            <w:tcBorders>
              <w:top w:val="nil"/>
              <w:left w:val="nil"/>
              <w:bottom w:val="nil"/>
              <w:right w:val="nil"/>
            </w:tcBorders>
            <w:shd w:val="clear" w:color="auto" w:fill="auto"/>
            <w:noWrap/>
            <w:vAlign w:val="center"/>
            <w:hideMark/>
          </w:tcPr>
          <w:p w14:paraId="60C6EF7A" w14:textId="77777777" w:rsidR="00F46DFB" w:rsidRPr="002E302D" w:rsidRDefault="00F46DFB" w:rsidP="00F46DFB">
            <w:pPr>
              <w:rPr>
                <w:rFonts w:eastAsia="Times New Roman" w:cs="Arial"/>
                <w:color w:val="424141"/>
                <w:szCs w:val="22"/>
                <w:lang w:val="en-GB" w:eastAsia="en-GB"/>
              </w:rPr>
            </w:pPr>
            <w:r w:rsidRPr="002E302D">
              <w:rPr>
                <w:rFonts w:eastAsia="Times New Roman" w:cs="Arial"/>
                <w:color w:val="424141"/>
                <w:szCs w:val="22"/>
                <w:lang w:val="en-GB" w:eastAsia="en-GB"/>
              </w:rPr>
              <w:t>Debtors</w:t>
            </w:r>
          </w:p>
        </w:tc>
        <w:tc>
          <w:tcPr>
            <w:tcW w:w="298" w:type="pct"/>
            <w:tcBorders>
              <w:top w:val="nil"/>
              <w:left w:val="nil"/>
              <w:bottom w:val="nil"/>
              <w:right w:val="nil"/>
            </w:tcBorders>
            <w:shd w:val="clear" w:color="auto" w:fill="auto"/>
            <w:noWrap/>
            <w:vAlign w:val="center"/>
            <w:hideMark/>
          </w:tcPr>
          <w:p w14:paraId="4ADDFDC7" w14:textId="77777777" w:rsidR="00F46DFB" w:rsidRPr="002E302D" w:rsidRDefault="00F46DFB" w:rsidP="00F46DFB">
            <w:pPr>
              <w:jc w:val="right"/>
              <w:rPr>
                <w:rFonts w:eastAsia="Times New Roman" w:cs="Arial"/>
                <w:color w:val="424141"/>
                <w:szCs w:val="22"/>
                <w:lang w:val="en-GB" w:eastAsia="en-GB"/>
              </w:rPr>
            </w:pPr>
            <w:r w:rsidRPr="002E302D">
              <w:rPr>
                <w:rFonts w:eastAsia="Times New Roman" w:cs="Arial"/>
                <w:color w:val="424141"/>
                <w:szCs w:val="22"/>
                <w:lang w:val="en-GB" w:eastAsia="en-GB"/>
              </w:rPr>
              <w:t>17</w:t>
            </w:r>
          </w:p>
        </w:tc>
        <w:tc>
          <w:tcPr>
            <w:tcW w:w="397" w:type="pct"/>
            <w:tcBorders>
              <w:top w:val="nil"/>
              <w:left w:val="nil"/>
              <w:bottom w:val="nil"/>
              <w:right w:val="nil"/>
            </w:tcBorders>
            <w:shd w:val="clear" w:color="000000" w:fill="D9D9D9"/>
            <w:noWrap/>
            <w:vAlign w:val="center"/>
            <w:hideMark/>
          </w:tcPr>
          <w:p w14:paraId="415D9FB2" w14:textId="47C781E8" w:rsidR="00F46DFB" w:rsidRPr="002E302D" w:rsidRDefault="00F46DFB" w:rsidP="00F46DFB">
            <w:pPr>
              <w:jc w:val="right"/>
              <w:rPr>
                <w:rFonts w:eastAsia="Times New Roman" w:cs="Arial"/>
                <w:color w:val="424141"/>
                <w:szCs w:val="22"/>
                <w:lang w:val="en-GB" w:eastAsia="en-GB"/>
              </w:rPr>
            </w:pPr>
            <w:r>
              <w:rPr>
                <w:rFonts w:cs="Arial"/>
                <w:color w:val="424141"/>
                <w:szCs w:val="22"/>
              </w:rPr>
              <w:t xml:space="preserve">67 </w:t>
            </w:r>
          </w:p>
        </w:tc>
        <w:tc>
          <w:tcPr>
            <w:tcW w:w="397" w:type="pct"/>
            <w:tcBorders>
              <w:top w:val="nil"/>
              <w:left w:val="nil"/>
              <w:bottom w:val="nil"/>
              <w:right w:val="nil"/>
            </w:tcBorders>
            <w:shd w:val="clear" w:color="auto" w:fill="auto"/>
            <w:vAlign w:val="center"/>
            <w:hideMark/>
          </w:tcPr>
          <w:p w14:paraId="3FC458CA" w14:textId="4BCF8695" w:rsidR="00F46DFB" w:rsidRPr="002E302D" w:rsidRDefault="00F46DFB" w:rsidP="00F46DFB">
            <w:pPr>
              <w:jc w:val="right"/>
              <w:rPr>
                <w:rFonts w:eastAsia="Times New Roman" w:cs="Arial"/>
                <w:color w:val="A6A6A6"/>
                <w:szCs w:val="22"/>
                <w:lang w:val="en-GB" w:eastAsia="en-GB"/>
              </w:rPr>
            </w:pPr>
            <w:r>
              <w:rPr>
                <w:rFonts w:cs="Arial"/>
                <w:color w:val="A6A6A6"/>
                <w:szCs w:val="22"/>
              </w:rPr>
              <w:t xml:space="preserve">53 </w:t>
            </w:r>
          </w:p>
        </w:tc>
        <w:tc>
          <w:tcPr>
            <w:tcW w:w="396" w:type="pct"/>
            <w:tcBorders>
              <w:top w:val="nil"/>
              <w:left w:val="nil"/>
              <w:bottom w:val="nil"/>
              <w:right w:val="nil"/>
            </w:tcBorders>
            <w:shd w:val="clear" w:color="000000" w:fill="D9D9D9"/>
            <w:noWrap/>
            <w:vAlign w:val="center"/>
            <w:hideMark/>
          </w:tcPr>
          <w:p w14:paraId="6A8F1126" w14:textId="736AF225" w:rsidR="00F46DFB" w:rsidRPr="002E302D" w:rsidRDefault="00F46DFB" w:rsidP="00F46DFB">
            <w:pPr>
              <w:jc w:val="right"/>
              <w:rPr>
                <w:rFonts w:eastAsia="Times New Roman" w:cs="Arial"/>
                <w:color w:val="424141"/>
                <w:szCs w:val="22"/>
                <w:lang w:val="en-GB" w:eastAsia="en-GB"/>
              </w:rPr>
            </w:pPr>
            <w:r>
              <w:rPr>
                <w:rFonts w:cs="Arial"/>
                <w:color w:val="424141"/>
                <w:szCs w:val="22"/>
              </w:rPr>
              <w:t> </w:t>
            </w:r>
          </w:p>
        </w:tc>
        <w:tc>
          <w:tcPr>
            <w:tcW w:w="398" w:type="pct"/>
            <w:tcBorders>
              <w:top w:val="nil"/>
              <w:left w:val="nil"/>
              <w:bottom w:val="nil"/>
              <w:right w:val="nil"/>
            </w:tcBorders>
            <w:shd w:val="clear" w:color="auto" w:fill="auto"/>
            <w:vAlign w:val="center"/>
            <w:hideMark/>
          </w:tcPr>
          <w:p w14:paraId="0D91E1DC" w14:textId="77777777" w:rsidR="00F46DFB" w:rsidRPr="002E302D" w:rsidRDefault="00F46DFB" w:rsidP="00F46DFB">
            <w:pPr>
              <w:jc w:val="right"/>
              <w:rPr>
                <w:rFonts w:eastAsia="Times New Roman" w:cs="Arial"/>
                <w:color w:val="424141"/>
                <w:szCs w:val="22"/>
                <w:lang w:val="en-GB" w:eastAsia="en-GB"/>
              </w:rPr>
            </w:pPr>
          </w:p>
        </w:tc>
        <w:tc>
          <w:tcPr>
            <w:tcW w:w="398" w:type="pct"/>
            <w:tcBorders>
              <w:top w:val="nil"/>
              <w:left w:val="nil"/>
              <w:right w:val="nil"/>
            </w:tcBorders>
            <w:shd w:val="clear" w:color="000000" w:fill="D9D9D9"/>
            <w:noWrap/>
            <w:vAlign w:val="center"/>
            <w:hideMark/>
          </w:tcPr>
          <w:p w14:paraId="30925C7C" w14:textId="68D8647C" w:rsidR="00F46DFB" w:rsidRPr="002E302D" w:rsidRDefault="00F46DFB" w:rsidP="00F46DFB">
            <w:pPr>
              <w:jc w:val="right"/>
              <w:rPr>
                <w:rFonts w:eastAsia="Times New Roman" w:cs="Arial"/>
                <w:color w:val="424141"/>
                <w:szCs w:val="22"/>
                <w:lang w:val="en-GB" w:eastAsia="en-GB"/>
              </w:rPr>
            </w:pPr>
            <w:r>
              <w:rPr>
                <w:rFonts w:cs="Arial"/>
                <w:color w:val="424141"/>
                <w:szCs w:val="22"/>
              </w:rPr>
              <w:t> </w:t>
            </w:r>
          </w:p>
        </w:tc>
        <w:tc>
          <w:tcPr>
            <w:tcW w:w="398" w:type="pct"/>
            <w:tcBorders>
              <w:top w:val="nil"/>
              <w:left w:val="nil"/>
              <w:bottom w:val="nil"/>
              <w:right w:val="nil"/>
            </w:tcBorders>
            <w:shd w:val="clear" w:color="auto" w:fill="auto"/>
            <w:vAlign w:val="center"/>
            <w:hideMark/>
          </w:tcPr>
          <w:p w14:paraId="79F2D749" w14:textId="77777777" w:rsidR="00F46DFB" w:rsidRPr="002E302D" w:rsidRDefault="00F46DFB" w:rsidP="00F46DFB">
            <w:pPr>
              <w:jc w:val="right"/>
              <w:rPr>
                <w:rFonts w:eastAsia="Times New Roman" w:cs="Arial"/>
                <w:color w:val="424141"/>
                <w:szCs w:val="22"/>
                <w:lang w:val="en-GB" w:eastAsia="en-GB"/>
              </w:rPr>
            </w:pPr>
          </w:p>
        </w:tc>
        <w:tc>
          <w:tcPr>
            <w:tcW w:w="398" w:type="pct"/>
            <w:tcBorders>
              <w:top w:val="nil"/>
              <w:left w:val="nil"/>
              <w:bottom w:val="nil"/>
              <w:right w:val="nil"/>
            </w:tcBorders>
            <w:shd w:val="clear" w:color="000000" w:fill="D9D9D9"/>
            <w:noWrap/>
            <w:vAlign w:val="center"/>
            <w:hideMark/>
          </w:tcPr>
          <w:p w14:paraId="743A0E57" w14:textId="5093CA61" w:rsidR="00F46DFB" w:rsidRPr="002E302D" w:rsidRDefault="00F46DFB" w:rsidP="00F46DFB">
            <w:pPr>
              <w:jc w:val="right"/>
              <w:rPr>
                <w:rFonts w:eastAsia="Times New Roman" w:cs="Arial"/>
                <w:color w:val="424141"/>
                <w:szCs w:val="22"/>
                <w:lang w:val="en-GB" w:eastAsia="en-GB"/>
              </w:rPr>
            </w:pPr>
            <w:r>
              <w:rPr>
                <w:rFonts w:cs="Arial"/>
                <w:color w:val="424141"/>
                <w:szCs w:val="22"/>
              </w:rPr>
              <w:t xml:space="preserve">67 </w:t>
            </w:r>
          </w:p>
        </w:tc>
        <w:tc>
          <w:tcPr>
            <w:tcW w:w="382" w:type="pct"/>
            <w:tcBorders>
              <w:top w:val="nil"/>
              <w:left w:val="nil"/>
              <w:bottom w:val="nil"/>
              <w:right w:val="nil"/>
            </w:tcBorders>
            <w:shd w:val="clear" w:color="auto" w:fill="auto"/>
            <w:noWrap/>
            <w:vAlign w:val="center"/>
            <w:hideMark/>
          </w:tcPr>
          <w:p w14:paraId="72452580" w14:textId="50C7C334" w:rsidR="00F46DFB" w:rsidRPr="002E302D" w:rsidRDefault="00F46DFB" w:rsidP="00F46DFB">
            <w:pPr>
              <w:jc w:val="right"/>
              <w:rPr>
                <w:rFonts w:eastAsia="Times New Roman" w:cs="Arial"/>
                <w:color w:val="A6A6A6"/>
                <w:szCs w:val="22"/>
                <w:lang w:val="en-GB" w:eastAsia="en-GB"/>
              </w:rPr>
            </w:pPr>
            <w:r>
              <w:rPr>
                <w:rFonts w:cs="Arial"/>
                <w:color w:val="A6A6A6"/>
                <w:szCs w:val="22"/>
              </w:rPr>
              <w:t xml:space="preserve">53 </w:t>
            </w:r>
          </w:p>
        </w:tc>
      </w:tr>
      <w:tr w:rsidR="00F46DFB" w:rsidRPr="002E302D" w14:paraId="4BF24B61" w14:textId="77777777" w:rsidTr="008E56BF">
        <w:trPr>
          <w:trHeight w:val="293"/>
        </w:trPr>
        <w:tc>
          <w:tcPr>
            <w:tcW w:w="1538" w:type="pct"/>
            <w:tcBorders>
              <w:top w:val="nil"/>
              <w:left w:val="nil"/>
              <w:bottom w:val="nil"/>
              <w:right w:val="nil"/>
            </w:tcBorders>
            <w:shd w:val="clear" w:color="auto" w:fill="auto"/>
            <w:noWrap/>
            <w:vAlign w:val="center"/>
            <w:hideMark/>
          </w:tcPr>
          <w:p w14:paraId="19F1A90A" w14:textId="77777777" w:rsidR="00F46DFB" w:rsidRPr="002E302D" w:rsidRDefault="00F46DFB" w:rsidP="00F46DFB">
            <w:pPr>
              <w:rPr>
                <w:rFonts w:eastAsia="Times New Roman" w:cs="Arial"/>
                <w:color w:val="424141"/>
                <w:szCs w:val="22"/>
                <w:lang w:val="en-GB" w:eastAsia="en-GB"/>
              </w:rPr>
            </w:pPr>
            <w:r w:rsidRPr="002E302D">
              <w:rPr>
                <w:rFonts w:eastAsia="Times New Roman" w:cs="Arial"/>
                <w:color w:val="424141"/>
                <w:szCs w:val="22"/>
                <w:lang w:val="en-GB" w:eastAsia="en-GB"/>
              </w:rPr>
              <w:t>Cash and cash equivalents</w:t>
            </w:r>
          </w:p>
        </w:tc>
        <w:tc>
          <w:tcPr>
            <w:tcW w:w="298" w:type="pct"/>
            <w:tcBorders>
              <w:top w:val="nil"/>
              <w:left w:val="nil"/>
              <w:bottom w:val="nil"/>
              <w:right w:val="nil"/>
            </w:tcBorders>
            <w:shd w:val="clear" w:color="auto" w:fill="auto"/>
            <w:noWrap/>
            <w:vAlign w:val="center"/>
            <w:hideMark/>
          </w:tcPr>
          <w:p w14:paraId="66EEABD0" w14:textId="77777777" w:rsidR="00F46DFB" w:rsidRPr="002E302D" w:rsidRDefault="00F46DFB" w:rsidP="00F46DFB">
            <w:pPr>
              <w:jc w:val="right"/>
              <w:rPr>
                <w:rFonts w:eastAsia="Times New Roman" w:cs="Arial"/>
                <w:color w:val="424141"/>
                <w:szCs w:val="22"/>
                <w:lang w:val="en-GB" w:eastAsia="en-GB"/>
              </w:rPr>
            </w:pPr>
            <w:r w:rsidRPr="002E302D">
              <w:rPr>
                <w:rFonts w:eastAsia="Times New Roman" w:cs="Arial"/>
                <w:color w:val="424141"/>
                <w:szCs w:val="22"/>
                <w:lang w:val="en-GB" w:eastAsia="en-GB"/>
              </w:rPr>
              <w:t>18</w:t>
            </w:r>
          </w:p>
        </w:tc>
        <w:tc>
          <w:tcPr>
            <w:tcW w:w="397" w:type="pct"/>
            <w:tcBorders>
              <w:top w:val="nil"/>
              <w:left w:val="nil"/>
              <w:bottom w:val="single" w:sz="8" w:space="0" w:color="auto"/>
              <w:right w:val="nil"/>
            </w:tcBorders>
            <w:shd w:val="clear" w:color="auto" w:fill="D9D9D9" w:themeFill="background1" w:themeFillShade="D9"/>
            <w:noWrap/>
            <w:vAlign w:val="center"/>
            <w:hideMark/>
          </w:tcPr>
          <w:p w14:paraId="6D4239D4" w14:textId="0CF93F06" w:rsidR="00F46DFB" w:rsidRPr="002E302D" w:rsidRDefault="00F46DFB" w:rsidP="00F46DFB">
            <w:pPr>
              <w:jc w:val="right"/>
              <w:rPr>
                <w:rFonts w:eastAsia="Times New Roman" w:cs="Arial"/>
                <w:color w:val="424141"/>
                <w:szCs w:val="22"/>
                <w:lang w:val="en-GB" w:eastAsia="en-GB"/>
              </w:rPr>
            </w:pPr>
            <w:r>
              <w:rPr>
                <w:rFonts w:cs="Arial"/>
                <w:color w:val="424141"/>
                <w:szCs w:val="22"/>
              </w:rPr>
              <w:t>-</w:t>
            </w:r>
            <w:r w:rsidR="006C0FD5">
              <w:rPr>
                <w:rFonts w:cs="Arial"/>
                <w:color w:val="424141"/>
                <w:szCs w:val="22"/>
              </w:rPr>
              <w:t>110</w:t>
            </w:r>
            <w:r>
              <w:rPr>
                <w:rFonts w:cs="Arial"/>
                <w:color w:val="424141"/>
                <w:szCs w:val="22"/>
              </w:rPr>
              <w:t xml:space="preserve"> </w:t>
            </w:r>
          </w:p>
        </w:tc>
        <w:tc>
          <w:tcPr>
            <w:tcW w:w="397" w:type="pct"/>
            <w:tcBorders>
              <w:top w:val="nil"/>
              <w:left w:val="nil"/>
              <w:bottom w:val="single" w:sz="8" w:space="0" w:color="auto"/>
              <w:right w:val="nil"/>
            </w:tcBorders>
            <w:shd w:val="clear" w:color="auto" w:fill="auto"/>
            <w:vAlign w:val="center"/>
            <w:hideMark/>
          </w:tcPr>
          <w:p w14:paraId="20B1701B" w14:textId="6839B64F" w:rsidR="00F46DFB" w:rsidRPr="002E302D" w:rsidRDefault="00F46DFB" w:rsidP="00F46DFB">
            <w:pPr>
              <w:jc w:val="right"/>
              <w:rPr>
                <w:rFonts w:eastAsia="Times New Roman" w:cs="Arial"/>
                <w:color w:val="A6A6A6"/>
                <w:szCs w:val="22"/>
                <w:lang w:val="en-GB" w:eastAsia="en-GB"/>
              </w:rPr>
            </w:pPr>
            <w:r>
              <w:rPr>
                <w:rFonts w:cs="Arial"/>
                <w:color w:val="A6A6A6"/>
                <w:szCs w:val="22"/>
              </w:rPr>
              <w:t xml:space="preserve">-304 </w:t>
            </w:r>
          </w:p>
        </w:tc>
        <w:tc>
          <w:tcPr>
            <w:tcW w:w="396" w:type="pct"/>
            <w:tcBorders>
              <w:top w:val="nil"/>
              <w:left w:val="nil"/>
              <w:bottom w:val="single" w:sz="8" w:space="0" w:color="auto"/>
              <w:right w:val="nil"/>
            </w:tcBorders>
            <w:shd w:val="clear" w:color="auto" w:fill="D9D9D9" w:themeFill="background1" w:themeFillShade="D9"/>
            <w:noWrap/>
            <w:vAlign w:val="center"/>
            <w:hideMark/>
          </w:tcPr>
          <w:p w14:paraId="52267979" w14:textId="50F37862" w:rsidR="00F46DFB" w:rsidRPr="002E302D" w:rsidRDefault="00970062" w:rsidP="00F46DFB">
            <w:pPr>
              <w:jc w:val="right"/>
              <w:rPr>
                <w:rFonts w:eastAsia="Times New Roman" w:cs="Arial"/>
                <w:color w:val="424141"/>
                <w:szCs w:val="22"/>
                <w:lang w:val="en-GB" w:eastAsia="en-GB"/>
              </w:rPr>
            </w:pPr>
            <w:r>
              <w:rPr>
                <w:rFonts w:cs="Arial"/>
                <w:color w:val="424141"/>
                <w:szCs w:val="22"/>
              </w:rPr>
              <w:t>621</w:t>
            </w:r>
            <w:r w:rsidR="00F46DFB">
              <w:rPr>
                <w:rFonts w:cs="Arial"/>
                <w:color w:val="424141"/>
                <w:szCs w:val="22"/>
              </w:rPr>
              <w:t xml:space="preserve"> </w:t>
            </w:r>
          </w:p>
        </w:tc>
        <w:tc>
          <w:tcPr>
            <w:tcW w:w="398" w:type="pct"/>
            <w:tcBorders>
              <w:top w:val="nil"/>
              <w:left w:val="nil"/>
              <w:bottom w:val="single" w:sz="8" w:space="0" w:color="auto"/>
              <w:right w:val="nil"/>
            </w:tcBorders>
            <w:shd w:val="clear" w:color="auto" w:fill="auto"/>
            <w:vAlign w:val="center"/>
            <w:hideMark/>
          </w:tcPr>
          <w:p w14:paraId="290F039B" w14:textId="5A8237CD" w:rsidR="00F46DFB" w:rsidRPr="002E302D" w:rsidRDefault="00F46DFB" w:rsidP="00F46DFB">
            <w:pPr>
              <w:jc w:val="right"/>
              <w:rPr>
                <w:rFonts w:eastAsia="Times New Roman" w:cs="Arial"/>
                <w:color w:val="A6A6A6"/>
                <w:szCs w:val="22"/>
                <w:lang w:val="en-GB" w:eastAsia="en-GB"/>
              </w:rPr>
            </w:pPr>
            <w:r>
              <w:rPr>
                <w:rFonts w:cs="Arial"/>
                <w:color w:val="A6A6A6"/>
                <w:szCs w:val="22"/>
              </w:rPr>
              <w:t xml:space="preserve">1,082 </w:t>
            </w:r>
          </w:p>
        </w:tc>
        <w:tc>
          <w:tcPr>
            <w:tcW w:w="398" w:type="pct"/>
            <w:tcBorders>
              <w:top w:val="nil"/>
              <w:left w:val="nil"/>
              <w:bottom w:val="single" w:sz="4" w:space="0" w:color="auto"/>
              <w:right w:val="nil"/>
            </w:tcBorders>
            <w:shd w:val="clear" w:color="auto" w:fill="D9D9D9" w:themeFill="background1" w:themeFillShade="D9"/>
            <w:noWrap/>
            <w:vAlign w:val="center"/>
            <w:hideMark/>
          </w:tcPr>
          <w:p w14:paraId="400A1352" w14:textId="3E87208A" w:rsidR="00F46DFB" w:rsidRPr="002E302D" w:rsidRDefault="008837B1" w:rsidP="00F46DFB">
            <w:pPr>
              <w:jc w:val="right"/>
              <w:rPr>
                <w:rFonts w:eastAsia="Times New Roman" w:cs="Arial"/>
                <w:color w:val="424141"/>
                <w:szCs w:val="22"/>
                <w:lang w:val="en-GB" w:eastAsia="en-GB"/>
              </w:rPr>
            </w:pPr>
            <w:r>
              <w:rPr>
                <w:rFonts w:cs="Arial"/>
                <w:color w:val="424141"/>
                <w:szCs w:val="22"/>
              </w:rPr>
              <w:t>200</w:t>
            </w:r>
            <w:r w:rsidR="00F46DFB">
              <w:rPr>
                <w:rFonts w:cs="Arial"/>
                <w:color w:val="424141"/>
                <w:szCs w:val="22"/>
              </w:rPr>
              <w:t xml:space="preserve"> </w:t>
            </w:r>
          </w:p>
        </w:tc>
        <w:tc>
          <w:tcPr>
            <w:tcW w:w="398" w:type="pct"/>
            <w:tcBorders>
              <w:top w:val="nil"/>
              <w:left w:val="nil"/>
              <w:bottom w:val="single" w:sz="8" w:space="0" w:color="auto"/>
              <w:right w:val="nil"/>
            </w:tcBorders>
            <w:shd w:val="clear" w:color="auto" w:fill="auto"/>
            <w:vAlign w:val="center"/>
            <w:hideMark/>
          </w:tcPr>
          <w:p w14:paraId="5D940B9A" w14:textId="2DD2C357" w:rsidR="00F46DFB" w:rsidRPr="002E302D" w:rsidRDefault="00F46DFB" w:rsidP="00F46DFB">
            <w:pPr>
              <w:jc w:val="right"/>
              <w:rPr>
                <w:rFonts w:eastAsia="Times New Roman" w:cs="Arial"/>
                <w:color w:val="A6A6A6"/>
                <w:szCs w:val="22"/>
                <w:lang w:val="en-GB" w:eastAsia="en-GB"/>
              </w:rPr>
            </w:pPr>
            <w:r>
              <w:rPr>
                <w:rFonts w:cs="Arial"/>
                <w:color w:val="A6A6A6"/>
                <w:szCs w:val="22"/>
              </w:rPr>
              <w:t> </w:t>
            </w:r>
          </w:p>
        </w:tc>
        <w:tc>
          <w:tcPr>
            <w:tcW w:w="398" w:type="pct"/>
            <w:tcBorders>
              <w:top w:val="nil"/>
              <w:left w:val="nil"/>
              <w:bottom w:val="single" w:sz="8" w:space="0" w:color="auto"/>
              <w:right w:val="nil"/>
            </w:tcBorders>
            <w:shd w:val="clear" w:color="000000" w:fill="D9D9D9"/>
            <w:noWrap/>
            <w:vAlign w:val="center"/>
            <w:hideMark/>
          </w:tcPr>
          <w:p w14:paraId="138DF27B" w14:textId="1129DE08" w:rsidR="00F46DFB" w:rsidRPr="002E302D" w:rsidRDefault="00F46DFB" w:rsidP="00F46DFB">
            <w:pPr>
              <w:jc w:val="right"/>
              <w:rPr>
                <w:rFonts w:eastAsia="Times New Roman" w:cs="Arial"/>
                <w:color w:val="424141"/>
                <w:szCs w:val="22"/>
                <w:lang w:val="en-GB" w:eastAsia="en-GB"/>
              </w:rPr>
            </w:pPr>
            <w:r>
              <w:rPr>
                <w:rFonts w:cs="Arial"/>
                <w:color w:val="424141"/>
                <w:szCs w:val="22"/>
              </w:rPr>
              <w:t>7</w:t>
            </w:r>
            <w:r w:rsidR="000415F8">
              <w:rPr>
                <w:rFonts w:cs="Arial"/>
                <w:color w:val="424141"/>
                <w:szCs w:val="22"/>
              </w:rPr>
              <w:t>11</w:t>
            </w:r>
            <w:r>
              <w:rPr>
                <w:rFonts w:cs="Arial"/>
                <w:color w:val="424141"/>
                <w:szCs w:val="22"/>
              </w:rPr>
              <w:t xml:space="preserve"> </w:t>
            </w:r>
          </w:p>
        </w:tc>
        <w:tc>
          <w:tcPr>
            <w:tcW w:w="382" w:type="pct"/>
            <w:tcBorders>
              <w:top w:val="nil"/>
              <w:left w:val="nil"/>
              <w:bottom w:val="single" w:sz="8" w:space="0" w:color="auto"/>
              <w:right w:val="nil"/>
            </w:tcBorders>
            <w:shd w:val="clear" w:color="auto" w:fill="auto"/>
            <w:noWrap/>
            <w:vAlign w:val="center"/>
            <w:hideMark/>
          </w:tcPr>
          <w:p w14:paraId="479C22DD" w14:textId="58D8250E" w:rsidR="00F46DFB" w:rsidRPr="002E302D" w:rsidRDefault="00F46DFB" w:rsidP="00F46DFB">
            <w:pPr>
              <w:jc w:val="right"/>
              <w:rPr>
                <w:rFonts w:eastAsia="Times New Roman" w:cs="Arial"/>
                <w:color w:val="A6A6A6"/>
                <w:szCs w:val="22"/>
                <w:lang w:val="en-GB" w:eastAsia="en-GB"/>
              </w:rPr>
            </w:pPr>
            <w:r>
              <w:rPr>
                <w:rFonts w:cs="Arial"/>
                <w:color w:val="A6A6A6"/>
                <w:szCs w:val="22"/>
              </w:rPr>
              <w:t xml:space="preserve">778 </w:t>
            </w:r>
          </w:p>
        </w:tc>
      </w:tr>
      <w:tr w:rsidR="00F46DFB" w:rsidRPr="002E302D" w14:paraId="1AF15545" w14:textId="77777777" w:rsidTr="008E56BF">
        <w:trPr>
          <w:trHeight w:val="285"/>
        </w:trPr>
        <w:tc>
          <w:tcPr>
            <w:tcW w:w="1538" w:type="pct"/>
            <w:tcBorders>
              <w:top w:val="nil"/>
              <w:left w:val="nil"/>
              <w:bottom w:val="nil"/>
              <w:right w:val="nil"/>
            </w:tcBorders>
            <w:shd w:val="clear" w:color="auto" w:fill="auto"/>
            <w:noWrap/>
            <w:vAlign w:val="center"/>
            <w:hideMark/>
          </w:tcPr>
          <w:p w14:paraId="2942B2F0" w14:textId="77777777" w:rsidR="00F46DFB" w:rsidRPr="002E302D" w:rsidRDefault="00F46DFB" w:rsidP="00F46DFB">
            <w:pPr>
              <w:rPr>
                <w:rFonts w:eastAsia="Times New Roman" w:cs="Arial"/>
                <w:b/>
                <w:bCs/>
                <w:color w:val="424141"/>
                <w:szCs w:val="22"/>
                <w:lang w:val="en-GB" w:eastAsia="en-GB"/>
              </w:rPr>
            </w:pPr>
            <w:r w:rsidRPr="002E302D">
              <w:rPr>
                <w:rFonts w:eastAsia="Times New Roman" w:cs="Arial"/>
                <w:b/>
                <w:bCs/>
                <w:color w:val="424141"/>
                <w:szCs w:val="22"/>
                <w:lang w:val="en-GB" w:eastAsia="en-GB"/>
              </w:rPr>
              <w:t>Total Current Assets</w:t>
            </w:r>
          </w:p>
        </w:tc>
        <w:tc>
          <w:tcPr>
            <w:tcW w:w="298" w:type="pct"/>
            <w:tcBorders>
              <w:top w:val="nil"/>
              <w:left w:val="nil"/>
              <w:bottom w:val="nil"/>
              <w:right w:val="nil"/>
            </w:tcBorders>
            <w:shd w:val="clear" w:color="auto" w:fill="auto"/>
            <w:noWrap/>
            <w:vAlign w:val="center"/>
            <w:hideMark/>
          </w:tcPr>
          <w:p w14:paraId="7ED76DD6" w14:textId="77777777" w:rsidR="00F46DFB" w:rsidRPr="002E302D" w:rsidRDefault="00F46DFB" w:rsidP="00F46DFB">
            <w:pPr>
              <w:rPr>
                <w:rFonts w:eastAsia="Times New Roman" w:cs="Arial"/>
                <w:b/>
                <w:bCs/>
                <w:color w:val="424141"/>
                <w:szCs w:val="22"/>
                <w:lang w:val="en-GB" w:eastAsia="en-GB"/>
              </w:rPr>
            </w:pPr>
          </w:p>
        </w:tc>
        <w:tc>
          <w:tcPr>
            <w:tcW w:w="397" w:type="pct"/>
            <w:tcBorders>
              <w:top w:val="nil"/>
              <w:left w:val="nil"/>
              <w:bottom w:val="nil"/>
              <w:right w:val="nil"/>
            </w:tcBorders>
            <w:shd w:val="clear" w:color="000000" w:fill="D9D9D9"/>
            <w:noWrap/>
            <w:vAlign w:val="center"/>
            <w:hideMark/>
          </w:tcPr>
          <w:p w14:paraId="299DA3FA" w14:textId="275E3214" w:rsidR="00F46DFB" w:rsidRPr="002E302D" w:rsidRDefault="00F46DFB" w:rsidP="00F46DFB">
            <w:pPr>
              <w:jc w:val="right"/>
              <w:rPr>
                <w:rFonts w:eastAsia="Times New Roman" w:cs="Arial"/>
                <w:b/>
                <w:bCs/>
                <w:color w:val="424141"/>
                <w:szCs w:val="22"/>
                <w:lang w:val="en-GB" w:eastAsia="en-GB"/>
              </w:rPr>
            </w:pPr>
            <w:r>
              <w:rPr>
                <w:rFonts w:cs="Arial"/>
                <w:b/>
                <w:bCs/>
                <w:color w:val="424141"/>
                <w:szCs w:val="22"/>
              </w:rPr>
              <w:t>-</w:t>
            </w:r>
            <w:r w:rsidR="00970062">
              <w:rPr>
                <w:rFonts w:cs="Arial"/>
                <w:b/>
                <w:bCs/>
                <w:color w:val="424141"/>
                <w:szCs w:val="22"/>
              </w:rPr>
              <w:t>4</w:t>
            </w:r>
            <w:r>
              <w:rPr>
                <w:rFonts w:cs="Arial"/>
                <w:b/>
                <w:bCs/>
                <w:color w:val="424141"/>
                <w:szCs w:val="22"/>
              </w:rPr>
              <w:t xml:space="preserve">3 </w:t>
            </w:r>
          </w:p>
        </w:tc>
        <w:tc>
          <w:tcPr>
            <w:tcW w:w="397" w:type="pct"/>
            <w:tcBorders>
              <w:top w:val="nil"/>
              <w:left w:val="nil"/>
              <w:bottom w:val="nil"/>
              <w:right w:val="nil"/>
            </w:tcBorders>
            <w:shd w:val="clear" w:color="auto" w:fill="auto"/>
            <w:vAlign w:val="center"/>
            <w:hideMark/>
          </w:tcPr>
          <w:p w14:paraId="1FA883C4" w14:textId="1A816AE4" w:rsidR="00F46DFB" w:rsidRPr="002E302D" w:rsidRDefault="00F46DFB" w:rsidP="00F46DFB">
            <w:pPr>
              <w:jc w:val="right"/>
              <w:rPr>
                <w:rFonts w:eastAsia="Times New Roman" w:cs="Arial"/>
                <w:b/>
                <w:bCs/>
                <w:color w:val="A6A6A6"/>
                <w:szCs w:val="22"/>
                <w:lang w:val="en-GB" w:eastAsia="en-GB"/>
              </w:rPr>
            </w:pPr>
            <w:r>
              <w:rPr>
                <w:rFonts w:cs="Arial"/>
                <w:b/>
                <w:bCs/>
                <w:color w:val="A6A6A6"/>
                <w:szCs w:val="22"/>
              </w:rPr>
              <w:t xml:space="preserve">-251 </w:t>
            </w:r>
          </w:p>
        </w:tc>
        <w:tc>
          <w:tcPr>
            <w:tcW w:w="396" w:type="pct"/>
            <w:tcBorders>
              <w:top w:val="nil"/>
              <w:left w:val="nil"/>
              <w:bottom w:val="nil"/>
              <w:right w:val="nil"/>
            </w:tcBorders>
            <w:shd w:val="clear" w:color="000000" w:fill="D9D9D9"/>
            <w:noWrap/>
            <w:vAlign w:val="center"/>
            <w:hideMark/>
          </w:tcPr>
          <w:p w14:paraId="1ED3B6CB" w14:textId="49E5BC6F" w:rsidR="00F46DFB" w:rsidRPr="002E302D" w:rsidRDefault="008D1644" w:rsidP="00F46DFB">
            <w:pPr>
              <w:jc w:val="right"/>
              <w:rPr>
                <w:rFonts w:eastAsia="Times New Roman" w:cs="Arial"/>
                <w:b/>
                <w:bCs/>
                <w:color w:val="424141"/>
                <w:szCs w:val="22"/>
                <w:lang w:val="en-GB" w:eastAsia="en-GB"/>
              </w:rPr>
            </w:pPr>
            <w:r>
              <w:rPr>
                <w:rFonts w:cs="Arial"/>
                <w:b/>
                <w:bCs/>
                <w:color w:val="424141"/>
                <w:szCs w:val="22"/>
              </w:rPr>
              <w:t>62</w:t>
            </w:r>
            <w:r w:rsidR="00F46DFB">
              <w:rPr>
                <w:rFonts w:cs="Arial"/>
                <w:b/>
                <w:bCs/>
                <w:color w:val="424141"/>
                <w:szCs w:val="22"/>
              </w:rPr>
              <w:t xml:space="preserve">1 </w:t>
            </w:r>
          </w:p>
        </w:tc>
        <w:tc>
          <w:tcPr>
            <w:tcW w:w="398" w:type="pct"/>
            <w:tcBorders>
              <w:top w:val="nil"/>
              <w:left w:val="nil"/>
              <w:bottom w:val="nil"/>
              <w:right w:val="nil"/>
            </w:tcBorders>
            <w:shd w:val="clear" w:color="auto" w:fill="auto"/>
            <w:vAlign w:val="center"/>
            <w:hideMark/>
          </w:tcPr>
          <w:p w14:paraId="3B185340" w14:textId="600B6C5A" w:rsidR="00F46DFB" w:rsidRPr="002E302D" w:rsidRDefault="00F46DFB" w:rsidP="00F46DFB">
            <w:pPr>
              <w:jc w:val="right"/>
              <w:rPr>
                <w:rFonts w:eastAsia="Times New Roman" w:cs="Arial"/>
                <w:b/>
                <w:bCs/>
                <w:color w:val="A6A6A6"/>
                <w:szCs w:val="22"/>
                <w:lang w:val="en-GB" w:eastAsia="en-GB"/>
              </w:rPr>
            </w:pPr>
            <w:r>
              <w:rPr>
                <w:rFonts w:cs="Arial"/>
                <w:b/>
                <w:bCs/>
                <w:color w:val="A6A6A6"/>
                <w:szCs w:val="22"/>
              </w:rPr>
              <w:t xml:space="preserve">1,082 </w:t>
            </w:r>
          </w:p>
        </w:tc>
        <w:tc>
          <w:tcPr>
            <w:tcW w:w="398" w:type="pct"/>
            <w:tcBorders>
              <w:top w:val="single" w:sz="4" w:space="0" w:color="auto"/>
              <w:left w:val="nil"/>
              <w:bottom w:val="nil"/>
              <w:right w:val="nil"/>
            </w:tcBorders>
            <w:shd w:val="clear" w:color="000000" w:fill="D9D9D9"/>
            <w:noWrap/>
            <w:vAlign w:val="center"/>
            <w:hideMark/>
          </w:tcPr>
          <w:p w14:paraId="2F3E9F5C" w14:textId="0596CAD4" w:rsidR="00F46DFB" w:rsidRPr="002E302D" w:rsidRDefault="008837B1" w:rsidP="00F46DFB">
            <w:pPr>
              <w:jc w:val="right"/>
              <w:rPr>
                <w:rFonts w:eastAsia="Times New Roman" w:cs="Arial"/>
                <w:b/>
                <w:bCs/>
                <w:color w:val="424141"/>
                <w:szCs w:val="22"/>
                <w:lang w:val="en-GB" w:eastAsia="en-GB"/>
              </w:rPr>
            </w:pPr>
            <w:r>
              <w:rPr>
                <w:rFonts w:cs="Arial"/>
                <w:b/>
                <w:bCs/>
                <w:color w:val="424141"/>
                <w:szCs w:val="22"/>
              </w:rPr>
              <w:t xml:space="preserve">200 </w:t>
            </w:r>
          </w:p>
        </w:tc>
        <w:tc>
          <w:tcPr>
            <w:tcW w:w="398" w:type="pct"/>
            <w:tcBorders>
              <w:top w:val="nil"/>
              <w:left w:val="nil"/>
              <w:bottom w:val="nil"/>
              <w:right w:val="nil"/>
            </w:tcBorders>
            <w:shd w:val="clear" w:color="auto" w:fill="auto"/>
            <w:vAlign w:val="center"/>
            <w:hideMark/>
          </w:tcPr>
          <w:p w14:paraId="10744F7C" w14:textId="4B88BCA5" w:rsidR="00F46DFB" w:rsidRPr="002E302D" w:rsidRDefault="00F46DFB" w:rsidP="00F46DFB">
            <w:pPr>
              <w:jc w:val="right"/>
              <w:rPr>
                <w:rFonts w:eastAsia="Times New Roman" w:cs="Arial"/>
                <w:b/>
                <w:bCs/>
                <w:color w:val="A6A6A6"/>
                <w:szCs w:val="22"/>
                <w:lang w:val="en-GB" w:eastAsia="en-GB"/>
              </w:rPr>
            </w:pPr>
            <w:r>
              <w:rPr>
                <w:rFonts w:cs="Arial"/>
                <w:b/>
                <w:bCs/>
                <w:color w:val="A6A6A6"/>
                <w:szCs w:val="22"/>
              </w:rPr>
              <w:t xml:space="preserve">0 </w:t>
            </w:r>
          </w:p>
        </w:tc>
        <w:tc>
          <w:tcPr>
            <w:tcW w:w="398" w:type="pct"/>
            <w:tcBorders>
              <w:top w:val="nil"/>
              <w:left w:val="nil"/>
              <w:bottom w:val="nil"/>
              <w:right w:val="nil"/>
            </w:tcBorders>
            <w:shd w:val="clear" w:color="000000" w:fill="D9D9D9"/>
            <w:noWrap/>
            <w:vAlign w:val="center"/>
            <w:hideMark/>
          </w:tcPr>
          <w:p w14:paraId="591A1153" w14:textId="680447ED" w:rsidR="00F46DFB" w:rsidRPr="002E302D" w:rsidRDefault="00F46DFB" w:rsidP="00F46DFB">
            <w:pPr>
              <w:jc w:val="right"/>
              <w:rPr>
                <w:rFonts w:eastAsia="Times New Roman" w:cs="Arial"/>
                <w:b/>
                <w:bCs/>
                <w:color w:val="424141"/>
                <w:szCs w:val="22"/>
                <w:lang w:val="en-GB" w:eastAsia="en-GB"/>
              </w:rPr>
            </w:pPr>
            <w:r>
              <w:rPr>
                <w:rFonts w:cs="Arial"/>
                <w:b/>
                <w:bCs/>
                <w:color w:val="424141"/>
                <w:szCs w:val="22"/>
              </w:rPr>
              <w:t>77</w:t>
            </w:r>
            <w:r w:rsidR="000415F8">
              <w:rPr>
                <w:rFonts w:cs="Arial"/>
                <w:b/>
                <w:bCs/>
                <w:color w:val="424141"/>
                <w:szCs w:val="22"/>
              </w:rPr>
              <w:t>8</w:t>
            </w:r>
            <w:r>
              <w:rPr>
                <w:rFonts w:cs="Arial"/>
                <w:b/>
                <w:bCs/>
                <w:color w:val="424141"/>
                <w:szCs w:val="22"/>
              </w:rPr>
              <w:t xml:space="preserve"> </w:t>
            </w:r>
          </w:p>
        </w:tc>
        <w:tc>
          <w:tcPr>
            <w:tcW w:w="382" w:type="pct"/>
            <w:tcBorders>
              <w:top w:val="nil"/>
              <w:left w:val="nil"/>
              <w:bottom w:val="nil"/>
              <w:right w:val="nil"/>
            </w:tcBorders>
            <w:shd w:val="clear" w:color="auto" w:fill="auto"/>
            <w:vAlign w:val="center"/>
            <w:hideMark/>
          </w:tcPr>
          <w:p w14:paraId="58178FB7" w14:textId="0F6C1D1C" w:rsidR="00F46DFB" w:rsidRPr="002E302D" w:rsidRDefault="00F46DFB" w:rsidP="00F46DFB">
            <w:pPr>
              <w:jc w:val="right"/>
              <w:rPr>
                <w:rFonts w:eastAsia="Times New Roman" w:cs="Arial"/>
                <w:b/>
                <w:bCs/>
                <w:color w:val="A6A6A6"/>
                <w:szCs w:val="22"/>
                <w:lang w:val="en-GB" w:eastAsia="en-GB"/>
              </w:rPr>
            </w:pPr>
            <w:r>
              <w:rPr>
                <w:rFonts w:cs="Arial"/>
                <w:b/>
                <w:bCs/>
                <w:color w:val="A6A6A6"/>
                <w:szCs w:val="22"/>
              </w:rPr>
              <w:t xml:space="preserve">831 </w:t>
            </w:r>
          </w:p>
        </w:tc>
      </w:tr>
      <w:tr w:rsidR="00F46DFB" w:rsidRPr="002E302D" w14:paraId="0DDCCD8C" w14:textId="77777777" w:rsidTr="00052572">
        <w:trPr>
          <w:trHeight w:val="285"/>
        </w:trPr>
        <w:tc>
          <w:tcPr>
            <w:tcW w:w="1538" w:type="pct"/>
            <w:tcBorders>
              <w:top w:val="nil"/>
              <w:left w:val="nil"/>
              <w:bottom w:val="nil"/>
              <w:right w:val="nil"/>
            </w:tcBorders>
            <w:shd w:val="clear" w:color="auto" w:fill="auto"/>
            <w:noWrap/>
            <w:vAlign w:val="center"/>
            <w:hideMark/>
          </w:tcPr>
          <w:p w14:paraId="37610039" w14:textId="77777777" w:rsidR="00F46DFB" w:rsidRPr="002E302D" w:rsidRDefault="00F46DFB" w:rsidP="00F46DFB">
            <w:pPr>
              <w:jc w:val="right"/>
              <w:rPr>
                <w:rFonts w:eastAsia="Times New Roman" w:cs="Arial"/>
                <w:b/>
                <w:bCs/>
                <w:color w:val="A6A6A6"/>
                <w:szCs w:val="22"/>
                <w:lang w:val="en-GB" w:eastAsia="en-GB"/>
              </w:rPr>
            </w:pPr>
          </w:p>
        </w:tc>
        <w:tc>
          <w:tcPr>
            <w:tcW w:w="298" w:type="pct"/>
            <w:tcBorders>
              <w:top w:val="nil"/>
              <w:left w:val="nil"/>
              <w:bottom w:val="nil"/>
              <w:right w:val="nil"/>
            </w:tcBorders>
            <w:shd w:val="clear" w:color="auto" w:fill="auto"/>
            <w:noWrap/>
            <w:vAlign w:val="center"/>
            <w:hideMark/>
          </w:tcPr>
          <w:p w14:paraId="1F52617A" w14:textId="77777777" w:rsidR="00F46DFB" w:rsidRPr="002E302D" w:rsidRDefault="00F46DFB" w:rsidP="00F46DFB">
            <w:pPr>
              <w:rPr>
                <w:rFonts w:ascii="Times New Roman" w:eastAsia="Times New Roman" w:hAnsi="Times New Roman"/>
                <w:sz w:val="20"/>
                <w:szCs w:val="20"/>
                <w:lang w:val="en-GB" w:eastAsia="en-GB"/>
              </w:rPr>
            </w:pPr>
          </w:p>
        </w:tc>
        <w:tc>
          <w:tcPr>
            <w:tcW w:w="397" w:type="pct"/>
            <w:tcBorders>
              <w:top w:val="nil"/>
              <w:left w:val="nil"/>
              <w:bottom w:val="nil"/>
              <w:right w:val="nil"/>
            </w:tcBorders>
            <w:shd w:val="clear" w:color="000000" w:fill="D9D9D9"/>
            <w:noWrap/>
            <w:vAlign w:val="center"/>
            <w:hideMark/>
          </w:tcPr>
          <w:p w14:paraId="367245D6" w14:textId="41A5723F" w:rsidR="00F46DFB" w:rsidRPr="002E302D" w:rsidRDefault="00F46DFB" w:rsidP="00F46DFB">
            <w:pPr>
              <w:jc w:val="right"/>
              <w:rPr>
                <w:rFonts w:eastAsia="Times New Roman" w:cs="Arial"/>
                <w:color w:val="424141"/>
                <w:szCs w:val="22"/>
                <w:lang w:val="en-GB" w:eastAsia="en-GB"/>
              </w:rPr>
            </w:pPr>
            <w:r>
              <w:rPr>
                <w:rFonts w:cs="Arial"/>
                <w:color w:val="424141"/>
                <w:szCs w:val="22"/>
              </w:rPr>
              <w:t> </w:t>
            </w:r>
          </w:p>
        </w:tc>
        <w:tc>
          <w:tcPr>
            <w:tcW w:w="397" w:type="pct"/>
            <w:tcBorders>
              <w:top w:val="nil"/>
              <w:left w:val="nil"/>
              <w:bottom w:val="nil"/>
              <w:right w:val="nil"/>
            </w:tcBorders>
            <w:shd w:val="clear" w:color="auto" w:fill="auto"/>
            <w:vAlign w:val="center"/>
            <w:hideMark/>
          </w:tcPr>
          <w:p w14:paraId="58EDE547" w14:textId="77777777" w:rsidR="00F46DFB" w:rsidRPr="002E302D" w:rsidRDefault="00F46DFB" w:rsidP="00F46DFB">
            <w:pPr>
              <w:jc w:val="right"/>
              <w:rPr>
                <w:rFonts w:eastAsia="Times New Roman" w:cs="Arial"/>
                <w:color w:val="424141"/>
                <w:szCs w:val="22"/>
                <w:lang w:val="en-GB" w:eastAsia="en-GB"/>
              </w:rPr>
            </w:pPr>
          </w:p>
        </w:tc>
        <w:tc>
          <w:tcPr>
            <w:tcW w:w="396" w:type="pct"/>
            <w:tcBorders>
              <w:top w:val="nil"/>
              <w:left w:val="nil"/>
              <w:bottom w:val="nil"/>
              <w:right w:val="nil"/>
            </w:tcBorders>
            <w:shd w:val="clear" w:color="000000" w:fill="D9D9D9"/>
            <w:noWrap/>
            <w:vAlign w:val="center"/>
            <w:hideMark/>
          </w:tcPr>
          <w:p w14:paraId="3981BA06" w14:textId="031CA1C6" w:rsidR="00F46DFB" w:rsidRPr="002E302D" w:rsidRDefault="00F46DFB" w:rsidP="00F46DFB">
            <w:pPr>
              <w:jc w:val="right"/>
              <w:rPr>
                <w:rFonts w:eastAsia="Times New Roman" w:cs="Arial"/>
                <w:color w:val="424141"/>
                <w:szCs w:val="22"/>
                <w:lang w:val="en-GB" w:eastAsia="en-GB"/>
              </w:rPr>
            </w:pPr>
            <w:r>
              <w:rPr>
                <w:rFonts w:cs="Arial"/>
                <w:color w:val="424141"/>
                <w:szCs w:val="22"/>
              </w:rPr>
              <w:t> </w:t>
            </w:r>
          </w:p>
        </w:tc>
        <w:tc>
          <w:tcPr>
            <w:tcW w:w="398" w:type="pct"/>
            <w:tcBorders>
              <w:top w:val="nil"/>
              <w:left w:val="nil"/>
              <w:bottom w:val="nil"/>
              <w:right w:val="nil"/>
            </w:tcBorders>
            <w:shd w:val="clear" w:color="auto" w:fill="auto"/>
            <w:vAlign w:val="center"/>
            <w:hideMark/>
          </w:tcPr>
          <w:p w14:paraId="40CA3ADE" w14:textId="77777777" w:rsidR="00F46DFB" w:rsidRPr="002E302D" w:rsidRDefault="00F46DFB" w:rsidP="00F46DFB">
            <w:pPr>
              <w:jc w:val="right"/>
              <w:rPr>
                <w:rFonts w:eastAsia="Times New Roman" w:cs="Arial"/>
                <w:color w:val="424141"/>
                <w:szCs w:val="22"/>
                <w:lang w:val="en-GB" w:eastAsia="en-GB"/>
              </w:rPr>
            </w:pPr>
          </w:p>
        </w:tc>
        <w:tc>
          <w:tcPr>
            <w:tcW w:w="398" w:type="pct"/>
            <w:tcBorders>
              <w:top w:val="nil"/>
              <w:left w:val="nil"/>
              <w:bottom w:val="nil"/>
              <w:right w:val="nil"/>
            </w:tcBorders>
            <w:shd w:val="clear" w:color="000000" w:fill="D9D9D9"/>
            <w:noWrap/>
            <w:vAlign w:val="center"/>
            <w:hideMark/>
          </w:tcPr>
          <w:p w14:paraId="29412374" w14:textId="7C76D5F5" w:rsidR="00F46DFB" w:rsidRPr="002E302D" w:rsidRDefault="00F46DFB" w:rsidP="00F46DFB">
            <w:pPr>
              <w:jc w:val="right"/>
              <w:rPr>
                <w:rFonts w:eastAsia="Times New Roman" w:cs="Arial"/>
                <w:color w:val="424141"/>
                <w:szCs w:val="22"/>
                <w:lang w:val="en-GB" w:eastAsia="en-GB"/>
              </w:rPr>
            </w:pPr>
            <w:r>
              <w:rPr>
                <w:rFonts w:cs="Arial"/>
                <w:color w:val="424141"/>
                <w:szCs w:val="22"/>
              </w:rPr>
              <w:t> </w:t>
            </w:r>
          </w:p>
        </w:tc>
        <w:tc>
          <w:tcPr>
            <w:tcW w:w="398" w:type="pct"/>
            <w:tcBorders>
              <w:top w:val="nil"/>
              <w:left w:val="nil"/>
              <w:bottom w:val="nil"/>
              <w:right w:val="nil"/>
            </w:tcBorders>
            <w:shd w:val="clear" w:color="auto" w:fill="auto"/>
            <w:vAlign w:val="center"/>
            <w:hideMark/>
          </w:tcPr>
          <w:p w14:paraId="42F9D396" w14:textId="77777777" w:rsidR="00F46DFB" w:rsidRPr="002E302D" w:rsidRDefault="00F46DFB" w:rsidP="00F46DFB">
            <w:pPr>
              <w:jc w:val="right"/>
              <w:rPr>
                <w:rFonts w:eastAsia="Times New Roman" w:cs="Arial"/>
                <w:color w:val="424141"/>
                <w:szCs w:val="22"/>
                <w:lang w:val="en-GB" w:eastAsia="en-GB"/>
              </w:rPr>
            </w:pPr>
          </w:p>
        </w:tc>
        <w:tc>
          <w:tcPr>
            <w:tcW w:w="398" w:type="pct"/>
            <w:tcBorders>
              <w:top w:val="nil"/>
              <w:left w:val="nil"/>
              <w:bottom w:val="nil"/>
              <w:right w:val="nil"/>
            </w:tcBorders>
            <w:shd w:val="clear" w:color="000000" w:fill="D9D9D9"/>
            <w:noWrap/>
            <w:vAlign w:val="center"/>
          </w:tcPr>
          <w:p w14:paraId="0536EF0C" w14:textId="75FB1E93" w:rsidR="00F46DFB" w:rsidRPr="002E302D" w:rsidRDefault="00F46DFB" w:rsidP="00F46DFB">
            <w:pPr>
              <w:jc w:val="right"/>
              <w:rPr>
                <w:rFonts w:eastAsia="Times New Roman" w:cs="Arial"/>
                <w:color w:val="424141"/>
                <w:szCs w:val="22"/>
                <w:lang w:val="en-GB" w:eastAsia="en-GB"/>
              </w:rPr>
            </w:pPr>
            <w:r>
              <w:rPr>
                <w:rFonts w:cs="Arial"/>
                <w:color w:val="424141"/>
                <w:szCs w:val="22"/>
              </w:rPr>
              <w:t xml:space="preserve">0 </w:t>
            </w:r>
          </w:p>
        </w:tc>
        <w:tc>
          <w:tcPr>
            <w:tcW w:w="382" w:type="pct"/>
            <w:tcBorders>
              <w:top w:val="nil"/>
              <w:left w:val="nil"/>
              <w:bottom w:val="nil"/>
              <w:right w:val="nil"/>
            </w:tcBorders>
            <w:shd w:val="clear" w:color="auto" w:fill="auto"/>
            <w:noWrap/>
            <w:vAlign w:val="center"/>
          </w:tcPr>
          <w:p w14:paraId="277D52C3" w14:textId="3DD0E703" w:rsidR="00F46DFB" w:rsidRPr="002E302D" w:rsidRDefault="00F46DFB" w:rsidP="00F46DFB">
            <w:pPr>
              <w:jc w:val="right"/>
              <w:rPr>
                <w:rFonts w:eastAsia="Times New Roman" w:cs="Arial"/>
                <w:color w:val="A6A6A6"/>
                <w:szCs w:val="22"/>
                <w:lang w:val="en-GB" w:eastAsia="en-GB"/>
              </w:rPr>
            </w:pPr>
            <w:r>
              <w:rPr>
                <w:rFonts w:cs="Arial"/>
                <w:color w:val="A6A6A6"/>
                <w:szCs w:val="22"/>
              </w:rPr>
              <w:t xml:space="preserve">0 </w:t>
            </w:r>
          </w:p>
        </w:tc>
      </w:tr>
      <w:tr w:rsidR="00F46DFB" w:rsidRPr="002E302D" w14:paraId="2D80FE36" w14:textId="77777777" w:rsidTr="00052572">
        <w:trPr>
          <w:trHeight w:val="285"/>
        </w:trPr>
        <w:tc>
          <w:tcPr>
            <w:tcW w:w="1538" w:type="pct"/>
            <w:tcBorders>
              <w:top w:val="nil"/>
              <w:left w:val="nil"/>
              <w:bottom w:val="nil"/>
              <w:right w:val="nil"/>
            </w:tcBorders>
            <w:shd w:val="clear" w:color="auto" w:fill="auto"/>
            <w:noWrap/>
            <w:vAlign w:val="center"/>
            <w:hideMark/>
          </w:tcPr>
          <w:p w14:paraId="6AC62B01" w14:textId="77777777" w:rsidR="00F46DFB" w:rsidRPr="002E302D" w:rsidRDefault="00F46DFB" w:rsidP="00F46DFB">
            <w:pPr>
              <w:rPr>
                <w:rFonts w:eastAsia="Times New Roman" w:cs="Arial"/>
                <w:i/>
                <w:iCs/>
                <w:color w:val="424141"/>
                <w:szCs w:val="22"/>
                <w:lang w:val="en-GB" w:eastAsia="en-GB"/>
              </w:rPr>
            </w:pPr>
            <w:r w:rsidRPr="002E302D">
              <w:rPr>
                <w:rFonts w:eastAsia="Times New Roman" w:cs="Arial"/>
                <w:i/>
                <w:iCs/>
                <w:color w:val="424141"/>
                <w:szCs w:val="22"/>
                <w:lang w:val="en-GB" w:eastAsia="en-GB"/>
              </w:rPr>
              <w:t>Liabilities:</w:t>
            </w:r>
          </w:p>
        </w:tc>
        <w:tc>
          <w:tcPr>
            <w:tcW w:w="298" w:type="pct"/>
            <w:tcBorders>
              <w:top w:val="nil"/>
              <w:left w:val="nil"/>
              <w:bottom w:val="nil"/>
              <w:right w:val="nil"/>
            </w:tcBorders>
            <w:shd w:val="clear" w:color="auto" w:fill="auto"/>
            <w:noWrap/>
            <w:vAlign w:val="center"/>
            <w:hideMark/>
          </w:tcPr>
          <w:p w14:paraId="4F6CB994" w14:textId="77777777" w:rsidR="00F46DFB" w:rsidRPr="002E302D" w:rsidRDefault="00F46DFB" w:rsidP="00F46DFB">
            <w:pPr>
              <w:rPr>
                <w:rFonts w:eastAsia="Times New Roman" w:cs="Arial"/>
                <w:i/>
                <w:iCs/>
                <w:color w:val="424141"/>
                <w:szCs w:val="22"/>
                <w:lang w:val="en-GB" w:eastAsia="en-GB"/>
              </w:rPr>
            </w:pPr>
          </w:p>
        </w:tc>
        <w:tc>
          <w:tcPr>
            <w:tcW w:w="397" w:type="pct"/>
            <w:tcBorders>
              <w:top w:val="nil"/>
              <w:left w:val="nil"/>
              <w:bottom w:val="nil"/>
              <w:right w:val="nil"/>
            </w:tcBorders>
            <w:shd w:val="clear" w:color="000000" w:fill="D9D9D9"/>
            <w:noWrap/>
            <w:vAlign w:val="center"/>
            <w:hideMark/>
          </w:tcPr>
          <w:p w14:paraId="1918321E" w14:textId="123B3070" w:rsidR="00F46DFB" w:rsidRPr="002E302D" w:rsidRDefault="00F46DFB" w:rsidP="00F46DFB">
            <w:pPr>
              <w:jc w:val="right"/>
              <w:rPr>
                <w:rFonts w:eastAsia="Times New Roman" w:cs="Arial"/>
                <w:color w:val="424141"/>
                <w:szCs w:val="22"/>
                <w:lang w:val="en-GB" w:eastAsia="en-GB"/>
              </w:rPr>
            </w:pPr>
            <w:r>
              <w:rPr>
                <w:rFonts w:cs="Arial"/>
                <w:color w:val="424141"/>
                <w:szCs w:val="22"/>
              </w:rPr>
              <w:t> </w:t>
            </w:r>
          </w:p>
        </w:tc>
        <w:tc>
          <w:tcPr>
            <w:tcW w:w="397" w:type="pct"/>
            <w:tcBorders>
              <w:top w:val="nil"/>
              <w:left w:val="nil"/>
              <w:bottom w:val="nil"/>
              <w:right w:val="nil"/>
            </w:tcBorders>
            <w:shd w:val="clear" w:color="auto" w:fill="auto"/>
            <w:vAlign w:val="center"/>
            <w:hideMark/>
          </w:tcPr>
          <w:p w14:paraId="50476A16" w14:textId="77777777" w:rsidR="00F46DFB" w:rsidRPr="002E302D" w:rsidRDefault="00F46DFB" w:rsidP="00F46DFB">
            <w:pPr>
              <w:jc w:val="right"/>
              <w:rPr>
                <w:rFonts w:eastAsia="Times New Roman" w:cs="Arial"/>
                <w:color w:val="424141"/>
                <w:szCs w:val="22"/>
                <w:lang w:val="en-GB" w:eastAsia="en-GB"/>
              </w:rPr>
            </w:pPr>
          </w:p>
        </w:tc>
        <w:tc>
          <w:tcPr>
            <w:tcW w:w="396" w:type="pct"/>
            <w:tcBorders>
              <w:top w:val="nil"/>
              <w:left w:val="nil"/>
              <w:bottom w:val="nil"/>
              <w:right w:val="nil"/>
            </w:tcBorders>
            <w:shd w:val="clear" w:color="000000" w:fill="D9D9D9"/>
            <w:noWrap/>
            <w:vAlign w:val="center"/>
            <w:hideMark/>
          </w:tcPr>
          <w:p w14:paraId="5EBDA8E1" w14:textId="03BE0412" w:rsidR="00F46DFB" w:rsidRPr="002E302D" w:rsidRDefault="00F46DFB" w:rsidP="00F46DFB">
            <w:pPr>
              <w:jc w:val="right"/>
              <w:rPr>
                <w:rFonts w:eastAsia="Times New Roman" w:cs="Arial"/>
                <w:color w:val="424141"/>
                <w:szCs w:val="22"/>
                <w:lang w:val="en-GB" w:eastAsia="en-GB"/>
              </w:rPr>
            </w:pPr>
            <w:r>
              <w:rPr>
                <w:rFonts w:cs="Arial"/>
                <w:color w:val="424141"/>
                <w:szCs w:val="22"/>
              </w:rPr>
              <w:t> </w:t>
            </w:r>
          </w:p>
        </w:tc>
        <w:tc>
          <w:tcPr>
            <w:tcW w:w="398" w:type="pct"/>
            <w:tcBorders>
              <w:top w:val="nil"/>
              <w:left w:val="nil"/>
              <w:bottom w:val="nil"/>
              <w:right w:val="nil"/>
            </w:tcBorders>
            <w:shd w:val="clear" w:color="auto" w:fill="auto"/>
            <w:vAlign w:val="center"/>
            <w:hideMark/>
          </w:tcPr>
          <w:p w14:paraId="2D04A63E" w14:textId="77777777" w:rsidR="00F46DFB" w:rsidRPr="002E302D" w:rsidRDefault="00F46DFB" w:rsidP="00F46DFB">
            <w:pPr>
              <w:jc w:val="right"/>
              <w:rPr>
                <w:rFonts w:eastAsia="Times New Roman" w:cs="Arial"/>
                <w:color w:val="424141"/>
                <w:szCs w:val="22"/>
                <w:lang w:val="en-GB" w:eastAsia="en-GB"/>
              </w:rPr>
            </w:pPr>
          </w:p>
        </w:tc>
        <w:tc>
          <w:tcPr>
            <w:tcW w:w="398" w:type="pct"/>
            <w:tcBorders>
              <w:top w:val="nil"/>
              <w:left w:val="nil"/>
              <w:bottom w:val="nil"/>
              <w:right w:val="nil"/>
            </w:tcBorders>
            <w:shd w:val="clear" w:color="000000" w:fill="D9D9D9"/>
            <w:noWrap/>
            <w:vAlign w:val="center"/>
            <w:hideMark/>
          </w:tcPr>
          <w:p w14:paraId="266A5E95" w14:textId="2BAECFAD" w:rsidR="00F46DFB" w:rsidRPr="002E302D" w:rsidRDefault="00F46DFB" w:rsidP="00F46DFB">
            <w:pPr>
              <w:jc w:val="right"/>
              <w:rPr>
                <w:rFonts w:eastAsia="Times New Roman" w:cs="Arial"/>
                <w:color w:val="424141"/>
                <w:szCs w:val="22"/>
                <w:lang w:val="en-GB" w:eastAsia="en-GB"/>
              </w:rPr>
            </w:pPr>
            <w:r>
              <w:rPr>
                <w:rFonts w:cs="Arial"/>
                <w:color w:val="424141"/>
                <w:szCs w:val="22"/>
              </w:rPr>
              <w:t> </w:t>
            </w:r>
          </w:p>
        </w:tc>
        <w:tc>
          <w:tcPr>
            <w:tcW w:w="398" w:type="pct"/>
            <w:tcBorders>
              <w:top w:val="nil"/>
              <w:left w:val="nil"/>
              <w:bottom w:val="nil"/>
              <w:right w:val="nil"/>
            </w:tcBorders>
            <w:shd w:val="clear" w:color="auto" w:fill="auto"/>
            <w:vAlign w:val="center"/>
            <w:hideMark/>
          </w:tcPr>
          <w:p w14:paraId="59BB4D99" w14:textId="77777777" w:rsidR="00F46DFB" w:rsidRPr="002E302D" w:rsidRDefault="00F46DFB" w:rsidP="00F46DFB">
            <w:pPr>
              <w:jc w:val="right"/>
              <w:rPr>
                <w:rFonts w:eastAsia="Times New Roman" w:cs="Arial"/>
                <w:color w:val="424141"/>
                <w:szCs w:val="22"/>
                <w:lang w:val="en-GB" w:eastAsia="en-GB"/>
              </w:rPr>
            </w:pPr>
          </w:p>
        </w:tc>
        <w:tc>
          <w:tcPr>
            <w:tcW w:w="398" w:type="pct"/>
            <w:tcBorders>
              <w:top w:val="nil"/>
              <w:left w:val="nil"/>
              <w:bottom w:val="nil"/>
              <w:right w:val="nil"/>
            </w:tcBorders>
            <w:shd w:val="clear" w:color="000000" w:fill="D9D9D9"/>
            <w:noWrap/>
            <w:vAlign w:val="center"/>
          </w:tcPr>
          <w:p w14:paraId="019CCDC3" w14:textId="6C61EEF8" w:rsidR="00F46DFB" w:rsidRPr="002E302D" w:rsidRDefault="00F46DFB" w:rsidP="00F46DFB">
            <w:pPr>
              <w:jc w:val="right"/>
              <w:rPr>
                <w:rFonts w:eastAsia="Times New Roman" w:cs="Arial"/>
                <w:color w:val="424141"/>
                <w:szCs w:val="22"/>
                <w:lang w:val="en-GB" w:eastAsia="en-GB"/>
              </w:rPr>
            </w:pPr>
            <w:r>
              <w:rPr>
                <w:rFonts w:cs="Arial"/>
                <w:color w:val="424141"/>
                <w:szCs w:val="22"/>
              </w:rPr>
              <w:t xml:space="preserve">0 </w:t>
            </w:r>
          </w:p>
        </w:tc>
        <w:tc>
          <w:tcPr>
            <w:tcW w:w="382" w:type="pct"/>
            <w:tcBorders>
              <w:top w:val="nil"/>
              <w:left w:val="nil"/>
              <w:bottom w:val="nil"/>
              <w:right w:val="nil"/>
            </w:tcBorders>
            <w:shd w:val="clear" w:color="auto" w:fill="auto"/>
            <w:noWrap/>
            <w:vAlign w:val="center"/>
          </w:tcPr>
          <w:p w14:paraId="778E69E2" w14:textId="0419991B" w:rsidR="00F46DFB" w:rsidRPr="002E302D" w:rsidRDefault="00F46DFB" w:rsidP="00F46DFB">
            <w:pPr>
              <w:jc w:val="right"/>
              <w:rPr>
                <w:rFonts w:eastAsia="Times New Roman" w:cs="Arial"/>
                <w:color w:val="A6A6A6"/>
                <w:szCs w:val="22"/>
                <w:lang w:val="en-GB" w:eastAsia="en-GB"/>
              </w:rPr>
            </w:pPr>
            <w:r>
              <w:rPr>
                <w:rFonts w:cs="Arial"/>
                <w:color w:val="A6A6A6"/>
                <w:szCs w:val="22"/>
              </w:rPr>
              <w:t xml:space="preserve">0 </w:t>
            </w:r>
          </w:p>
        </w:tc>
      </w:tr>
      <w:tr w:rsidR="00F46DFB" w:rsidRPr="007A770E" w14:paraId="0AF491F3" w14:textId="77777777" w:rsidTr="00052572">
        <w:trPr>
          <w:trHeight w:val="293"/>
        </w:trPr>
        <w:tc>
          <w:tcPr>
            <w:tcW w:w="1538" w:type="pct"/>
            <w:tcBorders>
              <w:top w:val="nil"/>
              <w:left w:val="nil"/>
              <w:bottom w:val="nil"/>
              <w:right w:val="nil"/>
            </w:tcBorders>
            <w:shd w:val="clear" w:color="auto" w:fill="auto"/>
            <w:noWrap/>
            <w:vAlign w:val="center"/>
            <w:hideMark/>
          </w:tcPr>
          <w:p w14:paraId="48A52D6A" w14:textId="77777777" w:rsidR="00F46DFB" w:rsidRPr="002E302D" w:rsidRDefault="00F46DFB" w:rsidP="00F46DFB">
            <w:pPr>
              <w:rPr>
                <w:rFonts w:eastAsia="Times New Roman" w:cs="Arial"/>
                <w:color w:val="424141"/>
                <w:szCs w:val="22"/>
                <w:lang w:val="en-GB" w:eastAsia="en-GB"/>
              </w:rPr>
            </w:pPr>
            <w:r w:rsidRPr="002E302D">
              <w:rPr>
                <w:rFonts w:eastAsia="Times New Roman" w:cs="Arial"/>
                <w:color w:val="424141"/>
                <w:szCs w:val="22"/>
                <w:lang w:val="en-GB" w:eastAsia="en-GB"/>
              </w:rPr>
              <w:t>Creditors falling due within one year</w:t>
            </w:r>
          </w:p>
        </w:tc>
        <w:tc>
          <w:tcPr>
            <w:tcW w:w="298" w:type="pct"/>
            <w:tcBorders>
              <w:top w:val="nil"/>
              <w:left w:val="nil"/>
              <w:bottom w:val="nil"/>
              <w:right w:val="nil"/>
            </w:tcBorders>
            <w:shd w:val="clear" w:color="auto" w:fill="auto"/>
            <w:noWrap/>
            <w:vAlign w:val="center"/>
            <w:hideMark/>
          </w:tcPr>
          <w:p w14:paraId="03CC2682" w14:textId="77777777" w:rsidR="00F46DFB" w:rsidRPr="002E302D" w:rsidRDefault="00F46DFB" w:rsidP="00F46DFB">
            <w:pPr>
              <w:jc w:val="right"/>
              <w:rPr>
                <w:rFonts w:eastAsia="Times New Roman" w:cs="Arial"/>
                <w:color w:val="424141"/>
                <w:szCs w:val="22"/>
                <w:lang w:val="en-GB" w:eastAsia="en-GB"/>
              </w:rPr>
            </w:pPr>
            <w:r w:rsidRPr="002E302D">
              <w:rPr>
                <w:rFonts w:eastAsia="Times New Roman" w:cs="Arial"/>
                <w:color w:val="424141"/>
                <w:szCs w:val="22"/>
                <w:lang w:val="en-GB" w:eastAsia="en-GB"/>
              </w:rPr>
              <w:t>19</w:t>
            </w:r>
          </w:p>
        </w:tc>
        <w:tc>
          <w:tcPr>
            <w:tcW w:w="397" w:type="pct"/>
            <w:tcBorders>
              <w:top w:val="nil"/>
              <w:left w:val="nil"/>
              <w:bottom w:val="single" w:sz="8" w:space="0" w:color="auto"/>
              <w:right w:val="nil"/>
            </w:tcBorders>
            <w:shd w:val="clear" w:color="auto" w:fill="D9D9D9" w:themeFill="background1" w:themeFillShade="D9"/>
            <w:noWrap/>
            <w:vAlign w:val="center"/>
            <w:hideMark/>
          </w:tcPr>
          <w:p w14:paraId="49EE0B63" w14:textId="651361C5" w:rsidR="00F46DFB" w:rsidRPr="007A770E" w:rsidRDefault="00F46DFB" w:rsidP="00F46DFB">
            <w:pPr>
              <w:jc w:val="right"/>
              <w:rPr>
                <w:rFonts w:cs="Arial"/>
                <w:color w:val="424141"/>
                <w:szCs w:val="22"/>
              </w:rPr>
            </w:pPr>
            <w:r>
              <w:rPr>
                <w:rFonts w:cs="Arial"/>
                <w:color w:val="424141"/>
                <w:szCs w:val="22"/>
              </w:rPr>
              <w:t xml:space="preserve">-982 </w:t>
            </w:r>
          </w:p>
        </w:tc>
        <w:tc>
          <w:tcPr>
            <w:tcW w:w="397" w:type="pct"/>
            <w:tcBorders>
              <w:top w:val="nil"/>
              <w:left w:val="nil"/>
              <w:bottom w:val="single" w:sz="8" w:space="0" w:color="auto"/>
              <w:right w:val="nil"/>
            </w:tcBorders>
            <w:shd w:val="clear" w:color="auto" w:fill="auto"/>
            <w:vAlign w:val="center"/>
            <w:hideMark/>
          </w:tcPr>
          <w:p w14:paraId="4C37BDB7" w14:textId="339AAEEA" w:rsidR="00F46DFB" w:rsidRPr="007A770E" w:rsidRDefault="00F46DFB" w:rsidP="00F46DFB">
            <w:pPr>
              <w:jc w:val="right"/>
              <w:rPr>
                <w:rFonts w:cs="Arial"/>
                <w:color w:val="424141"/>
                <w:szCs w:val="22"/>
              </w:rPr>
            </w:pPr>
            <w:r>
              <w:rPr>
                <w:rFonts w:cs="Arial"/>
                <w:color w:val="A6A6A6"/>
                <w:szCs w:val="22"/>
              </w:rPr>
              <w:t xml:space="preserve">-923 </w:t>
            </w:r>
          </w:p>
        </w:tc>
        <w:tc>
          <w:tcPr>
            <w:tcW w:w="396" w:type="pct"/>
            <w:tcBorders>
              <w:top w:val="nil"/>
              <w:left w:val="nil"/>
              <w:bottom w:val="single" w:sz="8" w:space="0" w:color="auto"/>
              <w:right w:val="nil"/>
            </w:tcBorders>
            <w:shd w:val="clear" w:color="auto" w:fill="D9D9D9" w:themeFill="background1" w:themeFillShade="D9"/>
            <w:noWrap/>
            <w:vAlign w:val="center"/>
            <w:hideMark/>
          </w:tcPr>
          <w:p w14:paraId="1175ECC6" w14:textId="50351382" w:rsidR="00F46DFB" w:rsidRPr="007A770E" w:rsidRDefault="00F46DFB" w:rsidP="00F46DFB">
            <w:pPr>
              <w:jc w:val="right"/>
              <w:rPr>
                <w:rFonts w:cs="Arial"/>
                <w:color w:val="424141"/>
                <w:szCs w:val="22"/>
              </w:rPr>
            </w:pPr>
            <w:r>
              <w:rPr>
                <w:rFonts w:cs="Arial"/>
                <w:color w:val="424141"/>
                <w:szCs w:val="22"/>
              </w:rPr>
              <w:t xml:space="preserve">-42 </w:t>
            </w:r>
          </w:p>
        </w:tc>
        <w:tc>
          <w:tcPr>
            <w:tcW w:w="398" w:type="pct"/>
            <w:tcBorders>
              <w:top w:val="nil"/>
              <w:left w:val="nil"/>
              <w:bottom w:val="single" w:sz="8" w:space="0" w:color="auto"/>
              <w:right w:val="nil"/>
            </w:tcBorders>
            <w:shd w:val="clear" w:color="auto" w:fill="auto"/>
            <w:vAlign w:val="center"/>
            <w:hideMark/>
          </w:tcPr>
          <w:p w14:paraId="740932DB" w14:textId="1F3A4D87" w:rsidR="00F46DFB" w:rsidRPr="007A770E" w:rsidRDefault="00F46DFB" w:rsidP="00F46DFB">
            <w:pPr>
              <w:jc w:val="right"/>
              <w:rPr>
                <w:rFonts w:cs="Arial"/>
                <w:color w:val="424141"/>
                <w:szCs w:val="22"/>
              </w:rPr>
            </w:pPr>
            <w:r>
              <w:rPr>
                <w:rFonts w:cs="Arial"/>
                <w:color w:val="A6A6A6"/>
                <w:szCs w:val="22"/>
              </w:rPr>
              <w:t xml:space="preserve">-45 </w:t>
            </w:r>
          </w:p>
        </w:tc>
        <w:tc>
          <w:tcPr>
            <w:tcW w:w="398" w:type="pct"/>
            <w:tcBorders>
              <w:top w:val="nil"/>
              <w:left w:val="nil"/>
              <w:bottom w:val="single" w:sz="8" w:space="0" w:color="auto"/>
              <w:right w:val="nil"/>
            </w:tcBorders>
            <w:shd w:val="clear" w:color="auto" w:fill="D9D9D9" w:themeFill="background1" w:themeFillShade="D9"/>
            <w:noWrap/>
            <w:vAlign w:val="center"/>
            <w:hideMark/>
          </w:tcPr>
          <w:p w14:paraId="1FF0EDFA" w14:textId="1ABCEBB8" w:rsidR="00F46DFB" w:rsidRPr="007A770E" w:rsidRDefault="00F46DFB" w:rsidP="00F46DFB">
            <w:pPr>
              <w:jc w:val="right"/>
              <w:rPr>
                <w:rFonts w:cs="Arial"/>
                <w:color w:val="424141"/>
                <w:szCs w:val="22"/>
              </w:rPr>
            </w:pPr>
            <w:r>
              <w:rPr>
                <w:rFonts w:cs="Arial"/>
                <w:color w:val="424141"/>
                <w:szCs w:val="22"/>
              </w:rPr>
              <w:t xml:space="preserve">-9 </w:t>
            </w:r>
          </w:p>
        </w:tc>
        <w:tc>
          <w:tcPr>
            <w:tcW w:w="398" w:type="pct"/>
            <w:tcBorders>
              <w:top w:val="nil"/>
              <w:left w:val="nil"/>
              <w:bottom w:val="single" w:sz="8" w:space="0" w:color="auto"/>
              <w:right w:val="nil"/>
            </w:tcBorders>
            <w:shd w:val="clear" w:color="auto" w:fill="auto"/>
            <w:vAlign w:val="center"/>
            <w:hideMark/>
          </w:tcPr>
          <w:p w14:paraId="78E65161" w14:textId="5CABA3BF" w:rsidR="00F46DFB" w:rsidRPr="007A770E" w:rsidRDefault="00F46DFB" w:rsidP="00F46DFB">
            <w:pPr>
              <w:jc w:val="right"/>
              <w:rPr>
                <w:rFonts w:cs="Arial"/>
                <w:color w:val="424141"/>
                <w:szCs w:val="22"/>
              </w:rPr>
            </w:pPr>
            <w:r>
              <w:rPr>
                <w:rFonts w:cs="Arial"/>
                <w:color w:val="A6A6A6"/>
                <w:szCs w:val="22"/>
              </w:rPr>
              <w:t xml:space="preserve">-7 </w:t>
            </w:r>
          </w:p>
        </w:tc>
        <w:tc>
          <w:tcPr>
            <w:tcW w:w="398" w:type="pct"/>
            <w:tcBorders>
              <w:top w:val="nil"/>
              <w:left w:val="nil"/>
              <w:bottom w:val="single" w:sz="8" w:space="0" w:color="auto"/>
              <w:right w:val="nil"/>
            </w:tcBorders>
            <w:shd w:val="clear" w:color="000000" w:fill="D9D9D9"/>
            <w:noWrap/>
            <w:vAlign w:val="center"/>
            <w:hideMark/>
          </w:tcPr>
          <w:p w14:paraId="36CCF3F8" w14:textId="3FB5AF2D" w:rsidR="00F46DFB" w:rsidRPr="007A770E" w:rsidRDefault="00F46DFB" w:rsidP="00F46DFB">
            <w:pPr>
              <w:jc w:val="right"/>
              <w:rPr>
                <w:rFonts w:cs="Arial"/>
                <w:color w:val="424141"/>
                <w:szCs w:val="22"/>
              </w:rPr>
            </w:pPr>
            <w:r>
              <w:rPr>
                <w:rFonts w:cs="Arial"/>
                <w:color w:val="424141"/>
                <w:szCs w:val="22"/>
              </w:rPr>
              <w:t xml:space="preserve">-1,033 </w:t>
            </w:r>
          </w:p>
        </w:tc>
        <w:tc>
          <w:tcPr>
            <w:tcW w:w="382" w:type="pct"/>
            <w:tcBorders>
              <w:top w:val="nil"/>
              <w:left w:val="nil"/>
              <w:bottom w:val="single" w:sz="8" w:space="0" w:color="auto"/>
              <w:right w:val="nil"/>
            </w:tcBorders>
            <w:shd w:val="clear" w:color="auto" w:fill="auto"/>
            <w:noWrap/>
            <w:vAlign w:val="center"/>
            <w:hideMark/>
          </w:tcPr>
          <w:p w14:paraId="6FB84323" w14:textId="380E348E" w:rsidR="00F46DFB" w:rsidRPr="007A770E" w:rsidRDefault="00F46DFB" w:rsidP="00F46DFB">
            <w:pPr>
              <w:jc w:val="right"/>
              <w:rPr>
                <w:rFonts w:cs="Arial"/>
                <w:color w:val="424141"/>
                <w:szCs w:val="22"/>
              </w:rPr>
            </w:pPr>
            <w:r>
              <w:rPr>
                <w:rFonts w:cs="Arial"/>
                <w:color w:val="A6A6A6"/>
                <w:szCs w:val="22"/>
              </w:rPr>
              <w:t xml:space="preserve">-975 </w:t>
            </w:r>
          </w:p>
        </w:tc>
      </w:tr>
      <w:tr w:rsidR="00F46DFB" w:rsidRPr="002E302D" w14:paraId="6683DB83" w14:textId="77777777" w:rsidTr="00052572">
        <w:trPr>
          <w:trHeight w:val="285"/>
        </w:trPr>
        <w:tc>
          <w:tcPr>
            <w:tcW w:w="1538" w:type="pct"/>
            <w:tcBorders>
              <w:top w:val="nil"/>
              <w:left w:val="nil"/>
              <w:bottom w:val="nil"/>
              <w:right w:val="nil"/>
            </w:tcBorders>
            <w:shd w:val="clear" w:color="auto" w:fill="auto"/>
            <w:noWrap/>
            <w:vAlign w:val="center"/>
            <w:hideMark/>
          </w:tcPr>
          <w:p w14:paraId="638FD10C" w14:textId="77777777" w:rsidR="00F46DFB" w:rsidRPr="002E302D" w:rsidRDefault="00F46DFB" w:rsidP="00F46DFB">
            <w:pPr>
              <w:rPr>
                <w:rFonts w:eastAsia="Times New Roman" w:cs="Arial"/>
                <w:b/>
                <w:bCs/>
                <w:color w:val="424141"/>
                <w:szCs w:val="22"/>
                <w:lang w:val="en-GB" w:eastAsia="en-GB"/>
              </w:rPr>
            </w:pPr>
            <w:r w:rsidRPr="002E302D">
              <w:rPr>
                <w:rFonts w:eastAsia="Times New Roman" w:cs="Arial"/>
                <w:b/>
                <w:bCs/>
                <w:color w:val="424141"/>
                <w:szCs w:val="22"/>
                <w:lang w:val="en-GB" w:eastAsia="en-GB"/>
              </w:rPr>
              <w:t>Net Current assets/(liabilities)</w:t>
            </w:r>
          </w:p>
        </w:tc>
        <w:tc>
          <w:tcPr>
            <w:tcW w:w="298" w:type="pct"/>
            <w:tcBorders>
              <w:top w:val="nil"/>
              <w:left w:val="nil"/>
              <w:bottom w:val="nil"/>
              <w:right w:val="nil"/>
            </w:tcBorders>
            <w:shd w:val="clear" w:color="auto" w:fill="auto"/>
            <w:noWrap/>
            <w:vAlign w:val="center"/>
            <w:hideMark/>
          </w:tcPr>
          <w:p w14:paraId="1F5394ED" w14:textId="77777777" w:rsidR="00F46DFB" w:rsidRPr="002E302D" w:rsidRDefault="00F46DFB" w:rsidP="00F46DFB">
            <w:pPr>
              <w:rPr>
                <w:rFonts w:eastAsia="Times New Roman" w:cs="Arial"/>
                <w:b/>
                <w:bCs/>
                <w:color w:val="424141"/>
                <w:szCs w:val="22"/>
                <w:lang w:val="en-GB" w:eastAsia="en-GB"/>
              </w:rPr>
            </w:pPr>
          </w:p>
        </w:tc>
        <w:tc>
          <w:tcPr>
            <w:tcW w:w="397" w:type="pct"/>
            <w:tcBorders>
              <w:top w:val="nil"/>
              <w:left w:val="nil"/>
              <w:bottom w:val="nil"/>
              <w:right w:val="nil"/>
            </w:tcBorders>
            <w:shd w:val="clear" w:color="000000" w:fill="D9D9D9"/>
            <w:noWrap/>
            <w:vAlign w:val="center"/>
            <w:hideMark/>
          </w:tcPr>
          <w:p w14:paraId="6484FA39" w14:textId="06495A0E" w:rsidR="00F46DFB" w:rsidRPr="007A770E" w:rsidRDefault="00F46DFB" w:rsidP="00F46DFB">
            <w:pPr>
              <w:jc w:val="right"/>
              <w:rPr>
                <w:rFonts w:cs="Arial"/>
                <w:b/>
                <w:bCs/>
                <w:color w:val="424141"/>
                <w:szCs w:val="22"/>
              </w:rPr>
            </w:pPr>
            <w:r>
              <w:rPr>
                <w:rFonts w:cs="Arial"/>
                <w:b/>
                <w:bCs/>
                <w:color w:val="424141"/>
                <w:szCs w:val="22"/>
              </w:rPr>
              <w:t>-</w:t>
            </w:r>
            <w:r w:rsidR="001F764B">
              <w:rPr>
                <w:rFonts w:cs="Arial"/>
                <w:b/>
                <w:bCs/>
                <w:color w:val="424141"/>
                <w:szCs w:val="22"/>
              </w:rPr>
              <w:t xml:space="preserve">1,025 </w:t>
            </w:r>
          </w:p>
        </w:tc>
        <w:tc>
          <w:tcPr>
            <w:tcW w:w="397" w:type="pct"/>
            <w:tcBorders>
              <w:top w:val="nil"/>
              <w:left w:val="nil"/>
              <w:bottom w:val="nil"/>
              <w:right w:val="nil"/>
            </w:tcBorders>
            <w:shd w:val="clear" w:color="auto" w:fill="auto"/>
            <w:vAlign w:val="center"/>
            <w:hideMark/>
          </w:tcPr>
          <w:p w14:paraId="5C804A67" w14:textId="500899E5" w:rsidR="00F46DFB" w:rsidRPr="007A770E" w:rsidRDefault="00F46DFB" w:rsidP="00F46DFB">
            <w:pPr>
              <w:jc w:val="right"/>
              <w:rPr>
                <w:rFonts w:cs="Arial"/>
                <w:b/>
                <w:bCs/>
                <w:color w:val="A6A6A6"/>
                <w:szCs w:val="22"/>
              </w:rPr>
            </w:pPr>
            <w:r>
              <w:rPr>
                <w:rFonts w:cs="Arial"/>
                <w:b/>
                <w:bCs/>
                <w:color w:val="A6A6A6"/>
                <w:szCs w:val="22"/>
              </w:rPr>
              <w:t xml:space="preserve">-1,174 </w:t>
            </w:r>
          </w:p>
        </w:tc>
        <w:tc>
          <w:tcPr>
            <w:tcW w:w="396" w:type="pct"/>
            <w:tcBorders>
              <w:top w:val="nil"/>
              <w:left w:val="nil"/>
              <w:bottom w:val="nil"/>
              <w:right w:val="nil"/>
            </w:tcBorders>
            <w:shd w:val="clear" w:color="000000" w:fill="D9D9D9"/>
            <w:noWrap/>
            <w:vAlign w:val="center"/>
            <w:hideMark/>
          </w:tcPr>
          <w:p w14:paraId="40B32843" w14:textId="1B596BBC" w:rsidR="00F46DFB" w:rsidRPr="002E302D" w:rsidRDefault="00940B64" w:rsidP="00F46DFB">
            <w:pPr>
              <w:jc w:val="right"/>
              <w:rPr>
                <w:rFonts w:eastAsia="Times New Roman" w:cs="Arial"/>
                <w:b/>
                <w:bCs/>
                <w:color w:val="424141"/>
                <w:szCs w:val="22"/>
                <w:lang w:val="en-GB" w:eastAsia="en-GB"/>
              </w:rPr>
            </w:pPr>
            <w:r>
              <w:rPr>
                <w:rFonts w:cs="Arial"/>
                <w:b/>
                <w:bCs/>
                <w:color w:val="424141"/>
                <w:szCs w:val="22"/>
              </w:rPr>
              <w:t>579</w:t>
            </w:r>
          </w:p>
        </w:tc>
        <w:tc>
          <w:tcPr>
            <w:tcW w:w="398" w:type="pct"/>
            <w:tcBorders>
              <w:top w:val="nil"/>
              <w:left w:val="nil"/>
              <w:bottom w:val="nil"/>
              <w:right w:val="nil"/>
            </w:tcBorders>
            <w:shd w:val="clear" w:color="auto" w:fill="auto"/>
            <w:vAlign w:val="center"/>
            <w:hideMark/>
          </w:tcPr>
          <w:p w14:paraId="341C59D3" w14:textId="51CF0A02" w:rsidR="00F46DFB" w:rsidRPr="002E302D" w:rsidRDefault="00F46DFB" w:rsidP="00F46DFB">
            <w:pPr>
              <w:jc w:val="right"/>
              <w:rPr>
                <w:rFonts w:eastAsia="Times New Roman" w:cs="Arial"/>
                <w:b/>
                <w:bCs/>
                <w:color w:val="A6A6A6"/>
                <w:szCs w:val="22"/>
                <w:lang w:val="en-GB" w:eastAsia="en-GB"/>
              </w:rPr>
            </w:pPr>
            <w:r>
              <w:rPr>
                <w:rFonts w:cs="Arial"/>
                <w:b/>
                <w:bCs/>
                <w:color w:val="A6A6A6"/>
                <w:szCs w:val="22"/>
              </w:rPr>
              <w:t xml:space="preserve">1,037 </w:t>
            </w:r>
          </w:p>
        </w:tc>
        <w:tc>
          <w:tcPr>
            <w:tcW w:w="398" w:type="pct"/>
            <w:tcBorders>
              <w:top w:val="nil"/>
              <w:left w:val="nil"/>
              <w:bottom w:val="nil"/>
              <w:right w:val="nil"/>
            </w:tcBorders>
            <w:shd w:val="clear" w:color="000000" w:fill="D9D9D9"/>
            <w:noWrap/>
            <w:vAlign w:val="center"/>
            <w:hideMark/>
          </w:tcPr>
          <w:p w14:paraId="3EAEB211" w14:textId="09BC86CF" w:rsidR="00F46DFB" w:rsidRPr="002E302D" w:rsidRDefault="008837B1" w:rsidP="00F46DFB">
            <w:pPr>
              <w:jc w:val="right"/>
              <w:rPr>
                <w:rFonts w:eastAsia="Times New Roman" w:cs="Arial"/>
                <w:b/>
                <w:bCs/>
                <w:color w:val="424141"/>
                <w:szCs w:val="22"/>
                <w:lang w:val="en-GB" w:eastAsia="en-GB"/>
              </w:rPr>
            </w:pPr>
            <w:r>
              <w:rPr>
                <w:rFonts w:cs="Arial"/>
                <w:b/>
                <w:bCs/>
                <w:color w:val="424141"/>
                <w:szCs w:val="22"/>
              </w:rPr>
              <w:t xml:space="preserve">191 </w:t>
            </w:r>
          </w:p>
        </w:tc>
        <w:tc>
          <w:tcPr>
            <w:tcW w:w="398" w:type="pct"/>
            <w:tcBorders>
              <w:top w:val="nil"/>
              <w:left w:val="nil"/>
              <w:bottom w:val="nil"/>
              <w:right w:val="nil"/>
            </w:tcBorders>
            <w:shd w:val="clear" w:color="auto" w:fill="auto"/>
            <w:vAlign w:val="center"/>
            <w:hideMark/>
          </w:tcPr>
          <w:p w14:paraId="4EF21BC7" w14:textId="715E133D" w:rsidR="00F46DFB" w:rsidRPr="007A770E" w:rsidRDefault="00F46DFB" w:rsidP="00F46DFB">
            <w:pPr>
              <w:jc w:val="right"/>
              <w:rPr>
                <w:rFonts w:cs="Arial"/>
                <w:b/>
                <w:bCs/>
                <w:color w:val="A6A6A6"/>
                <w:szCs w:val="22"/>
              </w:rPr>
            </w:pPr>
            <w:r>
              <w:rPr>
                <w:rFonts w:cs="Arial"/>
                <w:b/>
                <w:bCs/>
                <w:color w:val="A6A6A6"/>
                <w:szCs w:val="22"/>
              </w:rPr>
              <w:t xml:space="preserve">-7 </w:t>
            </w:r>
          </w:p>
        </w:tc>
        <w:tc>
          <w:tcPr>
            <w:tcW w:w="398" w:type="pct"/>
            <w:tcBorders>
              <w:top w:val="nil"/>
              <w:left w:val="nil"/>
              <w:bottom w:val="nil"/>
              <w:right w:val="nil"/>
            </w:tcBorders>
            <w:shd w:val="clear" w:color="000000" w:fill="D9D9D9"/>
            <w:noWrap/>
            <w:vAlign w:val="center"/>
            <w:hideMark/>
          </w:tcPr>
          <w:p w14:paraId="392086D2" w14:textId="18EBAFFE" w:rsidR="00F46DFB" w:rsidRPr="002E302D" w:rsidRDefault="00F46DFB" w:rsidP="00F46DFB">
            <w:pPr>
              <w:jc w:val="right"/>
              <w:rPr>
                <w:rFonts w:eastAsia="Times New Roman" w:cs="Arial"/>
                <w:b/>
                <w:bCs/>
                <w:color w:val="424141"/>
                <w:szCs w:val="22"/>
                <w:lang w:val="en-GB" w:eastAsia="en-GB"/>
              </w:rPr>
            </w:pPr>
            <w:r>
              <w:rPr>
                <w:rFonts w:cs="Arial"/>
                <w:b/>
                <w:bCs/>
                <w:color w:val="424141"/>
                <w:szCs w:val="22"/>
              </w:rPr>
              <w:t>-2</w:t>
            </w:r>
            <w:r w:rsidR="000415F8">
              <w:rPr>
                <w:rFonts w:cs="Arial"/>
                <w:b/>
                <w:bCs/>
                <w:color w:val="424141"/>
                <w:szCs w:val="22"/>
              </w:rPr>
              <w:t>55</w:t>
            </w:r>
            <w:r>
              <w:rPr>
                <w:rFonts w:cs="Arial"/>
                <w:b/>
                <w:bCs/>
                <w:color w:val="424141"/>
                <w:szCs w:val="22"/>
              </w:rPr>
              <w:t xml:space="preserve"> </w:t>
            </w:r>
          </w:p>
        </w:tc>
        <w:tc>
          <w:tcPr>
            <w:tcW w:w="382" w:type="pct"/>
            <w:tcBorders>
              <w:top w:val="nil"/>
              <w:left w:val="nil"/>
              <w:bottom w:val="nil"/>
              <w:right w:val="nil"/>
            </w:tcBorders>
            <w:shd w:val="clear" w:color="auto" w:fill="auto"/>
            <w:noWrap/>
            <w:vAlign w:val="center"/>
            <w:hideMark/>
          </w:tcPr>
          <w:p w14:paraId="2FE104DA" w14:textId="5C70A26A" w:rsidR="00F46DFB" w:rsidRPr="002E302D" w:rsidRDefault="00F46DFB" w:rsidP="00F46DFB">
            <w:pPr>
              <w:jc w:val="right"/>
              <w:rPr>
                <w:rFonts w:eastAsia="Times New Roman" w:cs="Arial"/>
                <w:b/>
                <w:bCs/>
                <w:color w:val="A6A6A6"/>
                <w:szCs w:val="22"/>
                <w:lang w:val="en-GB" w:eastAsia="en-GB"/>
              </w:rPr>
            </w:pPr>
            <w:r>
              <w:rPr>
                <w:rFonts w:cs="Arial"/>
                <w:b/>
                <w:bCs/>
                <w:color w:val="A6A6A6"/>
                <w:szCs w:val="22"/>
              </w:rPr>
              <w:t xml:space="preserve">-144 </w:t>
            </w:r>
          </w:p>
        </w:tc>
      </w:tr>
      <w:tr w:rsidR="00F46DFB" w:rsidRPr="002E302D" w14:paraId="22A2FF3B" w14:textId="77777777" w:rsidTr="00052572">
        <w:trPr>
          <w:trHeight w:val="293"/>
        </w:trPr>
        <w:tc>
          <w:tcPr>
            <w:tcW w:w="1538" w:type="pct"/>
            <w:tcBorders>
              <w:top w:val="nil"/>
              <w:left w:val="nil"/>
              <w:bottom w:val="nil"/>
              <w:right w:val="nil"/>
            </w:tcBorders>
            <w:shd w:val="clear" w:color="auto" w:fill="auto"/>
            <w:noWrap/>
            <w:vAlign w:val="center"/>
            <w:hideMark/>
          </w:tcPr>
          <w:p w14:paraId="6B8912E5" w14:textId="77777777" w:rsidR="00F46DFB" w:rsidRPr="002E302D" w:rsidRDefault="00F46DFB" w:rsidP="00F46DFB">
            <w:pPr>
              <w:jc w:val="right"/>
              <w:rPr>
                <w:rFonts w:eastAsia="Times New Roman" w:cs="Arial"/>
                <w:b/>
                <w:bCs/>
                <w:color w:val="A6A6A6"/>
                <w:szCs w:val="22"/>
                <w:lang w:val="en-GB" w:eastAsia="en-GB"/>
              </w:rPr>
            </w:pPr>
          </w:p>
        </w:tc>
        <w:tc>
          <w:tcPr>
            <w:tcW w:w="298" w:type="pct"/>
            <w:tcBorders>
              <w:top w:val="nil"/>
              <w:left w:val="nil"/>
              <w:bottom w:val="nil"/>
              <w:right w:val="nil"/>
            </w:tcBorders>
            <w:shd w:val="clear" w:color="auto" w:fill="auto"/>
            <w:noWrap/>
            <w:vAlign w:val="center"/>
            <w:hideMark/>
          </w:tcPr>
          <w:p w14:paraId="04A6C106" w14:textId="77777777" w:rsidR="00F46DFB" w:rsidRPr="002E302D" w:rsidRDefault="00F46DFB" w:rsidP="00F46DFB">
            <w:pPr>
              <w:rPr>
                <w:rFonts w:ascii="Times New Roman" w:eastAsia="Times New Roman" w:hAnsi="Times New Roman"/>
                <w:sz w:val="20"/>
                <w:szCs w:val="20"/>
                <w:lang w:val="en-GB" w:eastAsia="en-GB"/>
              </w:rPr>
            </w:pPr>
          </w:p>
        </w:tc>
        <w:tc>
          <w:tcPr>
            <w:tcW w:w="397" w:type="pct"/>
            <w:tcBorders>
              <w:top w:val="nil"/>
              <w:left w:val="nil"/>
              <w:bottom w:val="single" w:sz="8" w:space="0" w:color="auto"/>
              <w:right w:val="nil"/>
            </w:tcBorders>
            <w:shd w:val="clear" w:color="000000" w:fill="D9D9D9"/>
            <w:noWrap/>
            <w:vAlign w:val="center"/>
            <w:hideMark/>
          </w:tcPr>
          <w:p w14:paraId="0C47B0F7" w14:textId="6813A268" w:rsidR="00F46DFB" w:rsidRPr="002E302D" w:rsidRDefault="00F46DFB" w:rsidP="00F46DFB">
            <w:pPr>
              <w:jc w:val="right"/>
              <w:rPr>
                <w:rFonts w:eastAsia="Times New Roman" w:cs="Arial"/>
                <w:b/>
                <w:bCs/>
                <w:color w:val="424141"/>
                <w:szCs w:val="22"/>
                <w:lang w:val="en-GB" w:eastAsia="en-GB"/>
              </w:rPr>
            </w:pPr>
            <w:r>
              <w:rPr>
                <w:rFonts w:cs="Arial"/>
                <w:b/>
                <w:bCs/>
                <w:color w:val="424141"/>
                <w:szCs w:val="22"/>
              </w:rPr>
              <w:t> </w:t>
            </w:r>
          </w:p>
        </w:tc>
        <w:tc>
          <w:tcPr>
            <w:tcW w:w="397" w:type="pct"/>
            <w:tcBorders>
              <w:top w:val="nil"/>
              <w:left w:val="nil"/>
              <w:bottom w:val="single" w:sz="8" w:space="0" w:color="auto"/>
              <w:right w:val="nil"/>
            </w:tcBorders>
            <w:shd w:val="clear" w:color="auto" w:fill="auto"/>
            <w:vAlign w:val="center"/>
            <w:hideMark/>
          </w:tcPr>
          <w:p w14:paraId="355CA688" w14:textId="544A712E" w:rsidR="00F46DFB" w:rsidRPr="002E302D" w:rsidRDefault="00F46DFB" w:rsidP="00F46DFB">
            <w:pPr>
              <w:jc w:val="right"/>
              <w:rPr>
                <w:rFonts w:eastAsia="Times New Roman" w:cs="Arial"/>
                <w:b/>
                <w:bCs/>
                <w:color w:val="A6A6A6"/>
                <w:szCs w:val="22"/>
                <w:lang w:val="en-GB" w:eastAsia="en-GB"/>
              </w:rPr>
            </w:pPr>
            <w:r>
              <w:rPr>
                <w:rFonts w:cs="Arial"/>
                <w:b/>
                <w:bCs/>
                <w:color w:val="A6A6A6"/>
                <w:szCs w:val="22"/>
              </w:rPr>
              <w:t> </w:t>
            </w:r>
          </w:p>
        </w:tc>
        <w:tc>
          <w:tcPr>
            <w:tcW w:w="396" w:type="pct"/>
            <w:tcBorders>
              <w:top w:val="nil"/>
              <w:left w:val="nil"/>
              <w:bottom w:val="single" w:sz="8" w:space="0" w:color="auto"/>
              <w:right w:val="nil"/>
            </w:tcBorders>
            <w:shd w:val="clear" w:color="000000" w:fill="D9D9D9"/>
            <w:noWrap/>
            <w:vAlign w:val="center"/>
            <w:hideMark/>
          </w:tcPr>
          <w:p w14:paraId="3E6D8F17" w14:textId="46E4E626" w:rsidR="00F46DFB" w:rsidRPr="002E302D" w:rsidRDefault="00F46DFB" w:rsidP="00F46DFB">
            <w:pPr>
              <w:jc w:val="right"/>
              <w:rPr>
                <w:rFonts w:eastAsia="Times New Roman" w:cs="Arial"/>
                <w:b/>
                <w:bCs/>
                <w:color w:val="424141"/>
                <w:szCs w:val="22"/>
                <w:lang w:val="en-GB" w:eastAsia="en-GB"/>
              </w:rPr>
            </w:pPr>
            <w:r>
              <w:rPr>
                <w:rFonts w:cs="Arial"/>
                <w:b/>
                <w:bCs/>
                <w:color w:val="424141"/>
                <w:szCs w:val="22"/>
              </w:rPr>
              <w:t> </w:t>
            </w:r>
          </w:p>
        </w:tc>
        <w:tc>
          <w:tcPr>
            <w:tcW w:w="398" w:type="pct"/>
            <w:tcBorders>
              <w:top w:val="nil"/>
              <w:left w:val="nil"/>
              <w:bottom w:val="single" w:sz="8" w:space="0" w:color="auto"/>
              <w:right w:val="nil"/>
            </w:tcBorders>
            <w:shd w:val="clear" w:color="auto" w:fill="auto"/>
            <w:vAlign w:val="center"/>
            <w:hideMark/>
          </w:tcPr>
          <w:p w14:paraId="0C173D7A" w14:textId="565E23FC" w:rsidR="00F46DFB" w:rsidRPr="002E302D" w:rsidRDefault="00F46DFB" w:rsidP="00F46DFB">
            <w:pPr>
              <w:jc w:val="right"/>
              <w:rPr>
                <w:rFonts w:eastAsia="Times New Roman" w:cs="Arial"/>
                <w:b/>
                <w:bCs/>
                <w:color w:val="A6A6A6"/>
                <w:szCs w:val="22"/>
                <w:lang w:val="en-GB" w:eastAsia="en-GB"/>
              </w:rPr>
            </w:pPr>
            <w:r>
              <w:rPr>
                <w:rFonts w:cs="Arial"/>
                <w:b/>
                <w:bCs/>
                <w:color w:val="A6A6A6"/>
                <w:szCs w:val="22"/>
              </w:rPr>
              <w:t> </w:t>
            </w:r>
          </w:p>
        </w:tc>
        <w:tc>
          <w:tcPr>
            <w:tcW w:w="398" w:type="pct"/>
            <w:tcBorders>
              <w:top w:val="nil"/>
              <w:left w:val="nil"/>
              <w:bottom w:val="single" w:sz="8" w:space="0" w:color="auto"/>
              <w:right w:val="nil"/>
            </w:tcBorders>
            <w:shd w:val="clear" w:color="000000" w:fill="D9D9D9"/>
            <w:noWrap/>
            <w:vAlign w:val="center"/>
            <w:hideMark/>
          </w:tcPr>
          <w:p w14:paraId="729E15CF" w14:textId="74974EC3" w:rsidR="00F46DFB" w:rsidRPr="002E302D" w:rsidRDefault="00F46DFB" w:rsidP="00F46DFB">
            <w:pPr>
              <w:jc w:val="right"/>
              <w:rPr>
                <w:rFonts w:eastAsia="Times New Roman" w:cs="Arial"/>
                <w:b/>
                <w:bCs/>
                <w:color w:val="424141"/>
                <w:szCs w:val="22"/>
                <w:lang w:val="en-GB" w:eastAsia="en-GB"/>
              </w:rPr>
            </w:pPr>
            <w:r>
              <w:rPr>
                <w:rFonts w:cs="Arial"/>
                <w:b/>
                <w:bCs/>
                <w:color w:val="424141"/>
                <w:szCs w:val="22"/>
              </w:rPr>
              <w:t> </w:t>
            </w:r>
          </w:p>
        </w:tc>
        <w:tc>
          <w:tcPr>
            <w:tcW w:w="398" w:type="pct"/>
            <w:tcBorders>
              <w:top w:val="nil"/>
              <w:left w:val="nil"/>
              <w:bottom w:val="single" w:sz="8" w:space="0" w:color="auto"/>
              <w:right w:val="nil"/>
            </w:tcBorders>
            <w:shd w:val="clear" w:color="auto" w:fill="auto"/>
            <w:vAlign w:val="center"/>
            <w:hideMark/>
          </w:tcPr>
          <w:p w14:paraId="35B791A6" w14:textId="6BB59555" w:rsidR="00F46DFB" w:rsidRPr="002E302D" w:rsidRDefault="00F46DFB" w:rsidP="00F46DFB">
            <w:pPr>
              <w:jc w:val="right"/>
              <w:rPr>
                <w:rFonts w:eastAsia="Times New Roman" w:cs="Arial"/>
                <w:b/>
                <w:bCs/>
                <w:color w:val="A6A6A6"/>
                <w:szCs w:val="22"/>
                <w:lang w:val="en-GB" w:eastAsia="en-GB"/>
              </w:rPr>
            </w:pPr>
            <w:r>
              <w:rPr>
                <w:rFonts w:cs="Arial"/>
                <w:b/>
                <w:bCs/>
                <w:color w:val="A6A6A6"/>
                <w:szCs w:val="22"/>
              </w:rPr>
              <w:t> </w:t>
            </w:r>
          </w:p>
        </w:tc>
        <w:tc>
          <w:tcPr>
            <w:tcW w:w="398" w:type="pct"/>
            <w:tcBorders>
              <w:top w:val="nil"/>
              <w:left w:val="nil"/>
              <w:bottom w:val="single" w:sz="8" w:space="0" w:color="auto"/>
              <w:right w:val="nil"/>
            </w:tcBorders>
            <w:shd w:val="clear" w:color="000000" w:fill="D9D9D9"/>
            <w:noWrap/>
            <w:vAlign w:val="center"/>
            <w:hideMark/>
          </w:tcPr>
          <w:p w14:paraId="5E5B5310" w14:textId="302EDFE1" w:rsidR="00F46DFB" w:rsidRPr="002E302D" w:rsidRDefault="00F46DFB" w:rsidP="00F46DFB">
            <w:pPr>
              <w:jc w:val="right"/>
              <w:rPr>
                <w:rFonts w:eastAsia="Times New Roman" w:cs="Arial"/>
                <w:b/>
                <w:bCs/>
                <w:color w:val="424141"/>
                <w:szCs w:val="22"/>
                <w:lang w:val="en-GB" w:eastAsia="en-GB"/>
              </w:rPr>
            </w:pPr>
            <w:r>
              <w:rPr>
                <w:rFonts w:cs="Arial"/>
                <w:b/>
                <w:bCs/>
                <w:color w:val="424141"/>
                <w:szCs w:val="22"/>
              </w:rPr>
              <w:t xml:space="preserve">0 </w:t>
            </w:r>
          </w:p>
        </w:tc>
        <w:tc>
          <w:tcPr>
            <w:tcW w:w="382" w:type="pct"/>
            <w:tcBorders>
              <w:top w:val="nil"/>
              <w:left w:val="nil"/>
              <w:bottom w:val="single" w:sz="8" w:space="0" w:color="auto"/>
              <w:right w:val="nil"/>
            </w:tcBorders>
            <w:shd w:val="clear" w:color="auto" w:fill="auto"/>
            <w:noWrap/>
            <w:vAlign w:val="center"/>
            <w:hideMark/>
          </w:tcPr>
          <w:p w14:paraId="708E6AC5" w14:textId="114F9A46" w:rsidR="00F46DFB" w:rsidRPr="002E302D" w:rsidRDefault="00F46DFB" w:rsidP="00F46DFB">
            <w:pPr>
              <w:jc w:val="right"/>
              <w:rPr>
                <w:rFonts w:eastAsia="Times New Roman" w:cs="Arial"/>
                <w:b/>
                <w:bCs/>
                <w:color w:val="A6A6A6"/>
                <w:szCs w:val="22"/>
                <w:lang w:val="en-GB" w:eastAsia="en-GB"/>
              </w:rPr>
            </w:pPr>
            <w:r>
              <w:rPr>
                <w:rFonts w:cs="Arial"/>
                <w:b/>
                <w:bCs/>
                <w:color w:val="A6A6A6"/>
                <w:szCs w:val="22"/>
              </w:rPr>
              <w:t xml:space="preserve">0 </w:t>
            </w:r>
          </w:p>
        </w:tc>
      </w:tr>
      <w:tr w:rsidR="00F46DFB" w:rsidRPr="002E302D" w14:paraId="535C0BD5" w14:textId="77777777" w:rsidTr="00052572">
        <w:trPr>
          <w:trHeight w:val="285"/>
        </w:trPr>
        <w:tc>
          <w:tcPr>
            <w:tcW w:w="1538" w:type="pct"/>
            <w:tcBorders>
              <w:top w:val="nil"/>
              <w:left w:val="nil"/>
              <w:bottom w:val="nil"/>
              <w:right w:val="nil"/>
            </w:tcBorders>
            <w:shd w:val="clear" w:color="auto" w:fill="auto"/>
            <w:noWrap/>
            <w:vAlign w:val="center"/>
            <w:hideMark/>
          </w:tcPr>
          <w:p w14:paraId="6226310E" w14:textId="77777777" w:rsidR="00F46DFB" w:rsidRPr="002E302D" w:rsidRDefault="00F46DFB" w:rsidP="00F46DFB">
            <w:pPr>
              <w:rPr>
                <w:rFonts w:eastAsia="Times New Roman" w:cs="Arial"/>
                <w:b/>
                <w:bCs/>
                <w:color w:val="424141"/>
                <w:szCs w:val="22"/>
                <w:lang w:val="en-GB" w:eastAsia="en-GB"/>
              </w:rPr>
            </w:pPr>
            <w:r w:rsidRPr="002E302D">
              <w:rPr>
                <w:rFonts w:eastAsia="Times New Roman" w:cs="Arial"/>
                <w:b/>
                <w:bCs/>
                <w:color w:val="424141"/>
                <w:szCs w:val="22"/>
                <w:lang w:val="en-GB" w:eastAsia="en-GB"/>
              </w:rPr>
              <w:t>Total assets less current liabilities</w:t>
            </w:r>
          </w:p>
        </w:tc>
        <w:tc>
          <w:tcPr>
            <w:tcW w:w="298" w:type="pct"/>
            <w:tcBorders>
              <w:top w:val="nil"/>
              <w:left w:val="nil"/>
              <w:bottom w:val="nil"/>
              <w:right w:val="nil"/>
            </w:tcBorders>
            <w:shd w:val="clear" w:color="auto" w:fill="auto"/>
            <w:noWrap/>
            <w:vAlign w:val="center"/>
            <w:hideMark/>
          </w:tcPr>
          <w:p w14:paraId="6E34CFE2" w14:textId="77777777" w:rsidR="00F46DFB" w:rsidRPr="002E302D" w:rsidRDefault="00F46DFB" w:rsidP="00F46DFB">
            <w:pPr>
              <w:rPr>
                <w:rFonts w:eastAsia="Times New Roman" w:cs="Arial"/>
                <w:b/>
                <w:bCs/>
                <w:color w:val="424141"/>
                <w:szCs w:val="22"/>
                <w:lang w:val="en-GB" w:eastAsia="en-GB"/>
              </w:rPr>
            </w:pPr>
          </w:p>
        </w:tc>
        <w:tc>
          <w:tcPr>
            <w:tcW w:w="397" w:type="pct"/>
            <w:tcBorders>
              <w:top w:val="nil"/>
              <w:left w:val="nil"/>
              <w:bottom w:val="nil"/>
              <w:right w:val="nil"/>
            </w:tcBorders>
            <w:shd w:val="clear" w:color="000000" w:fill="D9D9D9"/>
            <w:noWrap/>
            <w:vAlign w:val="center"/>
            <w:hideMark/>
          </w:tcPr>
          <w:p w14:paraId="7B17FD38" w14:textId="16C7CBCB" w:rsidR="00F46DFB" w:rsidRPr="002E302D" w:rsidRDefault="00F46DFB" w:rsidP="00F46DFB">
            <w:pPr>
              <w:jc w:val="right"/>
              <w:rPr>
                <w:rFonts w:eastAsia="Times New Roman" w:cs="Arial"/>
                <w:b/>
                <w:bCs/>
                <w:color w:val="424141"/>
                <w:szCs w:val="22"/>
                <w:lang w:val="en-GB" w:eastAsia="en-GB"/>
              </w:rPr>
            </w:pPr>
            <w:r>
              <w:rPr>
                <w:rFonts w:cs="Arial"/>
                <w:b/>
                <w:bCs/>
                <w:color w:val="424141"/>
                <w:szCs w:val="22"/>
              </w:rPr>
              <w:t>2,8</w:t>
            </w:r>
            <w:r w:rsidR="00720B60">
              <w:rPr>
                <w:rFonts w:cs="Arial"/>
                <w:b/>
                <w:bCs/>
                <w:color w:val="424141"/>
                <w:szCs w:val="22"/>
              </w:rPr>
              <w:t>2</w:t>
            </w:r>
            <w:r>
              <w:rPr>
                <w:rFonts w:cs="Arial"/>
                <w:b/>
                <w:bCs/>
                <w:color w:val="424141"/>
                <w:szCs w:val="22"/>
              </w:rPr>
              <w:t xml:space="preserve">8 </w:t>
            </w:r>
          </w:p>
        </w:tc>
        <w:tc>
          <w:tcPr>
            <w:tcW w:w="397" w:type="pct"/>
            <w:tcBorders>
              <w:top w:val="nil"/>
              <w:left w:val="nil"/>
              <w:bottom w:val="nil"/>
              <w:right w:val="nil"/>
            </w:tcBorders>
            <w:shd w:val="clear" w:color="auto" w:fill="auto"/>
            <w:vAlign w:val="center"/>
            <w:hideMark/>
          </w:tcPr>
          <w:p w14:paraId="625A51BE" w14:textId="60C7B754" w:rsidR="00F46DFB" w:rsidRPr="002E302D" w:rsidRDefault="000F5CD3" w:rsidP="00F46DFB">
            <w:pPr>
              <w:jc w:val="right"/>
              <w:rPr>
                <w:rFonts w:eastAsia="Times New Roman" w:cs="Arial"/>
                <w:b/>
                <w:bCs/>
                <w:color w:val="A6A6A6"/>
                <w:szCs w:val="22"/>
                <w:lang w:val="en-GB" w:eastAsia="en-GB"/>
              </w:rPr>
            </w:pPr>
            <w:r>
              <w:rPr>
                <w:rFonts w:cs="Arial"/>
                <w:b/>
                <w:bCs/>
                <w:color w:val="A6A6A6"/>
                <w:szCs w:val="22"/>
              </w:rPr>
              <w:t>4</w:t>
            </w:r>
            <w:r w:rsidR="00F46DFB">
              <w:rPr>
                <w:rFonts w:cs="Arial"/>
                <w:b/>
                <w:bCs/>
                <w:color w:val="A6A6A6"/>
                <w:szCs w:val="22"/>
              </w:rPr>
              <w:t xml:space="preserve">,336 </w:t>
            </w:r>
          </w:p>
        </w:tc>
        <w:tc>
          <w:tcPr>
            <w:tcW w:w="396" w:type="pct"/>
            <w:tcBorders>
              <w:top w:val="nil"/>
              <w:left w:val="nil"/>
              <w:bottom w:val="nil"/>
              <w:right w:val="nil"/>
            </w:tcBorders>
            <w:shd w:val="clear" w:color="000000" w:fill="D9D9D9"/>
            <w:noWrap/>
            <w:vAlign w:val="center"/>
            <w:hideMark/>
          </w:tcPr>
          <w:p w14:paraId="3DFEBE5D" w14:textId="2511F826" w:rsidR="00F46DFB" w:rsidRPr="002E302D" w:rsidRDefault="00951CD4" w:rsidP="00F46DFB">
            <w:pPr>
              <w:jc w:val="right"/>
              <w:rPr>
                <w:rFonts w:eastAsia="Times New Roman" w:cs="Arial"/>
                <w:b/>
                <w:bCs/>
                <w:color w:val="424141"/>
                <w:szCs w:val="22"/>
                <w:lang w:val="en-GB" w:eastAsia="en-GB"/>
              </w:rPr>
            </w:pPr>
            <w:r>
              <w:rPr>
                <w:rFonts w:cs="Arial"/>
                <w:b/>
                <w:bCs/>
                <w:color w:val="424141"/>
                <w:szCs w:val="22"/>
              </w:rPr>
              <w:t>4</w:t>
            </w:r>
            <w:r w:rsidR="00F46DFB">
              <w:rPr>
                <w:rFonts w:cs="Arial"/>
                <w:b/>
                <w:bCs/>
                <w:color w:val="424141"/>
                <w:szCs w:val="22"/>
              </w:rPr>
              <w:t>,77</w:t>
            </w:r>
            <w:r>
              <w:rPr>
                <w:rFonts w:cs="Arial"/>
                <w:b/>
                <w:bCs/>
                <w:color w:val="424141"/>
                <w:szCs w:val="22"/>
              </w:rPr>
              <w:t>7</w:t>
            </w:r>
            <w:r w:rsidR="00F46DFB">
              <w:rPr>
                <w:rFonts w:cs="Arial"/>
                <w:b/>
                <w:bCs/>
                <w:color w:val="424141"/>
                <w:szCs w:val="22"/>
              </w:rPr>
              <w:t xml:space="preserve"> </w:t>
            </w:r>
          </w:p>
        </w:tc>
        <w:tc>
          <w:tcPr>
            <w:tcW w:w="398" w:type="pct"/>
            <w:tcBorders>
              <w:top w:val="nil"/>
              <w:left w:val="nil"/>
              <w:bottom w:val="nil"/>
              <w:right w:val="nil"/>
            </w:tcBorders>
            <w:shd w:val="clear" w:color="auto" w:fill="auto"/>
            <w:vAlign w:val="center"/>
            <w:hideMark/>
          </w:tcPr>
          <w:p w14:paraId="70D9D58A" w14:textId="7B541791" w:rsidR="00F46DFB" w:rsidRPr="002E302D" w:rsidRDefault="00F46DFB" w:rsidP="00F46DFB">
            <w:pPr>
              <w:jc w:val="right"/>
              <w:rPr>
                <w:rFonts w:eastAsia="Times New Roman" w:cs="Arial"/>
                <w:b/>
                <w:bCs/>
                <w:color w:val="A6A6A6"/>
                <w:szCs w:val="22"/>
                <w:lang w:val="en-GB" w:eastAsia="en-GB"/>
              </w:rPr>
            </w:pPr>
            <w:r>
              <w:rPr>
                <w:rFonts w:cs="Arial"/>
                <w:b/>
                <w:bCs/>
                <w:color w:val="A6A6A6"/>
                <w:szCs w:val="22"/>
              </w:rPr>
              <w:t xml:space="preserve">4,498 </w:t>
            </w:r>
          </w:p>
        </w:tc>
        <w:tc>
          <w:tcPr>
            <w:tcW w:w="398" w:type="pct"/>
            <w:tcBorders>
              <w:top w:val="nil"/>
              <w:left w:val="nil"/>
              <w:bottom w:val="nil"/>
              <w:right w:val="nil"/>
            </w:tcBorders>
            <w:shd w:val="clear" w:color="000000" w:fill="D9D9D9"/>
            <w:noWrap/>
            <w:vAlign w:val="center"/>
            <w:hideMark/>
          </w:tcPr>
          <w:p w14:paraId="6FE21494" w14:textId="4E9F0575" w:rsidR="00F46DFB" w:rsidRPr="002E302D" w:rsidRDefault="00F46DFB" w:rsidP="00F46DFB">
            <w:pPr>
              <w:jc w:val="right"/>
              <w:rPr>
                <w:rFonts w:eastAsia="Times New Roman" w:cs="Arial"/>
                <w:b/>
                <w:bCs/>
                <w:color w:val="424141"/>
                <w:szCs w:val="22"/>
                <w:lang w:val="en-GB" w:eastAsia="en-GB"/>
              </w:rPr>
            </w:pPr>
            <w:r>
              <w:rPr>
                <w:rFonts w:cs="Arial"/>
                <w:b/>
                <w:bCs/>
                <w:color w:val="424141"/>
                <w:szCs w:val="22"/>
              </w:rPr>
              <w:t>91</w:t>
            </w:r>
            <w:r w:rsidR="008837B1">
              <w:rPr>
                <w:rFonts w:cs="Arial"/>
                <w:b/>
                <w:bCs/>
                <w:color w:val="424141"/>
                <w:szCs w:val="22"/>
              </w:rPr>
              <w:t>9</w:t>
            </w:r>
            <w:r>
              <w:rPr>
                <w:rFonts w:cs="Arial"/>
                <w:b/>
                <w:bCs/>
                <w:color w:val="424141"/>
                <w:szCs w:val="22"/>
              </w:rPr>
              <w:t xml:space="preserve"> </w:t>
            </w:r>
          </w:p>
        </w:tc>
        <w:tc>
          <w:tcPr>
            <w:tcW w:w="398" w:type="pct"/>
            <w:tcBorders>
              <w:top w:val="nil"/>
              <w:left w:val="nil"/>
              <w:bottom w:val="nil"/>
              <w:right w:val="nil"/>
            </w:tcBorders>
            <w:shd w:val="clear" w:color="auto" w:fill="auto"/>
            <w:vAlign w:val="center"/>
            <w:hideMark/>
          </w:tcPr>
          <w:p w14:paraId="4F3C5EF0" w14:textId="305DD697" w:rsidR="00F46DFB" w:rsidRPr="002E302D" w:rsidRDefault="00F46DFB" w:rsidP="00F46DFB">
            <w:pPr>
              <w:jc w:val="right"/>
              <w:rPr>
                <w:rFonts w:eastAsia="Times New Roman" w:cs="Arial"/>
                <w:b/>
                <w:bCs/>
                <w:color w:val="A6A6A6"/>
                <w:szCs w:val="22"/>
                <w:lang w:val="en-GB" w:eastAsia="en-GB"/>
              </w:rPr>
            </w:pPr>
            <w:r>
              <w:rPr>
                <w:rFonts w:cs="Arial"/>
                <w:b/>
                <w:bCs/>
                <w:color w:val="A6A6A6"/>
                <w:szCs w:val="22"/>
              </w:rPr>
              <w:t xml:space="preserve">963 </w:t>
            </w:r>
          </w:p>
        </w:tc>
        <w:tc>
          <w:tcPr>
            <w:tcW w:w="398" w:type="pct"/>
            <w:tcBorders>
              <w:top w:val="nil"/>
              <w:left w:val="nil"/>
              <w:bottom w:val="nil"/>
              <w:right w:val="nil"/>
            </w:tcBorders>
            <w:shd w:val="clear" w:color="000000" w:fill="D9D9D9"/>
            <w:noWrap/>
            <w:vAlign w:val="center"/>
            <w:hideMark/>
          </w:tcPr>
          <w:p w14:paraId="5A12E9B0" w14:textId="7427D78E" w:rsidR="00F46DFB" w:rsidRPr="002E302D" w:rsidRDefault="00951CD4" w:rsidP="00F46DFB">
            <w:pPr>
              <w:jc w:val="right"/>
              <w:rPr>
                <w:rFonts w:eastAsia="Times New Roman" w:cs="Arial"/>
                <w:b/>
                <w:bCs/>
                <w:color w:val="424141"/>
                <w:szCs w:val="22"/>
                <w:lang w:val="en-GB" w:eastAsia="en-GB"/>
              </w:rPr>
            </w:pPr>
            <w:r>
              <w:rPr>
                <w:rFonts w:cs="Arial"/>
                <w:b/>
                <w:bCs/>
                <w:color w:val="424141"/>
                <w:szCs w:val="22"/>
              </w:rPr>
              <w:t>8</w:t>
            </w:r>
            <w:r w:rsidR="00F46DFB">
              <w:rPr>
                <w:rFonts w:cs="Arial"/>
                <w:b/>
                <w:bCs/>
                <w:color w:val="424141"/>
                <w:szCs w:val="22"/>
              </w:rPr>
              <w:t>,</w:t>
            </w:r>
            <w:r w:rsidR="00E84F80">
              <w:rPr>
                <w:rFonts w:cs="Arial"/>
                <w:b/>
                <w:bCs/>
                <w:color w:val="424141"/>
                <w:szCs w:val="22"/>
              </w:rPr>
              <w:t xml:space="preserve">534 </w:t>
            </w:r>
          </w:p>
        </w:tc>
        <w:tc>
          <w:tcPr>
            <w:tcW w:w="382" w:type="pct"/>
            <w:tcBorders>
              <w:top w:val="nil"/>
              <w:left w:val="nil"/>
              <w:bottom w:val="nil"/>
              <w:right w:val="nil"/>
            </w:tcBorders>
            <w:shd w:val="clear" w:color="auto" w:fill="auto"/>
            <w:noWrap/>
            <w:vAlign w:val="center"/>
            <w:hideMark/>
          </w:tcPr>
          <w:p w14:paraId="229BF03D" w14:textId="6734FF7E" w:rsidR="00F46DFB" w:rsidRPr="002E302D" w:rsidRDefault="00951CD4" w:rsidP="00F46DFB">
            <w:pPr>
              <w:jc w:val="right"/>
              <w:rPr>
                <w:rFonts w:eastAsia="Times New Roman" w:cs="Arial"/>
                <w:b/>
                <w:bCs/>
                <w:color w:val="A6A6A6"/>
                <w:szCs w:val="22"/>
                <w:lang w:val="en-GB" w:eastAsia="en-GB"/>
              </w:rPr>
            </w:pPr>
            <w:r>
              <w:rPr>
                <w:rFonts w:cs="Arial"/>
                <w:b/>
                <w:bCs/>
                <w:color w:val="A6A6A6"/>
                <w:szCs w:val="22"/>
              </w:rPr>
              <w:t>9</w:t>
            </w:r>
            <w:r w:rsidR="00F46DFB">
              <w:rPr>
                <w:rFonts w:cs="Arial"/>
                <w:b/>
                <w:bCs/>
                <w:color w:val="A6A6A6"/>
                <w:szCs w:val="22"/>
              </w:rPr>
              <w:t xml:space="preserve">,797 </w:t>
            </w:r>
          </w:p>
        </w:tc>
      </w:tr>
      <w:tr w:rsidR="00F46DFB" w:rsidRPr="002E302D" w14:paraId="1FF30A92" w14:textId="77777777" w:rsidTr="00052572">
        <w:trPr>
          <w:trHeight w:val="293"/>
        </w:trPr>
        <w:tc>
          <w:tcPr>
            <w:tcW w:w="1538" w:type="pct"/>
            <w:tcBorders>
              <w:top w:val="nil"/>
              <w:left w:val="nil"/>
              <w:bottom w:val="nil"/>
              <w:right w:val="nil"/>
            </w:tcBorders>
            <w:shd w:val="clear" w:color="auto" w:fill="auto"/>
            <w:noWrap/>
            <w:vAlign w:val="center"/>
            <w:hideMark/>
          </w:tcPr>
          <w:p w14:paraId="0D3EC2A6" w14:textId="77777777" w:rsidR="00F46DFB" w:rsidRPr="002E302D" w:rsidRDefault="00F46DFB" w:rsidP="00F46DFB">
            <w:pPr>
              <w:rPr>
                <w:rFonts w:eastAsia="Times New Roman" w:cs="Arial"/>
                <w:color w:val="424141"/>
                <w:szCs w:val="22"/>
                <w:lang w:val="en-GB" w:eastAsia="en-GB"/>
              </w:rPr>
            </w:pPr>
            <w:r w:rsidRPr="002E302D">
              <w:rPr>
                <w:rFonts w:eastAsia="Times New Roman" w:cs="Arial"/>
                <w:color w:val="424141"/>
                <w:szCs w:val="22"/>
                <w:lang w:val="en-GB" w:eastAsia="en-GB"/>
              </w:rPr>
              <w:t>Creditors falling due after more than one year</w:t>
            </w:r>
          </w:p>
        </w:tc>
        <w:tc>
          <w:tcPr>
            <w:tcW w:w="298" w:type="pct"/>
            <w:tcBorders>
              <w:top w:val="nil"/>
              <w:left w:val="nil"/>
              <w:bottom w:val="nil"/>
              <w:right w:val="nil"/>
            </w:tcBorders>
            <w:shd w:val="clear" w:color="auto" w:fill="auto"/>
            <w:noWrap/>
            <w:vAlign w:val="center"/>
            <w:hideMark/>
          </w:tcPr>
          <w:p w14:paraId="3BBE0CBB" w14:textId="77777777" w:rsidR="00F46DFB" w:rsidRPr="002E302D" w:rsidRDefault="00F46DFB" w:rsidP="00F46DFB">
            <w:pPr>
              <w:jc w:val="right"/>
              <w:rPr>
                <w:rFonts w:eastAsia="Times New Roman" w:cs="Arial"/>
                <w:color w:val="424141"/>
                <w:szCs w:val="22"/>
                <w:lang w:val="en-GB" w:eastAsia="en-GB"/>
              </w:rPr>
            </w:pPr>
            <w:r w:rsidRPr="002E302D">
              <w:rPr>
                <w:rFonts w:eastAsia="Times New Roman" w:cs="Arial"/>
                <w:color w:val="424141"/>
                <w:szCs w:val="22"/>
                <w:lang w:val="en-GB" w:eastAsia="en-GB"/>
              </w:rPr>
              <w:t>19</w:t>
            </w:r>
          </w:p>
        </w:tc>
        <w:tc>
          <w:tcPr>
            <w:tcW w:w="397" w:type="pct"/>
            <w:tcBorders>
              <w:top w:val="nil"/>
              <w:left w:val="nil"/>
              <w:bottom w:val="single" w:sz="8" w:space="0" w:color="auto"/>
              <w:right w:val="nil"/>
            </w:tcBorders>
            <w:shd w:val="clear" w:color="auto" w:fill="D9D9D9" w:themeFill="background1" w:themeFillShade="D9"/>
            <w:noWrap/>
            <w:vAlign w:val="center"/>
            <w:hideMark/>
          </w:tcPr>
          <w:p w14:paraId="04FB4525" w14:textId="5367157A" w:rsidR="00F46DFB" w:rsidRPr="007A770E" w:rsidRDefault="00F46DFB" w:rsidP="00F46DFB">
            <w:pPr>
              <w:jc w:val="right"/>
              <w:rPr>
                <w:rFonts w:cs="Arial"/>
                <w:color w:val="424141"/>
                <w:szCs w:val="22"/>
              </w:rPr>
            </w:pPr>
            <w:r>
              <w:rPr>
                <w:rFonts w:cs="Arial"/>
                <w:color w:val="424141"/>
                <w:szCs w:val="22"/>
              </w:rPr>
              <w:t xml:space="preserve">-1,137 </w:t>
            </w:r>
          </w:p>
        </w:tc>
        <w:tc>
          <w:tcPr>
            <w:tcW w:w="397" w:type="pct"/>
            <w:tcBorders>
              <w:top w:val="nil"/>
              <w:left w:val="nil"/>
              <w:bottom w:val="single" w:sz="8" w:space="0" w:color="auto"/>
              <w:right w:val="nil"/>
            </w:tcBorders>
            <w:shd w:val="clear" w:color="auto" w:fill="auto"/>
            <w:vAlign w:val="center"/>
            <w:hideMark/>
          </w:tcPr>
          <w:p w14:paraId="36983C70" w14:textId="34AFD2BF" w:rsidR="00F46DFB" w:rsidRPr="007A770E" w:rsidRDefault="00F46DFB" w:rsidP="00F46DFB">
            <w:pPr>
              <w:jc w:val="right"/>
              <w:rPr>
                <w:rFonts w:cs="Arial"/>
                <w:color w:val="A6A6A6"/>
                <w:szCs w:val="22"/>
              </w:rPr>
            </w:pPr>
            <w:r>
              <w:rPr>
                <w:rFonts w:cs="Arial"/>
                <w:color w:val="A6A6A6"/>
                <w:szCs w:val="22"/>
              </w:rPr>
              <w:t xml:space="preserve">-148 </w:t>
            </w:r>
          </w:p>
        </w:tc>
        <w:tc>
          <w:tcPr>
            <w:tcW w:w="396" w:type="pct"/>
            <w:tcBorders>
              <w:top w:val="nil"/>
              <w:left w:val="nil"/>
              <w:bottom w:val="single" w:sz="8" w:space="0" w:color="auto"/>
              <w:right w:val="nil"/>
            </w:tcBorders>
            <w:shd w:val="clear" w:color="auto" w:fill="D9D9D9" w:themeFill="background1" w:themeFillShade="D9"/>
            <w:noWrap/>
            <w:vAlign w:val="center"/>
            <w:hideMark/>
          </w:tcPr>
          <w:p w14:paraId="09535DAC" w14:textId="5834B2AA" w:rsidR="00F46DFB" w:rsidRPr="002E302D" w:rsidRDefault="00F46DFB" w:rsidP="00F46DFB">
            <w:pPr>
              <w:jc w:val="right"/>
              <w:rPr>
                <w:rFonts w:eastAsia="Times New Roman" w:cs="Arial"/>
                <w:color w:val="424141"/>
                <w:szCs w:val="22"/>
                <w:lang w:val="en-GB" w:eastAsia="en-GB"/>
              </w:rPr>
            </w:pPr>
            <w:r>
              <w:rPr>
                <w:rFonts w:cs="Arial"/>
                <w:color w:val="424141"/>
                <w:szCs w:val="22"/>
              </w:rPr>
              <w:t> </w:t>
            </w:r>
          </w:p>
        </w:tc>
        <w:tc>
          <w:tcPr>
            <w:tcW w:w="398" w:type="pct"/>
            <w:tcBorders>
              <w:top w:val="nil"/>
              <w:left w:val="nil"/>
              <w:bottom w:val="single" w:sz="8" w:space="0" w:color="auto"/>
              <w:right w:val="nil"/>
            </w:tcBorders>
            <w:shd w:val="clear" w:color="auto" w:fill="auto"/>
            <w:vAlign w:val="center"/>
            <w:hideMark/>
          </w:tcPr>
          <w:p w14:paraId="5E3D3FD0" w14:textId="78B71652" w:rsidR="00F46DFB" w:rsidRPr="007A770E" w:rsidRDefault="00F46DFB" w:rsidP="00F46DFB">
            <w:pPr>
              <w:jc w:val="right"/>
              <w:rPr>
                <w:rFonts w:cs="Arial"/>
                <w:color w:val="A6A6A6"/>
                <w:szCs w:val="22"/>
              </w:rPr>
            </w:pPr>
            <w:r>
              <w:rPr>
                <w:rFonts w:cs="Arial"/>
                <w:color w:val="A6A6A6"/>
                <w:szCs w:val="22"/>
              </w:rPr>
              <w:t xml:space="preserve">-928 </w:t>
            </w:r>
          </w:p>
        </w:tc>
        <w:tc>
          <w:tcPr>
            <w:tcW w:w="398" w:type="pct"/>
            <w:tcBorders>
              <w:top w:val="nil"/>
              <w:left w:val="nil"/>
              <w:bottom w:val="single" w:sz="8" w:space="0" w:color="auto"/>
              <w:right w:val="nil"/>
            </w:tcBorders>
            <w:shd w:val="clear" w:color="auto" w:fill="D9D9D9" w:themeFill="background1" w:themeFillShade="D9"/>
            <w:noWrap/>
            <w:vAlign w:val="center"/>
            <w:hideMark/>
          </w:tcPr>
          <w:p w14:paraId="6EC5EE78" w14:textId="22E03D94" w:rsidR="00F46DFB" w:rsidRPr="002E302D" w:rsidRDefault="00F46DFB" w:rsidP="00F46DFB">
            <w:pPr>
              <w:jc w:val="right"/>
              <w:rPr>
                <w:rFonts w:eastAsia="Times New Roman" w:cs="Arial"/>
                <w:color w:val="424141"/>
                <w:szCs w:val="22"/>
                <w:lang w:val="en-GB" w:eastAsia="en-GB"/>
              </w:rPr>
            </w:pPr>
            <w:r>
              <w:rPr>
                <w:rFonts w:cs="Arial"/>
                <w:color w:val="424141"/>
                <w:szCs w:val="22"/>
              </w:rPr>
              <w:t> </w:t>
            </w:r>
          </w:p>
        </w:tc>
        <w:tc>
          <w:tcPr>
            <w:tcW w:w="398" w:type="pct"/>
            <w:tcBorders>
              <w:top w:val="nil"/>
              <w:left w:val="nil"/>
              <w:bottom w:val="single" w:sz="8" w:space="0" w:color="auto"/>
              <w:right w:val="nil"/>
            </w:tcBorders>
            <w:shd w:val="clear" w:color="auto" w:fill="auto"/>
            <w:vAlign w:val="center"/>
            <w:hideMark/>
          </w:tcPr>
          <w:p w14:paraId="3A5A5E9D" w14:textId="0FA71EED" w:rsidR="00F46DFB" w:rsidRPr="002E302D" w:rsidRDefault="00F46DFB" w:rsidP="00F46DFB">
            <w:pPr>
              <w:jc w:val="right"/>
              <w:rPr>
                <w:rFonts w:eastAsia="Times New Roman" w:cs="Arial"/>
                <w:color w:val="A6A6A6"/>
                <w:szCs w:val="22"/>
                <w:lang w:val="en-GB" w:eastAsia="en-GB"/>
              </w:rPr>
            </w:pPr>
            <w:r>
              <w:rPr>
                <w:rFonts w:cs="Arial"/>
                <w:color w:val="A6A6A6"/>
                <w:szCs w:val="22"/>
              </w:rPr>
              <w:t> </w:t>
            </w:r>
          </w:p>
        </w:tc>
        <w:tc>
          <w:tcPr>
            <w:tcW w:w="398" w:type="pct"/>
            <w:tcBorders>
              <w:top w:val="nil"/>
              <w:left w:val="nil"/>
              <w:bottom w:val="single" w:sz="8" w:space="0" w:color="auto"/>
              <w:right w:val="nil"/>
            </w:tcBorders>
            <w:shd w:val="clear" w:color="000000" w:fill="D9D9D9"/>
            <w:noWrap/>
            <w:vAlign w:val="center"/>
            <w:hideMark/>
          </w:tcPr>
          <w:p w14:paraId="37EC91F7" w14:textId="195A1A81" w:rsidR="00F46DFB" w:rsidRPr="007A770E" w:rsidRDefault="00F46DFB" w:rsidP="00F46DFB">
            <w:pPr>
              <w:jc w:val="right"/>
              <w:rPr>
                <w:rFonts w:cs="Arial"/>
                <w:color w:val="424141"/>
                <w:szCs w:val="22"/>
              </w:rPr>
            </w:pPr>
            <w:r>
              <w:rPr>
                <w:rFonts w:cs="Arial"/>
                <w:color w:val="424141"/>
                <w:szCs w:val="22"/>
              </w:rPr>
              <w:t xml:space="preserve">-1,137 </w:t>
            </w:r>
          </w:p>
        </w:tc>
        <w:tc>
          <w:tcPr>
            <w:tcW w:w="382" w:type="pct"/>
            <w:tcBorders>
              <w:top w:val="nil"/>
              <w:left w:val="nil"/>
              <w:bottom w:val="single" w:sz="8" w:space="0" w:color="auto"/>
              <w:right w:val="nil"/>
            </w:tcBorders>
            <w:shd w:val="clear" w:color="auto" w:fill="auto"/>
            <w:noWrap/>
            <w:vAlign w:val="center"/>
            <w:hideMark/>
          </w:tcPr>
          <w:p w14:paraId="09A87DE9" w14:textId="30B78761" w:rsidR="00F46DFB" w:rsidRPr="007A770E" w:rsidRDefault="00F46DFB" w:rsidP="00F46DFB">
            <w:pPr>
              <w:jc w:val="right"/>
              <w:rPr>
                <w:rFonts w:cs="Arial"/>
                <w:color w:val="A6A6A6"/>
                <w:szCs w:val="22"/>
              </w:rPr>
            </w:pPr>
            <w:r>
              <w:rPr>
                <w:rFonts w:cs="Arial"/>
                <w:color w:val="A6A6A6"/>
                <w:szCs w:val="22"/>
              </w:rPr>
              <w:t xml:space="preserve">-1,076 </w:t>
            </w:r>
          </w:p>
        </w:tc>
      </w:tr>
      <w:tr w:rsidR="00F46DFB" w:rsidRPr="002E302D" w14:paraId="6254BE50" w14:textId="77777777" w:rsidTr="00052572">
        <w:trPr>
          <w:trHeight w:val="293"/>
        </w:trPr>
        <w:tc>
          <w:tcPr>
            <w:tcW w:w="1538" w:type="pct"/>
            <w:tcBorders>
              <w:top w:val="nil"/>
              <w:left w:val="nil"/>
              <w:bottom w:val="nil"/>
              <w:right w:val="nil"/>
            </w:tcBorders>
            <w:shd w:val="clear" w:color="auto" w:fill="auto"/>
            <w:noWrap/>
            <w:vAlign w:val="center"/>
            <w:hideMark/>
          </w:tcPr>
          <w:p w14:paraId="49E93BFC" w14:textId="77777777" w:rsidR="00F46DFB" w:rsidRPr="002E302D" w:rsidRDefault="00F46DFB" w:rsidP="00F46DFB">
            <w:pPr>
              <w:rPr>
                <w:rFonts w:eastAsia="Times New Roman" w:cs="Arial"/>
                <w:b/>
                <w:bCs/>
                <w:color w:val="424141"/>
                <w:szCs w:val="22"/>
                <w:lang w:val="en-GB" w:eastAsia="en-GB"/>
              </w:rPr>
            </w:pPr>
            <w:r w:rsidRPr="002E302D">
              <w:rPr>
                <w:rFonts w:eastAsia="Times New Roman" w:cs="Arial"/>
                <w:b/>
                <w:bCs/>
                <w:color w:val="424141"/>
                <w:szCs w:val="22"/>
                <w:lang w:val="en-GB" w:eastAsia="en-GB"/>
              </w:rPr>
              <w:t>Total net assets or liabilities</w:t>
            </w:r>
          </w:p>
        </w:tc>
        <w:tc>
          <w:tcPr>
            <w:tcW w:w="298" w:type="pct"/>
            <w:tcBorders>
              <w:top w:val="nil"/>
              <w:left w:val="nil"/>
              <w:bottom w:val="nil"/>
              <w:right w:val="nil"/>
            </w:tcBorders>
            <w:shd w:val="clear" w:color="auto" w:fill="auto"/>
            <w:noWrap/>
            <w:vAlign w:val="center"/>
            <w:hideMark/>
          </w:tcPr>
          <w:p w14:paraId="13AF0E30" w14:textId="77777777" w:rsidR="00F46DFB" w:rsidRPr="002E302D" w:rsidRDefault="00F46DFB" w:rsidP="00F46DFB">
            <w:pPr>
              <w:rPr>
                <w:rFonts w:eastAsia="Times New Roman" w:cs="Arial"/>
                <w:b/>
                <w:bCs/>
                <w:color w:val="424141"/>
                <w:szCs w:val="22"/>
                <w:lang w:val="en-GB" w:eastAsia="en-GB"/>
              </w:rPr>
            </w:pPr>
          </w:p>
        </w:tc>
        <w:tc>
          <w:tcPr>
            <w:tcW w:w="397" w:type="pct"/>
            <w:tcBorders>
              <w:top w:val="nil"/>
              <w:left w:val="nil"/>
              <w:bottom w:val="double" w:sz="6" w:space="0" w:color="auto"/>
              <w:right w:val="nil"/>
            </w:tcBorders>
            <w:shd w:val="clear" w:color="000000" w:fill="D9D9D9"/>
            <w:noWrap/>
            <w:vAlign w:val="center"/>
            <w:hideMark/>
          </w:tcPr>
          <w:p w14:paraId="3DC00089" w14:textId="3FD76B05" w:rsidR="00F46DFB" w:rsidRPr="002E302D" w:rsidRDefault="00F46DFB" w:rsidP="00F46DFB">
            <w:pPr>
              <w:jc w:val="right"/>
              <w:rPr>
                <w:rFonts w:eastAsia="Times New Roman" w:cs="Arial"/>
                <w:b/>
                <w:bCs/>
                <w:color w:val="424141"/>
                <w:szCs w:val="22"/>
                <w:lang w:val="en-GB" w:eastAsia="en-GB"/>
              </w:rPr>
            </w:pPr>
            <w:r>
              <w:rPr>
                <w:rFonts w:cs="Arial"/>
                <w:b/>
                <w:bCs/>
                <w:color w:val="424141"/>
                <w:szCs w:val="22"/>
              </w:rPr>
              <w:t>1,</w:t>
            </w:r>
            <w:r w:rsidR="00E10072">
              <w:rPr>
                <w:rFonts w:cs="Arial"/>
                <w:b/>
                <w:bCs/>
                <w:color w:val="424141"/>
                <w:szCs w:val="22"/>
              </w:rPr>
              <w:t xml:space="preserve">701 </w:t>
            </w:r>
          </w:p>
        </w:tc>
        <w:tc>
          <w:tcPr>
            <w:tcW w:w="397" w:type="pct"/>
            <w:tcBorders>
              <w:top w:val="nil"/>
              <w:left w:val="nil"/>
              <w:bottom w:val="double" w:sz="6" w:space="0" w:color="auto"/>
              <w:right w:val="nil"/>
            </w:tcBorders>
            <w:shd w:val="clear" w:color="auto" w:fill="auto"/>
            <w:vAlign w:val="center"/>
            <w:hideMark/>
          </w:tcPr>
          <w:p w14:paraId="09E14AFC" w14:textId="7E9D85E9" w:rsidR="00F46DFB" w:rsidRPr="002E302D" w:rsidRDefault="00951CD4" w:rsidP="00F46DFB">
            <w:pPr>
              <w:jc w:val="right"/>
              <w:rPr>
                <w:rFonts w:eastAsia="Times New Roman" w:cs="Arial"/>
                <w:b/>
                <w:bCs/>
                <w:color w:val="A6A6A6"/>
                <w:szCs w:val="22"/>
                <w:lang w:val="en-GB" w:eastAsia="en-GB"/>
              </w:rPr>
            </w:pPr>
            <w:r>
              <w:rPr>
                <w:rFonts w:cs="Arial"/>
                <w:b/>
                <w:bCs/>
                <w:color w:val="A6A6A6"/>
                <w:szCs w:val="22"/>
              </w:rPr>
              <w:t>4</w:t>
            </w:r>
            <w:r w:rsidR="00F46DFB">
              <w:rPr>
                <w:rFonts w:cs="Arial"/>
                <w:b/>
                <w:bCs/>
                <w:color w:val="A6A6A6"/>
                <w:szCs w:val="22"/>
              </w:rPr>
              <w:t xml:space="preserve">,188 </w:t>
            </w:r>
          </w:p>
        </w:tc>
        <w:tc>
          <w:tcPr>
            <w:tcW w:w="396" w:type="pct"/>
            <w:tcBorders>
              <w:top w:val="nil"/>
              <w:left w:val="nil"/>
              <w:bottom w:val="double" w:sz="6" w:space="0" w:color="auto"/>
              <w:right w:val="nil"/>
            </w:tcBorders>
            <w:shd w:val="clear" w:color="000000" w:fill="D9D9D9"/>
            <w:noWrap/>
            <w:vAlign w:val="center"/>
            <w:hideMark/>
          </w:tcPr>
          <w:p w14:paraId="23065667" w14:textId="6A67043A" w:rsidR="00F46DFB" w:rsidRPr="002E302D" w:rsidRDefault="00880FB1" w:rsidP="00F46DFB">
            <w:pPr>
              <w:jc w:val="right"/>
              <w:rPr>
                <w:rFonts w:eastAsia="Times New Roman" w:cs="Arial"/>
                <w:b/>
                <w:bCs/>
                <w:color w:val="424141"/>
                <w:szCs w:val="22"/>
                <w:lang w:val="en-GB" w:eastAsia="en-GB"/>
              </w:rPr>
            </w:pPr>
            <w:r>
              <w:rPr>
                <w:rFonts w:cs="Arial"/>
                <w:b/>
                <w:bCs/>
                <w:color w:val="424141"/>
                <w:szCs w:val="22"/>
              </w:rPr>
              <w:t>4</w:t>
            </w:r>
            <w:r w:rsidR="00F46DFB">
              <w:rPr>
                <w:rFonts w:cs="Arial"/>
                <w:b/>
                <w:bCs/>
                <w:color w:val="424141"/>
                <w:szCs w:val="22"/>
              </w:rPr>
              <w:t>,7</w:t>
            </w:r>
            <w:r>
              <w:rPr>
                <w:rFonts w:cs="Arial"/>
                <w:b/>
                <w:bCs/>
                <w:color w:val="424141"/>
                <w:szCs w:val="22"/>
              </w:rPr>
              <w:t>7</w:t>
            </w:r>
            <w:r w:rsidR="00F46DFB">
              <w:rPr>
                <w:rFonts w:cs="Arial"/>
                <w:b/>
                <w:bCs/>
                <w:color w:val="424141"/>
                <w:szCs w:val="22"/>
              </w:rPr>
              <w:t xml:space="preserve">7 </w:t>
            </w:r>
          </w:p>
        </w:tc>
        <w:tc>
          <w:tcPr>
            <w:tcW w:w="398" w:type="pct"/>
            <w:tcBorders>
              <w:top w:val="nil"/>
              <w:left w:val="nil"/>
              <w:bottom w:val="double" w:sz="6" w:space="0" w:color="auto"/>
              <w:right w:val="nil"/>
            </w:tcBorders>
            <w:shd w:val="clear" w:color="auto" w:fill="auto"/>
            <w:vAlign w:val="center"/>
            <w:hideMark/>
          </w:tcPr>
          <w:p w14:paraId="452D7161" w14:textId="580A9314" w:rsidR="00F46DFB" w:rsidRPr="002E302D" w:rsidRDefault="00F46DFB" w:rsidP="00F46DFB">
            <w:pPr>
              <w:jc w:val="right"/>
              <w:rPr>
                <w:rFonts w:eastAsia="Times New Roman" w:cs="Arial"/>
                <w:b/>
                <w:bCs/>
                <w:color w:val="A6A6A6"/>
                <w:szCs w:val="22"/>
                <w:lang w:val="en-GB" w:eastAsia="en-GB"/>
              </w:rPr>
            </w:pPr>
            <w:r>
              <w:rPr>
                <w:rFonts w:cs="Arial"/>
                <w:b/>
                <w:bCs/>
                <w:color w:val="A6A6A6"/>
                <w:szCs w:val="22"/>
              </w:rPr>
              <w:t xml:space="preserve">3,570 </w:t>
            </w:r>
          </w:p>
        </w:tc>
        <w:tc>
          <w:tcPr>
            <w:tcW w:w="398" w:type="pct"/>
            <w:tcBorders>
              <w:top w:val="nil"/>
              <w:left w:val="nil"/>
              <w:bottom w:val="double" w:sz="6" w:space="0" w:color="auto"/>
              <w:right w:val="nil"/>
            </w:tcBorders>
            <w:shd w:val="clear" w:color="000000" w:fill="D9D9D9"/>
            <w:noWrap/>
            <w:vAlign w:val="center"/>
            <w:hideMark/>
          </w:tcPr>
          <w:p w14:paraId="7B636669" w14:textId="5B6E3574" w:rsidR="00F46DFB" w:rsidRPr="002E302D" w:rsidRDefault="008837B1" w:rsidP="00F46DFB">
            <w:pPr>
              <w:jc w:val="right"/>
              <w:rPr>
                <w:rFonts w:eastAsia="Times New Roman" w:cs="Arial"/>
                <w:b/>
                <w:bCs/>
                <w:color w:val="424141"/>
                <w:szCs w:val="22"/>
                <w:lang w:val="en-GB" w:eastAsia="en-GB"/>
              </w:rPr>
            </w:pPr>
            <w:r>
              <w:rPr>
                <w:rFonts w:cs="Arial"/>
                <w:b/>
                <w:bCs/>
                <w:color w:val="424141"/>
                <w:szCs w:val="22"/>
              </w:rPr>
              <w:t xml:space="preserve">919 </w:t>
            </w:r>
          </w:p>
        </w:tc>
        <w:tc>
          <w:tcPr>
            <w:tcW w:w="398" w:type="pct"/>
            <w:tcBorders>
              <w:top w:val="nil"/>
              <w:left w:val="nil"/>
              <w:bottom w:val="double" w:sz="6" w:space="0" w:color="auto"/>
              <w:right w:val="nil"/>
            </w:tcBorders>
            <w:shd w:val="clear" w:color="auto" w:fill="auto"/>
            <w:vAlign w:val="center"/>
            <w:hideMark/>
          </w:tcPr>
          <w:p w14:paraId="2F5CB19F" w14:textId="68FF1965" w:rsidR="00F46DFB" w:rsidRPr="002E302D" w:rsidRDefault="00F46DFB" w:rsidP="00F46DFB">
            <w:pPr>
              <w:jc w:val="right"/>
              <w:rPr>
                <w:rFonts w:eastAsia="Times New Roman" w:cs="Arial"/>
                <w:b/>
                <w:bCs/>
                <w:color w:val="A6A6A6"/>
                <w:szCs w:val="22"/>
                <w:lang w:val="en-GB" w:eastAsia="en-GB"/>
              </w:rPr>
            </w:pPr>
            <w:r>
              <w:rPr>
                <w:rFonts w:cs="Arial"/>
                <w:b/>
                <w:bCs/>
                <w:color w:val="A6A6A6"/>
                <w:szCs w:val="22"/>
              </w:rPr>
              <w:t xml:space="preserve">963 </w:t>
            </w:r>
          </w:p>
        </w:tc>
        <w:tc>
          <w:tcPr>
            <w:tcW w:w="398" w:type="pct"/>
            <w:tcBorders>
              <w:top w:val="nil"/>
              <w:left w:val="nil"/>
              <w:bottom w:val="double" w:sz="6" w:space="0" w:color="auto"/>
              <w:right w:val="nil"/>
            </w:tcBorders>
            <w:shd w:val="clear" w:color="000000" w:fill="D9D9D9"/>
            <w:noWrap/>
            <w:vAlign w:val="center"/>
            <w:hideMark/>
          </w:tcPr>
          <w:p w14:paraId="1216F4C2" w14:textId="5ADD7B07" w:rsidR="00F46DFB" w:rsidRPr="002E302D" w:rsidRDefault="00880FB1" w:rsidP="00F46DFB">
            <w:pPr>
              <w:jc w:val="right"/>
              <w:rPr>
                <w:rFonts w:eastAsia="Times New Roman" w:cs="Arial"/>
                <w:b/>
                <w:bCs/>
                <w:color w:val="424141"/>
                <w:szCs w:val="22"/>
                <w:lang w:val="en-GB" w:eastAsia="en-GB"/>
              </w:rPr>
            </w:pPr>
            <w:r>
              <w:rPr>
                <w:rFonts w:cs="Arial"/>
                <w:b/>
                <w:bCs/>
                <w:color w:val="424141"/>
                <w:szCs w:val="22"/>
              </w:rPr>
              <w:t>7</w:t>
            </w:r>
            <w:r w:rsidR="00F46DFB">
              <w:rPr>
                <w:rFonts w:cs="Arial"/>
                <w:b/>
                <w:bCs/>
                <w:color w:val="424141"/>
                <w:szCs w:val="22"/>
              </w:rPr>
              <w:t>,39</w:t>
            </w:r>
            <w:r w:rsidR="00E84F80">
              <w:rPr>
                <w:rFonts w:cs="Arial"/>
                <w:b/>
                <w:bCs/>
                <w:color w:val="424141"/>
                <w:szCs w:val="22"/>
              </w:rPr>
              <w:t>7</w:t>
            </w:r>
            <w:r w:rsidR="00F46DFB">
              <w:rPr>
                <w:rFonts w:cs="Arial"/>
                <w:b/>
                <w:bCs/>
                <w:color w:val="424141"/>
                <w:szCs w:val="22"/>
              </w:rPr>
              <w:t xml:space="preserve"> </w:t>
            </w:r>
          </w:p>
        </w:tc>
        <w:tc>
          <w:tcPr>
            <w:tcW w:w="382" w:type="pct"/>
            <w:tcBorders>
              <w:top w:val="nil"/>
              <w:left w:val="nil"/>
              <w:bottom w:val="double" w:sz="6" w:space="0" w:color="auto"/>
              <w:right w:val="nil"/>
            </w:tcBorders>
            <w:shd w:val="clear" w:color="auto" w:fill="auto"/>
            <w:noWrap/>
            <w:vAlign w:val="center"/>
            <w:hideMark/>
          </w:tcPr>
          <w:p w14:paraId="15B881B5" w14:textId="2C8B57BF" w:rsidR="00F46DFB" w:rsidRPr="002E302D" w:rsidRDefault="00880FB1" w:rsidP="00F46DFB">
            <w:pPr>
              <w:jc w:val="right"/>
              <w:rPr>
                <w:rFonts w:eastAsia="Times New Roman" w:cs="Arial"/>
                <w:b/>
                <w:bCs/>
                <w:color w:val="A6A6A6"/>
                <w:szCs w:val="22"/>
                <w:lang w:val="en-GB" w:eastAsia="en-GB"/>
              </w:rPr>
            </w:pPr>
            <w:r>
              <w:rPr>
                <w:rFonts w:cs="Arial"/>
                <w:b/>
                <w:bCs/>
                <w:color w:val="A6A6A6"/>
                <w:szCs w:val="22"/>
              </w:rPr>
              <w:t>8</w:t>
            </w:r>
            <w:r w:rsidR="00F46DFB">
              <w:rPr>
                <w:rFonts w:cs="Arial"/>
                <w:b/>
                <w:bCs/>
                <w:color w:val="A6A6A6"/>
                <w:szCs w:val="22"/>
              </w:rPr>
              <w:t xml:space="preserve">,721 </w:t>
            </w:r>
          </w:p>
        </w:tc>
      </w:tr>
      <w:tr w:rsidR="00F46DFB" w:rsidRPr="002E302D" w14:paraId="7185B486" w14:textId="77777777" w:rsidTr="00052572">
        <w:trPr>
          <w:trHeight w:val="293"/>
        </w:trPr>
        <w:tc>
          <w:tcPr>
            <w:tcW w:w="1538" w:type="pct"/>
            <w:tcBorders>
              <w:top w:val="nil"/>
              <w:left w:val="nil"/>
              <w:bottom w:val="nil"/>
              <w:right w:val="nil"/>
            </w:tcBorders>
            <w:shd w:val="clear" w:color="auto" w:fill="auto"/>
            <w:noWrap/>
            <w:vAlign w:val="center"/>
            <w:hideMark/>
          </w:tcPr>
          <w:p w14:paraId="681600CA" w14:textId="77777777" w:rsidR="00F46DFB" w:rsidRPr="002E302D" w:rsidRDefault="00F46DFB" w:rsidP="00F46DFB">
            <w:pPr>
              <w:rPr>
                <w:rFonts w:eastAsia="Times New Roman" w:cs="Arial"/>
                <w:b/>
                <w:bCs/>
                <w:color w:val="424141"/>
                <w:szCs w:val="22"/>
                <w:lang w:val="en-GB" w:eastAsia="en-GB"/>
              </w:rPr>
            </w:pPr>
            <w:r w:rsidRPr="002E302D">
              <w:rPr>
                <w:rFonts w:eastAsia="Times New Roman" w:cs="Arial"/>
                <w:b/>
                <w:bCs/>
                <w:color w:val="424141"/>
                <w:szCs w:val="22"/>
                <w:lang w:val="en-GB" w:eastAsia="en-GB"/>
              </w:rPr>
              <w:t>The funds of the charity:</w:t>
            </w:r>
          </w:p>
        </w:tc>
        <w:tc>
          <w:tcPr>
            <w:tcW w:w="298" w:type="pct"/>
            <w:tcBorders>
              <w:top w:val="nil"/>
              <w:left w:val="nil"/>
              <w:bottom w:val="nil"/>
              <w:right w:val="nil"/>
            </w:tcBorders>
            <w:shd w:val="clear" w:color="auto" w:fill="auto"/>
            <w:noWrap/>
            <w:vAlign w:val="center"/>
            <w:hideMark/>
          </w:tcPr>
          <w:p w14:paraId="2F293DA5" w14:textId="2DD2997A" w:rsidR="00F46DFB" w:rsidRPr="002E302D" w:rsidRDefault="00F46DFB" w:rsidP="00F46DFB">
            <w:pPr>
              <w:jc w:val="right"/>
              <w:rPr>
                <w:rFonts w:eastAsia="Times New Roman" w:cs="Arial"/>
                <w:color w:val="424141"/>
                <w:szCs w:val="22"/>
                <w:lang w:val="en-GB" w:eastAsia="en-GB"/>
              </w:rPr>
            </w:pPr>
          </w:p>
        </w:tc>
        <w:tc>
          <w:tcPr>
            <w:tcW w:w="397" w:type="pct"/>
            <w:tcBorders>
              <w:top w:val="nil"/>
              <w:left w:val="nil"/>
              <w:bottom w:val="nil"/>
              <w:right w:val="nil"/>
            </w:tcBorders>
            <w:shd w:val="clear" w:color="auto" w:fill="auto"/>
            <w:noWrap/>
            <w:vAlign w:val="center"/>
            <w:hideMark/>
          </w:tcPr>
          <w:p w14:paraId="5C2EAADF" w14:textId="3A8739B1" w:rsidR="00F46DFB" w:rsidRPr="002E302D" w:rsidRDefault="00F46DFB" w:rsidP="00F46DFB">
            <w:pPr>
              <w:jc w:val="right"/>
              <w:rPr>
                <w:rFonts w:eastAsia="Times New Roman" w:cs="Arial"/>
                <w:color w:val="424141"/>
                <w:szCs w:val="22"/>
                <w:lang w:val="en-GB" w:eastAsia="en-GB"/>
              </w:rPr>
            </w:pPr>
            <w:r>
              <w:rPr>
                <w:rFonts w:cs="Arial"/>
                <w:color w:val="424141"/>
                <w:szCs w:val="22"/>
              </w:rPr>
              <w:t> </w:t>
            </w:r>
          </w:p>
        </w:tc>
        <w:tc>
          <w:tcPr>
            <w:tcW w:w="397" w:type="pct"/>
            <w:tcBorders>
              <w:top w:val="nil"/>
              <w:left w:val="nil"/>
              <w:bottom w:val="nil"/>
              <w:right w:val="nil"/>
            </w:tcBorders>
            <w:shd w:val="clear" w:color="auto" w:fill="auto"/>
            <w:vAlign w:val="center"/>
            <w:hideMark/>
          </w:tcPr>
          <w:p w14:paraId="055E153E" w14:textId="77777777" w:rsidR="00F46DFB" w:rsidRPr="002E302D" w:rsidRDefault="00F46DFB" w:rsidP="00F46DFB">
            <w:pPr>
              <w:jc w:val="right"/>
              <w:rPr>
                <w:rFonts w:eastAsia="Times New Roman" w:cs="Arial"/>
                <w:color w:val="424141"/>
                <w:szCs w:val="22"/>
                <w:lang w:val="en-GB" w:eastAsia="en-GB"/>
              </w:rPr>
            </w:pPr>
          </w:p>
        </w:tc>
        <w:tc>
          <w:tcPr>
            <w:tcW w:w="396" w:type="pct"/>
            <w:tcBorders>
              <w:top w:val="nil"/>
              <w:left w:val="nil"/>
              <w:bottom w:val="nil"/>
              <w:right w:val="nil"/>
            </w:tcBorders>
            <w:shd w:val="clear" w:color="auto" w:fill="auto"/>
            <w:noWrap/>
            <w:vAlign w:val="center"/>
            <w:hideMark/>
          </w:tcPr>
          <w:p w14:paraId="0561920A" w14:textId="70BD0CE5" w:rsidR="00F46DFB" w:rsidRPr="002E302D" w:rsidRDefault="00F46DFB" w:rsidP="00F46DFB">
            <w:pPr>
              <w:jc w:val="right"/>
              <w:rPr>
                <w:rFonts w:eastAsia="Times New Roman" w:cs="Arial"/>
                <w:color w:val="424141"/>
                <w:szCs w:val="22"/>
                <w:lang w:val="en-GB" w:eastAsia="en-GB"/>
              </w:rPr>
            </w:pPr>
            <w:r>
              <w:rPr>
                <w:rFonts w:cs="Arial"/>
                <w:color w:val="424141"/>
                <w:szCs w:val="22"/>
              </w:rPr>
              <w:t> </w:t>
            </w:r>
          </w:p>
        </w:tc>
        <w:tc>
          <w:tcPr>
            <w:tcW w:w="398" w:type="pct"/>
            <w:tcBorders>
              <w:top w:val="nil"/>
              <w:left w:val="nil"/>
              <w:bottom w:val="nil"/>
              <w:right w:val="nil"/>
            </w:tcBorders>
            <w:shd w:val="clear" w:color="auto" w:fill="auto"/>
            <w:vAlign w:val="center"/>
            <w:hideMark/>
          </w:tcPr>
          <w:p w14:paraId="0B2C4B0C" w14:textId="77777777" w:rsidR="00F46DFB" w:rsidRPr="002E302D" w:rsidRDefault="00F46DFB" w:rsidP="00F46DFB">
            <w:pPr>
              <w:jc w:val="right"/>
              <w:rPr>
                <w:rFonts w:eastAsia="Times New Roman" w:cs="Arial"/>
                <w:color w:val="424141"/>
                <w:szCs w:val="22"/>
                <w:lang w:val="en-GB" w:eastAsia="en-GB"/>
              </w:rPr>
            </w:pPr>
          </w:p>
        </w:tc>
        <w:tc>
          <w:tcPr>
            <w:tcW w:w="398" w:type="pct"/>
            <w:tcBorders>
              <w:top w:val="nil"/>
              <w:left w:val="nil"/>
              <w:bottom w:val="nil"/>
              <w:right w:val="nil"/>
            </w:tcBorders>
            <w:shd w:val="clear" w:color="auto" w:fill="auto"/>
            <w:noWrap/>
            <w:vAlign w:val="center"/>
            <w:hideMark/>
          </w:tcPr>
          <w:p w14:paraId="3D47D4CA" w14:textId="1FA4A5FA" w:rsidR="00F46DFB" w:rsidRPr="002E302D" w:rsidRDefault="00F46DFB" w:rsidP="00F46DFB">
            <w:pPr>
              <w:jc w:val="right"/>
              <w:rPr>
                <w:rFonts w:eastAsia="Times New Roman" w:cs="Arial"/>
                <w:color w:val="424141"/>
                <w:szCs w:val="22"/>
                <w:lang w:val="en-GB" w:eastAsia="en-GB"/>
              </w:rPr>
            </w:pPr>
            <w:r>
              <w:rPr>
                <w:rFonts w:cs="Arial"/>
                <w:color w:val="424141"/>
                <w:szCs w:val="22"/>
              </w:rPr>
              <w:t> </w:t>
            </w:r>
          </w:p>
        </w:tc>
        <w:tc>
          <w:tcPr>
            <w:tcW w:w="398" w:type="pct"/>
            <w:tcBorders>
              <w:top w:val="nil"/>
              <w:left w:val="nil"/>
              <w:bottom w:val="nil"/>
              <w:right w:val="nil"/>
            </w:tcBorders>
            <w:shd w:val="clear" w:color="auto" w:fill="auto"/>
            <w:vAlign w:val="center"/>
            <w:hideMark/>
          </w:tcPr>
          <w:p w14:paraId="07BB2386" w14:textId="77777777" w:rsidR="00F46DFB" w:rsidRPr="002E302D" w:rsidRDefault="00F46DFB" w:rsidP="00F46DFB">
            <w:pPr>
              <w:jc w:val="right"/>
              <w:rPr>
                <w:rFonts w:eastAsia="Times New Roman" w:cs="Arial"/>
                <w:color w:val="424141"/>
                <w:szCs w:val="22"/>
                <w:lang w:val="en-GB" w:eastAsia="en-GB"/>
              </w:rPr>
            </w:pPr>
          </w:p>
        </w:tc>
        <w:tc>
          <w:tcPr>
            <w:tcW w:w="398" w:type="pct"/>
            <w:tcBorders>
              <w:top w:val="nil"/>
              <w:left w:val="nil"/>
              <w:bottom w:val="nil"/>
              <w:right w:val="nil"/>
            </w:tcBorders>
            <w:shd w:val="clear" w:color="auto" w:fill="auto"/>
            <w:noWrap/>
            <w:vAlign w:val="center"/>
            <w:hideMark/>
          </w:tcPr>
          <w:p w14:paraId="314E92DD" w14:textId="0A803A2C" w:rsidR="00F46DFB" w:rsidRPr="002E302D" w:rsidRDefault="00F46DFB" w:rsidP="00F46DFB">
            <w:pPr>
              <w:jc w:val="right"/>
              <w:rPr>
                <w:rFonts w:eastAsia="Times New Roman" w:cs="Arial"/>
                <w:color w:val="424141"/>
                <w:szCs w:val="22"/>
                <w:lang w:val="en-GB" w:eastAsia="en-GB"/>
              </w:rPr>
            </w:pPr>
            <w:r>
              <w:rPr>
                <w:rFonts w:cs="Arial"/>
                <w:color w:val="424141"/>
                <w:szCs w:val="22"/>
              </w:rPr>
              <w:t> </w:t>
            </w:r>
          </w:p>
        </w:tc>
        <w:tc>
          <w:tcPr>
            <w:tcW w:w="382" w:type="pct"/>
            <w:tcBorders>
              <w:top w:val="nil"/>
              <w:left w:val="nil"/>
              <w:bottom w:val="nil"/>
              <w:right w:val="nil"/>
            </w:tcBorders>
            <w:shd w:val="clear" w:color="auto" w:fill="auto"/>
            <w:noWrap/>
            <w:vAlign w:val="center"/>
            <w:hideMark/>
          </w:tcPr>
          <w:p w14:paraId="2E64F131" w14:textId="77777777" w:rsidR="00F46DFB" w:rsidRPr="002E302D" w:rsidRDefault="00F46DFB" w:rsidP="00F46DFB">
            <w:pPr>
              <w:jc w:val="right"/>
              <w:rPr>
                <w:rFonts w:eastAsia="Times New Roman" w:cs="Arial"/>
                <w:color w:val="424141"/>
                <w:szCs w:val="22"/>
                <w:lang w:val="en-GB" w:eastAsia="en-GB"/>
              </w:rPr>
            </w:pPr>
          </w:p>
        </w:tc>
      </w:tr>
      <w:tr w:rsidR="00F46DFB" w:rsidRPr="002E302D" w14:paraId="203C914A" w14:textId="77777777" w:rsidTr="00052572">
        <w:trPr>
          <w:trHeight w:val="285"/>
        </w:trPr>
        <w:tc>
          <w:tcPr>
            <w:tcW w:w="1538" w:type="pct"/>
            <w:tcBorders>
              <w:top w:val="nil"/>
              <w:left w:val="nil"/>
              <w:bottom w:val="nil"/>
              <w:right w:val="nil"/>
            </w:tcBorders>
            <w:shd w:val="clear" w:color="auto" w:fill="auto"/>
            <w:noWrap/>
            <w:vAlign w:val="center"/>
            <w:hideMark/>
          </w:tcPr>
          <w:p w14:paraId="316B5CB6" w14:textId="77777777" w:rsidR="00F46DFB" w:rsidRPr="002E302D" w:rsidRDefault="00F46DFB" w:rsidP="00F46DFB">
            <w:pPr>
              <w:rPr>
                <w:rFonts w:eastAsia="Times New Roman" w:cs="Arial"/>
                <w:color w:val="424141"/>
                <w:szCs w:val="22"/>
                <w:lang w:val="en-GB" w:eastAsia="en-GB"/>
              </w:rPr>
            </w:pPr>
            <w:r w:rsidRPr="002E302D">
              <w:rPr>
                <w:rFonts w:eastAsia="Times New Roman" w:cs="Arial"/>
                <w:color w:val="424141"/>
                <w:szCs w:val="22"/>
                <w:lang w:val="en-GB" w:eastAsia="en-GB"/>
              </w:rPr>
              <w:t>Endowment funds</w:t>
            </w:r>
          </w:p>
        </w:tc>
        <w:tc>
          <w:tcPr>
            <w:tcW w:w="298" w:type="pct"/>
            <w:tcBorders>
              <w:top w:val="nil"/>
              <w:left w:val="nil"/>
              <w:bottom w:val="nil"/>
              <w:right w:val="nil"/>
            </w:tcBorders>
            <w:shd w:val="clear" w:color="auto" w:fill="auto"/>
            <w:noWrap/>
            <w:vAlign w:val="center"/>
            <w:hideMark/>
          </w:tcPr>
          <w:p w14:paraId="7ED07879" w14:textId="0356A6FB" w:rsidR="00F46DFB" w:rsidRPr="002E302D" w:rsidRDefault="00F46DFB" w:rsidP="00F46DFB">
            <w:pPr>
              <w:jc w:val="right"/>
              <w:rPr>
                <w:rFonts w:eastAsia="Times New Roman" w:cs="Arial"/>
                <w:color w:val="424141"/>
                <w:szCs w:val="22"/>
                <w:lang w:val="en-GB" w:eastAsia="en-GB"/>
              </w:rPr>
            </w:pPr>
            <w:r w:rsidRPr="002E302D">
              <w:rPr>
                <w:rFonts w:eastAsia="Times New Roman" w:cs="Arial"/>
                <w:color w:val="424141"/>
                <w:szCs w:val="22"/>
                <w:lang w:val="en-GB" w:eastAsia="en-GB"/>
              </w:rPr>
              <w:t>22</w:t>
            </w:r>
          </w:p>
        </w:tc>
        <w:tc>
          <w:tcPr>
            <w:tcW w:w="397" w:type="pct"/>
            <w:tcBorders>
              <w:top w:val="nil"/>
              <w:left w:val="nil"/>
              <w:bottom w:val="nil"/>
              <w:right w:val="nil"/>
            </w:tcBorders>
            <w:shd w:val="clear" w:color="000000" w:fill="D9D9D9"/>
            <w:noWrap/>
            <w:vAlign w:val="center"/>
            <w:hideMark/>
          </w:tcPr>
          <w:p w14:paraId="1EAAA94E" w14:textId="74444EFF" w:rsidR="00F46DFB" w:rsidRPr="002E302D" w:rsidRDefault="00F46DFB" w:rsidP="00F46DFB">
            <w:pPr>
              <w:jc w:val="right"/>
              <w:rPr>
                <w:rFonts w:eastAsia="Times New Roman" w:cs="Arial"/>
                <w:color w:val="424141"/>
                <w:szCs w:val="22"/>
                <w:lang w:val="en-GB" w:eastAsia="en-GB"/>
              </w:rPr>
            </w:pPr>
            <w:r>
              <w:rPr>
                <w:rFonts w:cs="Arial"/>
                <w:color w:val="424141"/>
                <w:szCs w:val="22"/>
              </w:rPr>
              <w:t> </w:t>
            </w:r>
          </w:p>
        </w:tc>
        <w:tc>
          <w:tcPr>
            <w:tcW w:w="397" w:type="pct"/>
            <w:tcBorders>
              <w:top w:val="nil"/>
              <w:left w:val="nil"/>
              <w:bottom w:val="nil"/>
              <w:right w:val="nil"/>
            </w:tcBorders>
            <w:shd w:val="clear" w:color="auto" w:fill="auto"/>
            <w:vAlign w:val="center"/>
            <w:hideMark/>
          </w:tcPr>
          <w:p w14:paraId="142DC5D1" w14:textId="77777777" w:rsidR="00F46DFB" w:rsidRPr="002E302D" w:rsidRDefault="00F46DFB" w:rsidP="00F46DFB">
            <w:pPr>
              <w:jc w:val="right"/>
              <w:rPr>
                <w:rFonts w:eastAsia="Times New Roman" w:cs="Arial"/>
                <w:color w:val="424141"/>
                <w:szCs w:val="22"/>
                <w:lang w:val="en-GB" w:eastAsia="en-GB"/>
              </w:rPr>
            </w:pPr>
          </w:p>
        </w:tc>
        <w:tc>
          <w:tcPr>
            <w:tcW w:w="396" w:type="pct"/>
            <w:tcBorders>
              <w:top w:val="nil"/>
              <w:left w:val="nil"/>
              <w:bottom w:val="nil"/>
              <w:right w:val="nil"/>
            </w:tcBorders>
            <w:shd w:val="clear" w:color="000000" w:fill="D9D9D9"/>
            <w:noWrap/>
            <w:vAlign w:val="center"/>
            <w:hideMark/>
          </w:tcPr>
          <w:p w14:paraId="3B0AAA68" w14:textId="7B97827F" w:rsidR="00F46DFB" w:rsidRPr="002E302D" w:rsidRDefault="00F46DFB" w:rsidP="00F46DFB">
            <w:pPr>
              <w:jc w:val="right"/>
              <w:rPr>
                <w:rFonts w:eastAsia="Times New Roman" w:cs="Arial"/>
                <w:color w:val="424141"/>
                <w:szCs w:val="22"/>
                <w:lang w:val="en-GB" w:eastAsia="en-GB"/>
              </w:rPr>
            </w:pPr>
            <w:r>
              <w:rPr>
                <w:rFonts w:cs="Arial"/>
                <w:color w:val="424141"/>
                <w:szCs w:val="22"/>
              </w:rPr>
              <w:t> </w:t>
            </w:r>
          </w:p>
        </w:tc>
        <w:tc>
          <w:tcPr>
            <w:tcW w:w="398" w:type="pct"/>
            <w:tcBorders>
              <w:top w:val="nil"/>
              <w:left w:val="nil"/>
              <w:bottom w:val="nil"/>
              <w:right w:val="nil"/>
            </w:tcBorders>
            <w:shd w:val="clear" w:color="auto" w:fill="auto"/>
            <w:vAlign w:val="center"/>
            <w:hideMark/>
          </w:tcPr>
          <w:p w14:paraId="23383C90" w14:textId="77777777" w:rsidR="00F46DFB" w:rsidRPr="002E302D" w:rsidRDefault="00F46DFB" w:rsidP="00F46DFB">
            <w:pPr>
              <w:jc w:val="right"/>
              <w:rPr>
                <w:rFonts w:eastAsia="Times New Roman" w:cs="Arial"/>
                <w:color w:val="424141"/>
                <w:szCs w:val="22"/>
                <w:lang w:val="en-GB" w:eastAsia="en-GB"/>
              </w:rPr>
            </w:pPr>
          </w:p>
        </w:tc>
        <w:tc>
          <w:tcPr>
            <w:tcW w:w="398" w:type="pct"/>
            <w:tcBorders>
              <w:top w:val="nil"/>
              <w:left w:val="nil"/>
              <w:bottom w:val="nil"/>
              <w:right w:val="nil"/>
            </w:tcBorders>
            <w:shd w:val="clear" w:color="000000" w:fill="D9D9D9"/>
            <w:noWrap/>
            <w:vAlign w:val="center"/>
            <w:hideMark/>
          </w:tcPr>
          <w:p w14:paraId="3F781F8D" w14:textId="41EADE73" w:rsidR="00F46DFB" w:rsidRPr="002E302D" w:rsidRDefault="00F46DFB" w:rsidP="00F46DFB">
            <w:pPr>
              <w:jc w:val="right"/>
              <w:rPr>
                <w:rFonts w:eastAsia="Times New Roman" w:cs="Arial"/>
                <w:color w:val="424141"/>
                <w:szCs w:val="22"/>
                <w:lang w:val="en-GB" w:eastAsia="en-GB"/>
              </w:rPr>
            </w:pPr>
            <w:r>
              <w:rPr>
                <w:rFonts w:cs="Arial"/>
                <w:color w:val="424141"/>
                <w:szCs w:val="22"/>
              </w:rPr>
              <w:t>91</w:t>
            </w:r>
            <w:r w:rsidR="00590A01">
              <w:rPr>
                <w:rFonts w:cs="Arial"/>
                <w:color w:val="424141"/>
                <w:szCs w:val="22"/>
              </w:rPr>
              <w:t>9</w:t>
            </w:r>
            <w:r>
              <w:rPr>
                <w:rFonts w:cs="Arial"/>
                <w:color w:val="424141"/>
                <w:szCs w:val="22"/>
              </w:rPr>
              <w:t xml:space="preserve"> </w:t>
            </w:r>
          </w:p>
        </w:tc>
        <w:tc>
          <w:tcPr>
            <w:tcW w:w="398" w:type="pct"/>
            <w:tcBorders>
              <w:top w:val="nil"/>
              <w:left w:val="nil"/>
              <w:bottom w:val="nil"/>
              <w:right w:val="nil"/>
            </w:tcBorders>
            <w:shd w:val="clear" w:color="auto" w:fill="auto"/>
            <w:vAlign w:val="center"/>
            <w:hideMark/>
          </w:tcPr>
          <w:p w14:paraId="7E5F49BF" w14:textId="1843A7B8" w:rsidR="00F46DFB" w:rsidRPr="002E302D" w:rsidRDefault="00F46DFB" w:rsidP="00F46DFB">
            <w:pPr>
              <w:jc w:val="right"/>
              <w:rPr>
                <w:rFonts w:eastAsia="Times New Roman" w:cs="Arial"/>
                <w:color w:val="A6A6A6"/>
                <w:szCs w:val="22"/>
                <w:lang w:val="en-GB" w:eastAsia="en-GB"/>
              </w:rPr>
            </w:pPr>
            <w:r>
              <w:rPr>
                <w:rFonts w:cs="Arial"/>
                <w:color w:val="A6A6A6"/>
                <w:szCs w:val="22"/>
              </w:rPr>
              <w:t xml:space="preserve">963 </w:t>
            </w:r>
          </w:p>
        </w:tc>
        <w:tc>
          <w:tcPr>
            <w:tcW w:w="398" w:type="pct"/>
            <w:tcBorders>
              <w:top w:val="nil"/>
              <w:left w:val="nil"/>
              <w:bottom w:val="nil"/>
              <w:right w:val="nil"/>
            </w:tcBorders>
            <w:shd w:val="clear" w:color="000000" w:fill="D9D9D9"/>
            <w:noWrap/>
            <w:vAlign w:val="center"/>
            <w:hideMark/>
          </w:tcPr>
          <w:p w14:paraId="289D2950" w14:textId="79348E9B" w:rsidR="00F46DFB" w:rsidRPr="002E302D" w:rsidRDefault="00F46DFB" w:rsidP="00F46DFB">
            <w:pPr>
              <w:jc w:val="right"/>
              <w:rPr>
                <w:rFonts w:eastAsia="Times New Roman" w:cs="Arial"/>
                <w:color w:val="424141"/>
                <w:szCs w:val="22"/>
                <w:lang w:val="en-GB" w:eastAsia="en-GB"/>
              </w:rPr>
            </w:pPr>
            <w:r>
              <w:rPr>
                <w:rFonts w:cs="Arial"/>
                <w:color w:val="424141"/>
                <w:szCs w:val="22"/>
              </w:rPr>
              <w:t>91</w:t>
            </w:r>
            <w:r w:rsidR="00E84F80">
              <w:rPr>
                <w:rFonts w:cs="Arial"/>
                <w:color w:val="424141"/>
                <w:szCs w:val="22"/>
              </w:rPr>
              <w:t>9</w:t>
            </w:r>
            <w:r>
              <w:rPr>
                <w:rFonts w:cs="Arial"/>
                <w:color w:val="424141"/>
                <w:szCs w:val="22"/>
              </w:rPr>
              <w:t xml:space="preserve"> </w:t>
            </w:r>
          </w:p>
        </w:tc>
        <w:tc>
          <w:tcPr>
            <w:tcW w:w="382" w:type="pct"/>
            <w:tcBorders>
              <w:top w:val="nil"/>
              <w:left w:val="nil"/>
              <w:bottom w:val="nil"/>
              <w:right w:val="nil"/>
            </w:tcBorders>
            <w:shd w:val="clear" w:color="auto" w:fill="auto"/>
            <w:noWrap/>
            <w:vAlign w:val="center"/>
            <w:hideMark/>
          </w:tcPr>
          <w:p w14:paraId="30469E88" w14:textId="0DFA4C45" w:rsidR="00F46DFB" w:rsidRPr="002E302D" w:rsidRDefault="00F46DFB" w:rsidP="00F46DFB">
            <w:pPr>
              <w:jc w:val="right"/>
              <w:rPr>
                <w:rFonts w:eastAsia="Times New Roman" w:cs="Arial"/>
                <w:color w:val="A6A6A6"/>
                <w:szCs w:val="22"/>
                <w:lang w:val="en-GB" w:eastAsia="en-GB"/>
              </w:rPr>
            </w:pPr>
            <w:r>
              <w:rPr>
                <w:rFonts w:cs="Arial"/>
                <w:color w:val="A6A6A6"/>
                <w:szCs w:val="22"/>
              </w:rPr>
              <w:t xml:space="preserve">963 </w:t>
            </w:r>
          </w:p>
        </w:tc>
      </w:tr>
      <w:tr w:rsidR="00F46DFB" w:rsidRPr="002E302D" w14:paraId="3AA1BC78" w14:textId="77777777" w:rsidTr="00052572">
        <w:trPr>
          <w:trHeight w:val="285"/>
        </w:trPr>
        <w:tc>
          <w:tcPr>
            <w:tcW w:w="1538" w:type="pct"/>
            <w:tcBorders>
              <w:top w:val="nil"/>
              <w:left w:val="nil"/>
              <w:bottom w:val="nil"/>
              <w:right w:val="nil"/>
            </w:tcBorders>
            <w:shd w:val="clear" w:color="auto" w:fill="auto"/>
            <w:noWrap/>
            <w:vAlign w:val="center"/>
            <w:hideMark/>
          </w:tcPr>
          <w:p w14:paraId="4E9E7B1B" w14:textId="77777777" w:rsidR="00F46DFB" w:rsidRPr="002E302D" w:rsidRDefault="00F46DFB" w:rsidP="00F46DFB">
            <w:pPr>
              <w:rPr>
                <w:rFonts w:eastAsia="Times New Roman" w:cs="Arial"/>
                <w:color w:val="424141"/>
                <w:szCs w:val="22"/>
                <w:lang w:val="en-GB" w:eastAsia="en-GB"/>
              </w:rPr>
            </w:pPr>
            <w:r w:rsidRPr="002E302D">
              <w:rPr>
                <w:rFonts w:eastAsia="Times New Roman" w:cs="Arial"/>
                <w:color w:val="424141"/>
                <w:szCs w:val="22"/>
                <w:lang w:val="en-GB" w:eastAsia="en-GB"/>
              </w:rPr>
              <w:t>Restricted income funds</w:t>
            </w:r>
          </w:p>
        </w:tc>
        <w:tc>
          <w:tcPr>
            <w:tcW w:w="298" w:type="pct"/>
            <w:tcBorders>
              <w:top w:val="nil"/>
              <w:left w:val="nil"/>
              <w:bottom w:val="nil"/>
              <w:right w:val="nil"/>
            </w:tcBorders>
            <w:shd w:val="clear" w:color="auto" w:fill="auto"/>
            <w:noWrap/>
            <w:vAlign w:val="center"/>
            <w:hideMark/>
          </w:tcPr>
          <w:p w14:paraId="30E58FA1" w14:textId="77777777" w:rsidR="00F46DFB" w:rsidRPr="002E302D" w:rsidRDefault="00F46DFB" w:rsidP="00F46DFB">
            <w:pPr>
              <w:rPr>
                <w:rFonts w:eastAsia="Times New Roman" w:cs="Arial"/>
                <w:color w:val="424141"/>
                <w:szCs w:val="22"/>
                <w:lang w:val="en-GB" w:eastAsia="en-GB"/>
              </w:rPr>
            </w:pPr>
          </w:p>
        </w:tc>
        <w:tc>
          <w:tcPr>
            <w:tcW w:w="397" w:type="pct"/>
            <w:tcBorders>
              <w:top w:val="nil"/>
              <w:left w:val="nil"/>
              <w:bottom w:val="nil"/>
              <w:right w:val="nil"/>
            </w:tcBorders>
            <w:shd w:val="clear" w:color="000000" w:fill="D9D9D9"/>
            <w:noWrap/>
            <w:vAlign w:val="center"/>
            <w:hideMark/>
          </w:tcPr>
          <w:p w14:paraId="71C3DEA3" w14:textId="564CBC6C" w:rsidR="00F46DFB" w:rsidRPr="002E302D" w:rsidRDefault="00F46DFB" w:rsidP="00F46DFB">
            <w:pPr>
              <w:jc w:val="right"/>
              <w:rPr>
                <w:rFonts w:eastAsia="Times New Roman" w:cs="Arial"/>
                <w:color w:val="424141"/>
                <w:szCs w:val="22"/>
                <w:lang w:val="en-GB" w:eastAsia="en-GB"/>
              </w:rPr>
            </w:pPr>
            <w:r>
              <w:rPr>
                <w:rFonts w:cs="Arial"/>
                <w:color w:val="424141"/>
                <w:szCs w:val="22"/>
              </w:rPr>
              <w:t> </w:t>
            </w:r>
          </w:p>
        </w:tc>
        <w:tc>
          <w:tcPr>
            <w:tcW w:w="397" w:type="pct"/>
            <w:tcBorders>
              <w:top w:val="nil"/>
              <w:left w:val="nil"/>
              <w:bottom w:val="nil"/>
              <w:right w:val="nil"/>
            </w:tcBorders>
            <w:shd w:val="clear" w:color="auto" w:fill="auto"/>
            <w:vAlign w:val="center"/>
            <w:hideMark/>
          </w:tcPr>
          <w:p w14:paraId="02411A8A" w14:textId="77777777" w:rsidR="00F46DFB" w:rsidRPr="002E302D" w:rsidRDefault="00F46DFB" w:rsidP="00F46DFB">
            <w:pPr>
              <w:jc w:val="right"/>
              <w:rPr>
                <w:rFonts w:eastAsia="Times New Roman" w:cs="Arial"/>
                <w:color w:val="424141"/>
                <w:szCs w:val="22"/>
                <w:lang w:val="en-GB" w:eastAsia="en-GB"/>
              </w:rPr>
            </w:pPr>
          </w:p>
        </w:tc>
        <w:tc>
          <w:tcPr>
            <w:tcW w:w="396" w:type="pct"/>
            <w:tcBorders>
              <w:top w:val="nil"/>
              <w:left w:val="nil"/>
              <w:bottom w:val="nil"/>
              <w:right w:val="nil"/>
            </w:tcBorders>
            <w:shd w:val="clear" w:color="000000" w:fill="D9D9D9"/>
            <w:noWrap/>
            <w:vAlign w:val="center"/>
            <w:hideMark/>
          </w:tcPr>
          <w:p w14:paraId="16A3D569" w14:textId="091A73AF" w:rsidR="00F46DFB" w:rsidRPr="002E302D" w:rsidRDefault="00B01D38" w:rsidP="00F46DFB">
            <w:pPr>
              <w:jc w:val="right"/>
              <w:rPr>
                <w:rFonts w:eastAsia="Times New Roman" w:cs="Arial"/>
                <w:color w:val="424141"/>
                <w:szCs w:val="22"/>
                <w:lang w:val="en-GB" w:eastAsia="en-GB"/>
              </w:rPr>
            </w:pPr>
            <w:r>
              <w:rPr>
                <w:rFonts w:cs="Arial"/>
                <w:color w:val="424141"/>
                <w:szCs w:val="22"/>
              </w:rPr>
              <w:t>4,777</w:t>
            </w:r>
          </w:p>
        </w:tc>
        <w:tc>
          <w:tcPr>
            <w:tcW w:w="398" w:type="pct"/>
            <w:tcBorders>
              <w:top w:val="nil"/>
              <w:left w:val="nil"/>
              <w:bottom w:val="nil"/>
              <w:right w:val="nil"/>
            </w:tcBorders>
            <w:shd w:val="clear" w:color="auto" w:fill="auto"/>
            <w:vAlign w:val="center"/>
            <w:hideMark/>
          </w:tcPr>
          <w:p w14:paraId="263ED63E" w14:textId="6FFDB715" w:rsidR="00F46DFB" w:rsidRPr="002E302D" w:rsidRDefault="00F46DFB" w:rsidP="00F46DFB">
            <w:pPr>
              <w:jc w:val="right"/>
              <w:rPr>
                <w:rFonts w:eastAsia="Times New Roman" w:cs="Arial"/>
                <w:color w:val="A6A6A6"/>
                <w:szCs w:val="22"/>
                <w:lang w:val="en-GB" w:eastAsia="en-GB"/>
              </w:rPr>
            </w:pPr>
            <w:r>
              <w:rPr>
                <w:rFonts w:cs="Arial"/>
                <w:color w:val="A6A6A6"/>
                <w:szCs w:val="22"/>
              </w:rPr>
              <w:t xml:space="preserve">3,570 </w:t>
            </w:r>
          </w:p>
        </w:tc>
        <w:tc>
          <w:tcPr>
            <w:tcW w:w="398" w:type="pct"/>
            <w:tcBorders>
              <w:top w:val="nil"/>
              <w:left w:val="nil"/>
              <w:bottom w:val="nil"/>
              <w:right w:val="nil"/>
            </w:tcBorders>
            <w:shd w:val="clear" w:color="000000" w:fill="D9D9D9"/>
            <w:noWrap/>
            <w:vAlign w:val="center"/>
            <w:hideMark/>
          </w:tcPr>
          <w:p w14:paraId="53ADE2BC" w14:textId="73658F85" w:rsidR="00F46DFB" w:rsidRPr="002E302D" w:rsidRDefault="00F46DFB" w:rsidP="00F46DFB">
            <w:pPr>
              <w:jc w:val="right"/>
              <w:rPr>
                <w:rFonts w:eastAsia="Times New Roman" w:cs="Arial"/>
                <w:color w:val="424141"/>
                <w:szCs w:val="22"/>
                <w:lang w:val="en-GB" w:eastAsia="en-GB"/>
              </w:rPr>
            </w:pPr>
            <w:r>
              <w:rPr>
                <w:rFonts w:cs="Arial"/>
                <w:color w:val="424141"/>
                <w:szCs w:val="22"/>
              </w:rPr>
              <w:t> </w:t>
            </w:r>
          </w:p>
        </w:tc>
        <w:tc>
          <w:tcPr>
            <w:tcW w:w="398" w:type="pct"/>
            <w:tcBorders>
              <w:top w:val="nil"/>
              <w:left w:val="nil"/>
              <w:bottom w:val="nil"/>
              <w:right w:val="nil"/>
            </w:tcBorders>
            <w:shd w:val="clear" w:color="auto" w:fill="auto"/>
            <w:vAlign w:val="center"/>
            <w:hideMark/>
          </w:tcPr>
          <w:p w14:paraId="50E03ACF" w14:textId="77777777" w:rsidR="00F46DFB" w:rsidRPr="002E302D" w:rsidRDefault="00F46DFB" w:rsidP="00F46DFB">
            <w:pPr>
              <w:jc w:val="right"/>
              <w:rPr>
                <w:rFonts w:eastAsia="Times New Roman" w:cs="Arial"/>
                <w:color w:val="424141"/>
                <w:szCs w:val="22"/>
                <w:lang w:val="en-GB" w:eastAsia="en-GB"/>
              </w:rPr>
            </w:pPr>
          </w:p>
        </w:tc>
        <w:tc>
          <w:tcPr>
            <w:tcW w:w="398" w:type="pct"/>
            <w:tcBorders>
              <w:top w:val="nil"/>
              <w:left w:val="nil"/>
              <w:bottom w:val="nil"/>
              <w:right w:val="nil"/>
            </w:tcBorders>
            <w:shd w:val="clear" w:color="000000" w:fill="D9D9D9"/>
            <w:noWrap/>
            <w:vAlign w:val="center"/>
            <w:hideMark/>
          </w:tcPr>
          <w:p w14:paraId="453D0259" w14:textId="700B53F4" w:rsidR="00F46DFB" w:rsidRPr="002E302D" w:rsidRDefault="000D1574" w:rsidP="00F46DFB">
            <w:pPr>
              <w:jc w:val="right"/>
              <w:rPr>
                <w:rFonts w:eastAsia="Times New Roman" w:cs="Arial"/>
                <w:color w:val="424141"/>
                <w:szCs w:val="22"/>
                <w:lang w:val="en-GB" w:eastAsia="en-GB"/>
              </w:rPr>
            </w:pPr>
            <w:r>
              <w:rPr>
                <w:rFonts w:cs="Arial"/>
                <w:color w:val="424141"/>
                <w:szCs w:val="22"/>
              </w:rPr>
              <w:t>4,777</w:t>
            </w:r>
          </w:p>
        </w:tc>
        <w:tc>
          <w:tcPr>
            <w:tcW w:w="382" w:type="pct"/>
            <w:tcBorders>
              <w:top w:val="nil"/>
              <w:left w:val="nil"/>
              <w:bottom w:val="nil"/>
              <w:right w:val="nil"/>
            </w:tcBorders>
            <w:shd w:val="clear" w:color="auto" w:fill="auto"/>
            <w:noWrap/>
            <w:vAlign w:val="center"/>
            <w:hideMark/>
          </w:tcPr>
          <w:p w14:paraId="508FE06E" w14:textId="1EBE8872" w:rsidR="00F46DFB" w:rsidRPr="002E302D" w:rsidRDefault="00F46DFB" w:rsidP="00F46DFB">
            <w:pPr>
              <w:jc w:val="right"/>
              <w:rPr>
                <w:rFonts w:eastAsia="Times New Roman" w:cs="Arial"/>
                <w:color w:val="A6A6A6"/>
                <w:szCs w:val="22"/>
                <w:lang w:val="en-GB" w:eastAsia="en-GB"/>
              </w:rPr>
            </w:pPr>
            <w:r>
              <w:rPr>
                <w:rFonts w:cs="Arial"/>
                <w:color w:val="A6A6A6"/>
                <w:szCs w:val="22"/>
              </w:rPr>
              <w:t xml:space="preserve">3,570 </w:t>
            </w:r>
          </w:p>
        </w:tc>
      </w:tr>
      <w:tr w:rsidR="00F46DFB" w:rsidRPr="002E302D" w14:paraId="3D8D0638" w14:textId="77777777" w:rsidTr="00052572">
        <w:trPr>
          <w:trHeight w:val="293"/>
        </w:trPr>
        <w:tc>
          <w:tcPr>
            <w:tcW w:w="1538" w:type="pct"/>
            <w:tcBorders>
              <w:top w:val="nil"/>
              <w:left w:val="nil"/>
              <w:bottom w:val="nil"/>
              <w:right w:val="nil"/>
            </w:tcBorders>
            <w:shd w:val="clear" w:color="auto" w:fill="auto"/>
            <w:noWrap/>
            <w:vAlign w:val="center"/>
            <w:hideMark/>
          </w:tcPr>
          <w:p w14:paraId="69C81FA2" w14:textId="77777777" w:rsidR="00F46DFB" w:rsidRPr="002E302D" w:rsidRDefault="00F46DFB" w:rsidP="00F46DFB">
            <w:pPr>
              <w:rPr>
                <w:rFonts w:eastAsia="Times New Roman" w:cs="Arial"/>
                <w:color w:val="424141"/>
                <w:szCs w:val="22"/>
                <w:lang w:val="en-GB" w:eastAsia="en-GB"/>
              </w:rPr>
            </w:pPr>
            <w:r w:rsidRPr="002E302D">
              <w:rPr>
                <w:rFonts w:eastAsia="Times New Roman" w:cs="Arial"/>
                <w:color w:val="424141"/>
                <w:szCs w:val="22"/>
                <w:lang w:val="en-GB" w:eastAsia="en-GB"/>
              </w:rPr>
              <w:t>Unrestricted income funds</w:t>
            </w:r>
          </w:p>
        </w:tc>
        <w:tc>
          <w:tcPr>
            <w:tcW w:w="298" w:type="pct"/>
            <w:tcBorders>
              <w:top w:val="nil"/>
              <w:left w:val="nil"/>
              <w:bottom w:val="nil"/>
              <w:right w:val="nil"/>
            </w:tcBorders>
            <w:shd w:val="clear" w:color="auto" w:fill="auto"/>
            <w:noWrap/>
            <w:vAlign w:val="center"/>
            <w:hideMark/>
          </w:tcPr>
          <w:p w14:paraId="3D72741A" w14:textId="77777777" w:rsidR="00F46DFB" w:rsidRPr="002E302D" w:rsidRDefault="00F46DFB" w:rsidP="00F46DFB">
            <w:pPr>
              <w:rPr>
                <w:rFonts w:eastAsia="Times New Roman" w:cs="Arial"/>
                <w:color w:val="424141"/>
                <w:szCs w:val="22"/>
                <w:lang w:val="en-GB" w:eastAsia="en-GB"/>
              </w:rPr>
            </w:pPr>
          </w:p>
        </w:tc>
        <w:tc>
          <w:tcPr>
            <w:tcW w:w="397" w:type="pct"/>
            <w:tcBorders>
              <w:top w:val="nil"/>
              <w:left w:val="nil"/>
              <w:bottom w:val="single" w:sz="8" w:space="0" w:color="auto"/>
              <w:right w:val="nil"/>
            </w:tcBorders>
            <w:shd w:val="clear" w:color="000000" w:fill="D9D9D9"/>
            <w:noWrap/>
            <w:vAlign w:val="center"/>
            <w:hideMark/>
          </w:tcPr>
          <w:p w14:paraId="6ADCD2A6" w14:textId="6D41F8DB" w:rsidR="00F46DFB" w:rsidRPr="002E302D" w:rsidRDefault="00633516" w:rsidP="00F46DFB">
            <w:pPr>
              <w:jc w:val="right"/>
              <w:rPr>
                <w:rFonts w:eastAsia="Times New Roman" w:cs="Arial"/>
                <w:color w:val="424141"/>
                <w:szCs w:val="22"/>
                <w:lang w:val="en-GB" w:eastAsia="en-GB"/>
              </w:rPr>
            </w:pPr>
            <w:r>
              <w:rPr>
                <w:rFonts w:cs="Arial"/>
                <w:color w:val="424141"/>
                <w:szCs w:val="22"/>
              </w:rPr>
              <w:t>1,</w:t>
            </w:r>
            <w:r w:rsidR="00913EF9">
              <w:rPr>
                <w:rFonts w:cs="Arial"/>
                <w:color w:val="424141"/>
                <w:szCs w:val="22"/>
              </w:rPr>
              <w:t>701</w:t>
            </w:r>
          </w:p>
        </w:tc>
        <w:tc>
          <w:tcPr>
            <w:tcW w:w="397" w:type="pct"/>
            <w:tcBorders>
              <w:top w:val="nil"/>
              <w:left w:val="nil"/>
              <w:bottom w:val="single" w:sz="8" w:space="0" w:color="auto"/>
              <w:right w:val="nil"/>
            </w:tcBorders>
            <w:shd w:val="clear" w:color="auto" w:fill="auto"/>
            <w:vAlign w:val="center"/>
            <w:hideMark/>
          </w:tcPr>
          <w:p w14:paraId="348A15E7" w14:textId="0752BE9B" w:rsidR="00F46DFB" w:rsidRPr="002E302D" w:rsidRDefault="002F57C6" w:rsidP="00F46DFB">
            <w:pPr>
              <w:jc w:val="right"/>
              <w:rPr>
                <w:rFonts w:eastAsia="Times New Roman" w:cs="Arial"/>
                <w:color w:val="A6A6A6"/>
                <w:szCs w:val="22"/>
                <w:lang w:val="en-GB" w:eastAsia="en-GB"/>
              </w:rPr>
            </w:pPr>
            <w:r>
              <w:rPr>
                <w:rFonts w:cs="Arial"/>
                <w:color w:val="A6A6A6"/>
                <w:szCs w:val="22"/>
              </w:rPr>
              <w:t>4</w:t>
            </w:r>
            <w:r w:rsidR="00F46DFB">
              <w:rPr>
                <w:rFonts w:cs="Arial"/>
                <w:color w:val="A6A6A6"/>
                <w:szCs w:val="22"/>
              </w:rPr>
              <w:t xml:space="preserve">,188 </w:t>
            </w:r>
          </w:p>
        </w:tc>
        <w:tc>
          <w:tcPr>
            <w:tcW w:w="396" w:type="pct"/>
            <w:tcBorders>
              <w:top w:val="nil"/>
              <w:left w:val="nil"/>
              <w:bottom w:val="single" w:sz="8" w:space="0" w:color="auto"/>
              <w:right w:val="nil"/>
            </w:tcBorders>
            <w:shd w:val="clear" w:color="000000" w:fill="D9D9D9"/>
            <w:noWrap/>
            <w:vAlign w:val="center"/>
            <w:hideMark/>
          </w:tcPr>
          <w:p w14:paraId="30771277" w14:textId="695A3702" w:rsidR="00F46DFB" w:rsidRPr="002E302D" w:rsidRDefault="00F46DFB" w:rsidP="00F46DFB">
            <w:pPr>
              <w:jc w:val="right"/>
              <w:rPr>
                <w:rFonts w:eastAsia="Times New Roman" w:cs="Arial"/>
                <w:color w:val="424141"/>
                <w:szCs w:val="22"/>
                <w:lang w:val="en-GB" w:eastAsia="en-GB"/>
              </w:rPr>
            </w:pPr>
            <w:r>
              <w:rPr>
                <w:rFonts w:cs="Arial"/>
                <w:color w:val="424141"/>
                <w:szCs w:val="22"/>
              </w:rPr>
              <w:t> </w:t>
            </w:r>
          </w:p>
        </w:tc>
        <w:tc>
          <w:tcPr>
            <w:tcW w:w="398" w:type="pct"/>
            <w:tcBorders>
              <w:top w:val="nil"/>
              <w:left w:val="nil"/>
              <w:bottom w:val="single" w:sz="8" w:space="0" w:color="auto"/>
              <w:right w:val="nil"/>
            </w:tcBorders>
            <w:shd w:val="clear" w:color="auto" w:fill="auto"/>
            <w:vAlign w:val="center"/>
            <w:hideMark/>
          </w:tcPr>
          <w:p w14:paraId="630C2703" w14:textId="77777777" w:rsidR="00F46DFB" w:rsidRPr="002E302D" w:rsidRDefault="00F46DFB" w:rsidP="00F46DFB">
            <w:pPr>
              <w:jc w:val="right"/>
              <w:rPr>
                <w:rFonts w:eastAsia="Times New Roman" w:cs="Arial"/>
                <w:color w:val="424141"/>
                <w:szCs w:val="22"/>
                <w:lang w:val="en-GB" w:eastAsia="en-GB"/>
              </w:rPr>
            </w:pPr>
          </w:p>
        </w:tc>
        <w:tc>
          <w:tcPr>
            <w:tcW w:w="398" w:type="pct"/>
            <w:tcBorders>
              <w:top w:val="nil"/>
              <w:left w:val="nil"/>
              <w:bottom w:val="single" w:sz="8" w:space="0" w:color="auto"/>
              <w:right w:val="nil"/>
            </w:tcBorders>
            <w:shd w:val="clear" w:color="000000" w:fill="D9D9D9"/>
            <w:noWrap/>
            <w:vAlign w:val="center"/>
            <w:hideMark/>
          </w:tcPr>
          <w:p w14:paraId="64417860" w14:textId="44FD40BC" w:rsidR="00F46DFB" w:rsidRPr="002E302D" w:rsidRDefault="00F46DFB" w:rsidP="00F46DFB">
            <w:pPr>
              <w:jc w:val="right"/>
              <w:rPr>
                <w:rFonts w:eastAsia="Times New Roman" w:cs="Arial"/>
                <w:color w:val="424141"/>
                <w:szCs w:val="22"/>
                <w:lang w:val="en-GB" w:eastAsia="en-GB"/>
              </w:rPr>
            </w:pPr>
            <w:r>
              <w:rPr>
                <w:rFonts w:cs="Arial"/>
                <w:color w:val="424141"/>
                <w:szCs w:val="22"/>
              </w:rPr>
              <w:t> </w:t>
            </w:r>
          </w:p>
        </w:tc>
        <w:tc>
          <w:tcPr>
            <w:tcW w:w="398" w:type="pct"/>
            <w:tcBorders>
              <w:top w:val="nil"/>
              <w:left w:val="nil"/>
              <w:bottom w:val="single" w:sz="8" w:space="0" w:color="auto"/>
              <w:right w:val="nil"/>
            </w:tcBorders>
            <w:shd w:val="clear" w:color="auto" w:fill="auto"/>
            <w:vAlign w:val="center"/>
            <w:hideMark/>
          </w:tcPr>
          <w:p w14:paraId="3EB3F65B" w14:textId="77777777" w:rsidR="00F46DFB" w:rsidRPr="002E302D" w:rsidRDefault="00F46DFB" w:rsidP="00F46DFB">
            <w:pPr>
              <w:jc w:val="right"/>
              <w:rPr>
                <w:rFonts w:eastAsia="Times New Roman" w:cs="Arial"/>
                <w:color w:val="424141"/>
                <w:szCs w:val="22"/>
                <w:lang w:val="en-GB" w:eastAsia="en-GB"/>
              </w:rPr>
            </w:pPr>
          </w:p>
        </w:tc>
        <w:tc>
          <w:tcPr>
            <w:tcW w:w="398" w:type="pct"/>
            <w:tcBorders>
              <w:top w:val="nil"/>
              <w:left w:val="nil"/>
              <w:bottom w:val="single" w:sz="8" w:space="0" w:color="auto"/>
              <w:right w:val="nil"/>
            </w:tcBorders>
            <w:shd w:val="clear" w:color="000000" w:fill="D9D9D9"/>
            <w:noWrap/>
            <w:vAlign w:val="center"/>
            <w:hideMark/>
          </w:tcPr>
          <w:p w14:paraId="18FEE816" w14:textId="28C05016" w:rsidR="00F46DFB" w:rsidRPr="002E302D" w:rsidRDefault="00633516" w:rsidP="00F46DFB">
            <w:pPr>
              <w:jc w:val="right"/>
              <w:rPr>
                <w:rFonts w:eastAsia="Times New Roman" w:cs="Arial"/>
                <w:color w:val="424141"/>
                <w:szCs w:val="22"/>
                <w:lang w:val="en-GB" w:eastAsia="en-GB"/>
              </w:rPr>
            </w:pPr>
            <w:r>
              <w:rPr>
                <w:rFonts w:cs="Arial"/>
                <w:color w:val="424141"/>
                <w:szCs w:val="22"/>
              </w:rPr>
              <w:t>1,</w:t>
            </w:r>
            <w:r w:rsidR="000D1574">
              <w:rPr>
                <w:rFonts w:cs="Arial"/>
                <w:color w:val="424141"/>
                <w:szCs w:val="22"/>
              </w:rPr>
              <w:t>701</w:t>
            </w:r>
            <w:r w:rsidR="00F46DFB">
              <w:rPr>
                <w:rFonts w:cs="Arial"/>
                <w:color w:val="424141"/>
                <w:szCs w:val="22"/>
              </w:rPr>
              <w:t xml:space="preserve"> </w:t>
            </w:r>
          </w:p>
        </w:tc>
        <w:tc>
          <w:tcPr>
            <w:tcW w:w="382" w:type="pct"/>
            <w:tcBorders>
              <w:top w:val="nil"/>
              <w:left w:val="nil"/>
              <w:bottom w:val="single" w:sz="8" w:space="0" w:color="auto"/>
              <w:right w:val="nil"/>
            </w:tcBorders>
            <w:shd w:val="clear" w:color="auto" w:fill="auto"/>
            <w:noWrap/>
            <w:vAlign w:val="center"/>
            <w:hideMark/>
          </w:tcPr>
          <w:p w14:paraId="061A6478" w14:textId="74F7073C" w:rsidR="00F46DFB" w:rsidRPr="002E302D" w:rsidRDefault="00F46DFB" w:rsidP="00F46DFB">
            <w:pPr>
              <w:jc w:val="right"/>
              <w:rPr>
                <w:rFonts w:eastAsia="Times New Roman" w:cs="Arial"/>
                <w:color w:val="A6A6A6"/>
                <w:szCs w:val="22"/>
                <w:lang w:val="en-GB" w:eastAsia="en-GB"/>
              </w:rPr>
            </w:pPr>
            <w:r>
              <w:rPr>
                <w:rFonts w:cs="Arial"/>
                <w:color w:val="A6A6A6"/>
                <w:szCs w:val="22"/>
              </w:rPr>
              <w:t xml:space="preserve">3,188 </w:t>
            </w:r>
          </w:p>
        </w:tc>
      </w:tr>
      <w:tr w:rsidR="00F46DFB" w:rsidRPr="002E302D" w14:paraId="4CC31745" w14:textId="77777777" w:rsidTr="00052572">
        <w:trPr>
          <w:trHeight w:val="293"/>
        </w:trPr>
        <w:tc>
          <w:tcPr>
            <w:tcW w:w="1538" w:type="pct"/>
            <w:tcBorders>
              <w:top w:val="nil"/>
              <w:left w:val="nil"/>
              <w:bottom w:val="nil"/>
              <w:right w:val="nil"/>
            </w:tcBorders>
            <w:shd w:val="clear" w:color="auto" w:fill="auto"/>
            <w:noWrap/>
            <w:vAlign w:val="center"/>
            <w:hideMark/>
          </w:tcPr>
          <w:p w14:paraId="663455C7" w14:textId="77777777" w:rsidR="00F46DFB" w:rsidRPr="002E302D" w:rsidRDefault="00F46DFB" w:rsidP="00F46DFB">
            <w:pPr>
              <w:rPr>
                <w:rFonts w:eastAsia="Times New Roman" w:cs="Arial"/>
                <w:b/>
                <w:bCs/>
                <w:color w:val="424141"/>
                <w:szCs w:val="22"/>
                <w:lang w:val="en-GB" w:eastAsia="en-GB"/>
              </w:rPr>
            </w:pPr>
            <w:r w:rsidRPr="002E302D">
              <w:rPr>
                <w:rFonts w:eastAsia="Times New Roman" w:cs="Arial"/>
                <w:b/>
                <w:bCs/>
                <w:color w:val="424141"/>
                <w:szCs w:val="22"/>
                <w:lang w:val="en-GB" w:eastAsia="en-GB"/>
              </w:rPr>
              <w:t>Total charity funds</w:t>
            </w:r>
          </w:p>
        </w:tc>
        <w:tc>
          <w:tcPr>
            <w:tcW w:w="298" w:type="pct"/>
            <w:tcBorders>
              <w:top w:val="nil"/>
              <w:left w:val="nil"/>
              <w:bottom w:val="nil"/>
              <w:right w:val="nil"/>
            </w:tcBorders>
            <w:shd w:val="clear" w:color="auto" w:fill="auto"/>
            <w:noWrap/>
            <w:vAlign w:val="center"/>
            <w:hideMark/>
          </w:tcPr>
          <w:p w14:paraId="00CB9F6B" w14:textId="77777777" w:rsidR="00F46DFB" w:rsidRPr="002E302D" w:rsidRDefault="00F46DFB" w:rsidP="00F46DFB">
            <w:pPr>
              <w:rPr>
                <w:rFonts w:eastAsia="Times New Roman" w:cs="Arial"/>
                <w:b/>
                <w:bCs/>
                <w:color w:val="424141"/>
                <w:szCs w:val="22"/>
                <w:lang w:val="en-GB" w:eastAsia="en-GB"/>
              </w:rPr>
            </w:pPr>
          </w:p>
        </w:tc>
        <w:tc>
          <w:tcPr>
            <w:tcW w:w="397" w:type="pct"/>
            <w:tcBorders>
              <w:top w:val="single" w:sz="8" w:space="0" w:color="auto"/>
              <w:left w:val="nil"/>
              <w:bottom w:val="double" w:sz="6" w:space="0" w:color="auto"/>
              <w:right w:val="nil"/>
            </w:tcBorders>
            <w:shd w:val="clear" w:color="000000" w:fill="D9D9D9"/>
            <w:noWrap/>
            <w:vAlign w:val="center"/>
            <w:hideMark/>
          </w:tcPr>
          <w:p w14:paraId="1EAF8378" w14:textId="3576CD7F" w:rsidR="00F46DFB" w:rsidRPr="002E302D" w:rsidRDefault="002F57C6" w:rsidP="00F46DFB">
            <w:pPr>
              <w:jc w:val="right"/>
              <w:rPr>
                <w:rFonts w:eastAsia="Times New Roman" w:cs="Arial"/>
                <w:b/>
                <w:bCs/>
                <w:color w:val="424141"/>
                <w:szCs w:val="22"/>
                <w:lang w:val="en-GB" w:eastAsia="en-GB"/>
              </w:rPr>
            </w:pPr>
            <w:r>
              <w:rPr>
                <w:rFonts w:cs="Arial"/>
                <w:b/>
                <w:bCs/>
                <w:color w:val="424141"/>
                <w:szCs w:val="22"/>
              </w:rPr>
              <w:t>1,</w:t>
            </w:r>
            <w:r w:rsidR="00913EF9">
              <w:rPr>
                <w:rFonts w:cs="Arial"/>
                <w:b/>
                <w:bCs/>
                <w:color w:val="424141"/>
                <w:szCs w:val="22"/>
              </w:rPr>
              <w:t>701</w:t>
            </w:r>
          </w:p>
        </w:tc>
        <w:tc>
          <w:tcPr>
            <w:tcW w:w="397" w:type="pct"/>
            <w:tcBorders>
              <w:top w:val="single" w:sz="8" w:space="0" w:color="auto"/>
              <w:left w:val="nil"/>
              <w:bottom w:val="double" w:sz="6" w:space="0" w:color="auto"/>
              <w:right w:val="nil"/>
            </w:tcBorders>
            <w:shd w:val="clear" w:color="auto" w:fill="auto"/>
            <w:vAlign w:val="center"/>
            <w:hideMark/>
          </w:tcPr>
          <w:p w14:paraId="4E5363E4" w14:textId="50607CB8" w:rsidR="00F46DFB" w:rsidRPr="002E302D" w:rsidRDefault="002F57C6" w:rsidP="00F46DFB">
            <w:pPr>
              <w:jc w:val="right"/>
              <w:rPr>
                <w:rFonts w:eastAsia="Times New Roman" w:cs="Arial"/>
                <w:b/>
                <w:bCs/>
                <w:color w:val="A6A6A6"/>
                <w:szCs w:val="22"/>
                <w:lang w:val="en-GB" w:eastAsia="en-GB"/>
              </w:rPr>
            </w:pPr>
            <w:r>
              <w:rPr>
                <w:rFonts w:cs="Arial"/>
                <w:b/>
                <w:bCs/>
                <w:color w:val="A6A6A6"/>
                <w:szCs w:val="22"/>
              </w:rPr>
              <w:t>4</w:t>
            </w:r>
            <w:r w:rsidR="00F46DFB">
              <w:rPr>
                <w:rFonts w:cs="Arial"/>
                <w:b/>
                <w:bCs/>
                <w:color w:val="A6A6A6"/>
                <w:szCs w:val="22"/>
              </w:rPr>
              <w:t xml:space="preserve">,188 </w:t>
            </w:r>
          </w:p>
        </w:tc>
        <w:tc>
          <w:tcPr>
            <w:tcW w:w="396" w:type="pct"/>
            <w:tcBorders>
              <w:top w:val="single" w:sz="8" w:space="0" w:color="auto"/>
              <w:left w:val="nil"/>
              <w:bottom w:val="double" w:sz="6" w:space="0" w:color="auto"/>
              <w:right w:val="nil"/>
            </w:tcBorders>
            <w:shd w:val="clear" w:color="000000" w:fill="D9D9D9"/>
            <w:noWrap/>
            <w:vAlign w:val="center"/>
            <w:hideMark/>
          </w:tcPr>
          <w:p w14:paraId="702C0A3D" w14:textId="23CEF20A" w:rsidR="00F46DFB" w:rsidRPr="002E302D" w:rsidRDefault="00B01D38" w:rsidP="00F46DFB">
            <w:pPr>
              <w:jc w:val="right"/>
              <w:rPr>
                <w:rFonts w:eastAsia="Times New Roman" w:cs="Arial"/>
                <w:b/>
                <w:bCs/>
                <w:color w:val="424141"/>
                <w:szCs w:val="22"/>
                <w:lang w:val="en-GB" w:eastAsia="en-GB"/>
              </w:rPr>
            </w:pPr>
            <w:r>
              <w:rPr>
                <w:rFonts w:cs="Arial"/>
                <w:b/>
                <w:bCs/>
                <w:color w:val="424141"/>
                <w:szCs w:val="22"/>
              </w:rPr>
              <w:t>4,777</w:t>
            </w:r>
          </w:p>
        </w:tc>
        <w:tc>
          <w:tcPr>
            <w:tcW w:w="398" w:type="pct"/>
            <w:tcBorders>
              <w:top w:val="single" w:sz="8" w:space="0" w:color="auto"/>
              <w:left w:val="nil"/>
              <w:bottom w:val="double" w:sz="6" w:space="0" w:color="auto"/>
              <w:right w:val="nil"/>
            </w:tcBorders>
            <w:shd w:val="clear" w:color="auto" w:fill="auto"/>
            <w:vAlign w:val="center"/>
            <w:hideMark/>
          </w:tcPr>
          <w:p w14:paraId="6491B79A" w14:textId="11DE5FAA" w:rsidR="00F46DFB" w:rsidRPr="002E302D" w:rsidRDefault="00F46DFB" w:rsidP="00F46DFB">
            <w:pPr>
              <w:jc w:val="right"/>
              <w:rPr>
                <w:rFonts w:eastAsia="Times New Roman" w:cs="Arial"/>
                <w:b/>
                <w:bCs/>
                <w:color w:val="A6A6A6"/>
                <w:szCs w:val="22"/>
                <w:lang w:val="en-GB" w:eastAsia="en-GB"/>
              </w:rPr>
            </w:pPr>
            <w:r>
              <w:rPr>
                <w:rFonts w:cs="Arial"/>
                <w:b/>
                <w:bCs/>
                <w:color w:val="A6A6A6"/>
                <w:szCs w:val="22"/>
              </w:rPr>
              <w:t xml:space="preserve">3,570 </w:t>
            </w:r>
          </w:p>
        </w:tc>
        <w:tc>
          <w:tcPr>
            <w:tcW w:w="398" w:type="pct"/>
            <w:tcBorders>
              <w:top w:val="single" w:sz="8" w:space="0" w:color="auto"/>
              <w:left w:val="nil"/>
              <w:bottom w:val="double" w:sz="6" w:space="0" w:color="auto"/>
              <w:right w:val="nil"/>
            </w:tcBorders>
            <w:shd w:val="clear" w:color="000000" w:fill="D9D9D9"/>
            <w:noWrap/>
            <w:vAlign w:val="center"/>
            <w:hideMark/>
          </w:tcPr>
          <w:p w14:paraId="453D6916" w14:textId="5FBA0474" w:rsidR="00F46DFB" w:rsidRPr="002E302D" w:rsidRDefault="00590A01" w:rsidP="00F46DFB">
            <w:pPr>
              <w:jc w:val="right"/>
              <w:rPr>
                <w:rFonts w:eastAsia="Times New Roman" w:cs="Arial"/>
                <w:b/>
                <w:bCs/>
                <w:color w:val="424141"/>
                <w:szCs w:val="22"/>
                <w:lang w:val="en-GB" w:eastAsia="en-GB"/>
              </w:rPr>
            </w:pPr>
            <w:r>
              <w:rPr>
                <w:rFonts w:cs="Arial"/>
                <w:b/>
                <w:bCs/>
                <w:color w:val="424141"/>
                <w:szCs w:val="22"/>
              </w:rPr>
              <w:t xml:space="preserve">919 </w:t>
            </w:r>
          </w:p>
        </w:tc>
        <w:tc>
          <w:tcPr>
            <w:tcW w:w="398" w:type="pct"/>
            <w:tcBorders>
              <w:top w:val="single" w:sz="8" w:space="0" w:color="auto"/>
              <w:left w:val="nil"/>
              <w:bottom w:val="double" w:sz="6" w:space="0" w:color="auto"/>
              <w:right w:val="nil"/>
            </w:tcBorders>
            <w:shd w:val="clear" w:color="auto" w:fill="auto"/>
            <w:vAlign w:val="center"/>
            <w:hideMark/>
          </w:tcPr>
          <w:p w14:paraId="5FF5382C" w14:textId="36EDA483" w:rsidR="00F46DFB" w:rsidRPr="002E302D" w:rsidRDefault="00F46DFB" w:rsidP="00F46DFB">
            <w:pPr>
              <w:jc w:val="right"/>
              <w:rPr>
                <w:rFonts w:eastAsia="Times New Roman" w:cs="Arial"/>
                <w:b/>
                <w:bCs/>
                <w:color w:val="A6A6A6"/>
                <w:szCs w:val="22"/>
                <w:lang w:val="en-GB" w:eastAsia="en-GB"/>
              </w:rPr>
            </w:pPr>
            <w:r>
              <w:rPr>
                <w:rFonts w:cs="Arial"/>
                <w:b/>
                <w:bCs/>
                <w:color w:val="A6A6A6"/>
                <w:szCs w:val="22"/>
              </w:rPr>
              <w:t xml:space="preserve">963 </w:t>
            </w:r>
          </w:p>
        </w:tc>
        <w:tc>
          <w:tcPr>
            <w:tcW w:w="398" w:type="pct"/>
            <w:tcBorders>
              <w:top w:val="single" w:sz="8" w:space="0" w:color="auto"/>
              <w:left w:val="nil"/>
              <w:bottom w:val="double" w:sz="6" w:space="0" w:color="auto"/>
              <w:right w:val="nil"/>
            </w:tcBorders>
            <w:shd w:val="clear" w:color="000000" w:fill="D9D9D9"/>
            <w:noWrap/>
            <w:vAlign w:val="center"/>
            <w:hideMark/>
          </w:tcPr>
          <w:p w14:paraId="5D78DF40" w14:textId="5F427ED9" w:rsidR="00F46DFB" w:rsidRPr="002E302D" w:rsidRDefault="002F57C6" w:rsidP="00F46DFB">
            <w:pPr>
              <w:jc w:val="right"/>
              <w:rPr>
                <w:rFonts w:eastAsia="Times New Roman" w:cs="Arial"/>
                <w:b/>
                <w:bCs/>
                <w:color w:val="424141"/>
                <w:szCs w:val="22"/>
                <w:lang w:val="en-GB" w:eastAsia="en-GB"/>
              </w:rPr>
            </w:pPr>
            <w:r>
              <w:rPr>
                <w:rFonts w:cs="Arial"/>
                <w:b/>
                <w:bCs/>
                <w:color w:val="424141"/>
                <w:szCs w:val="22"/>
              </w:rPr>
              <w:t>7</w:t>
            </w:r>
            <w:r w:rsidR="00F46DFB">
              <w:rPr>
                <w:rFonts w:cs="Arial"/>
                <w:b/>
                <w:bCs/>
                <w:color w:val="424141"/>
                <w:szCs w:val="22"/>
              </w:rPr>
              <w:t>,</w:t>
            </w:r>
            <w:r w:rsidR="00C53FAC">
              <w:rPr>
                <w:rFonts w:cs="Arial"/>
                <w:b/>
                <w:bCs/>
                <w:color w:val="424141"/>
                <w:szCs w:val="22"/>
              </w:rPr>
              <w:t xml:space="preserve">397 </w:t>
            </w:r>
          </w:p>
        </w:tc>
        <w:tc>
          <w:tcPr>
            <w:tcW w:w="382" w:type="pct"/>
            <w:tcBorders>
              <w:top w:val="single" w:sz="8" w:space="0" w:color="auto"/>
              <w:left w:val="nil"/>
              <w:bottom w:val="double" w:sz="6" w:space="0" w:color="auto"/>
              <w:right w:val="nil"/>
            </w:tcBorders>
            <w:shd w:val="clear" w:color="auto" w:fill="auto"/>
            <w:noWrap/>
            <w:vAlign w:val="center"/>
            <w:hideMark/>
          </w:tcPr>
          <w:p w14:paraId="01199057" w14:textId="538320F5" w:rsidR="00F46DFB" w:rsidRPr="002E302D" w:rsidRDefault="003E08D0" w:rsidP="00F46DFB">
            <w:pPr>
              <w:jc w:val="right"/>
              <w:rPr>
                <w:rFonts w:eastAsia="Times New Roman" w:cs="Arial"/>
                <w:b/>
                <w:bCs/>
                <w:color w:val="A6A6A6"/>
                <w:szCs w:val="22"/>
                <w:lang w:val="en-GB" w:eastAsia="en-GB"/>
              </w:rPr>
            </w:pPr>
            <w:r>
              <w:rPr>
                <w:rFonts w:cs="Arial"/>
                <w:b/>
                <w:bCs/>
                <w:color w:val="A6A6A6"/>
                <w:szCs w:val="22"/>
              </w:rPr>
              <w:t>8</w:t>
            </w:r>
            <w:r w:rsidR="00F46DFB">
              <w:rPr>
                <w:rFonts w:cs="Arial"/>
                <w:b/>
                <w:bCs/>
                <w:color w:val="A6A6A6"/>
                <w:szCs w:val="22"/>
              </w:rPr>
              <w:t xml:space="preserve">,721 </w:t>
            </w:r>
          </w:p>
        </w:tc>
      </w:tr>
    </w:tbl>
    <w:p w14:paraId="410B9AAE" w14:textId="77777777" w:rsidR="00E53DB1" w:rsidRPr="006644A8" w:rsidRDefault="00E53DB1" w:rsidP="00E53DB1">
      <w:pPr>
        <w:tabs>
          <w:tab w:val="left" w:pos="9072"/>
        </w:tabs>
        <w:ind w:right="249"/>
        <w:rPr>
          <w:rFonts w:asciiTheme="minorHAnsi" w:hAnsiTheme="minorHAnsi" w:cstheme="minorHAnsi"/>
          <w:b/>
          <w:i/>
        </w:rPr>
      </w:pPr>
    </w:p>
    <w:p w14:paraId="7539E3D8" w14:textId="77777777" w:rsidR="00E53DB1" w:rsidRDefault="00E53DB1" w:rsidP="00E53DB1">
      <w:pPr>
        <w:pStyle w:val="Bodytext"/>
        <w:sectPr w:rsidR="00E53DB1" w:rsidSect="00237BC5">
          <w:pgSz w:w="16840" w:h="11900" w:orient="landscape"/>
          <w:pgMar w:top="1021" w:right="1701" w:bottom="1021" w:left="851" w:header="851" w:footer="851" w:gutter="0"/>
          <w:cols w:space="720"/>
          <w:titlePg/>
          <w:docGrid w:linePitch="360"/>
        </w:sectPr>
      </w:pPr>
    </w:p>
    <w:p w14:paraId="6053EACA" w14:textId="1487ABF9" w:rsidR="000E5226" w:rsidRDefault="00E53DB1" w:rsidP="00E53DB1">
      <w:pPr>
        <w:pStyle w:val="Bodytext"/>
      </w:pPr>
      <w:r w:rsidRPr="006644A8">
        <w:t xml:space="preserve">The notes at pages </w:t>
      </w:r>
      <w:r w:rsidRPr="006644A8">
        <w:fldChar w:fldCharType="begin"/>
      </w:r>
      <w:r w:rsidRPr="006644A8">
        <w:instrText xml:space="preserve"> PAGEREF _Ref431896273 \h </w:instrText>
      </w:r>
      <w:r w:rsidRPr="006644A8">
        <w:fldChar w:fldCharType="separate"/>
      </w:r>
      <w:r w:rsidR="00E6322B">
        <w:rPr>
          <w:noProof/>
        </w:rPr>
        <w:t>30</w:t>
      </w:r>
      <w:r w:rsidRPr="006644A8">
        <w:fldChar w:fldCharType="end"/>
      </w:r>
      <w:r w:rsidRPr="006644A8">
        <w:t xml:space="preserve"> to </w:t>
      </w:r>
      <w:r w:rsidR="00D9313C">
        <w:fldChar w:fldCharType="begin"/>
      </w:r>
      <w:r w:rsidR="00D9313C">
        <w:instrText xml:space="preserve"> PAGEREF _Ref99436954 \h </w:instrText>
      </w:r>
      <w:r w:rsidR="00D9313C">
        <w:fldChar w:fldCharType="separate"/>
      </w:r>
      <w:r w:rsidR="00E6322B">
        <w:rPr>
          <w:noProof/>
        </w:rPr>
        <w:t>55</w:t>
      </w:r>
      <w:r w:rsidR="00D9313C">
        <w:fldChar w:fldCharType="end"/>
      </w:r>
      <w:r>
        <w:t xml:space="preserve"> </w:t>
      </w:r>
      <w:r w:rsidRPr="006644A8">
        <w:t>form part of these accounts</w:t>
      </w:r>
      <w:r>
        <w:t xml:space="preserve"> signed on behalf of the trust by </w:t>
      </w:r>
      <w:r w:rsidRPr="006644A8">
        <w:t xml:space="preserve">Josephine Maine (Chair of </w:t>
      </w:r>
      <w:r>
        <w:t>the Charitable Fund committee)</w:t>
      </w:r>
    </w:p>
    <w:p w14:paraId="573EC03B" w14:textId="67AC8725" w:rsidR="00E53DB1" w:rsidRPr="00052572" w:rsidRDefault="00E53DB1" w:rsidP="00E53DB1">
      <w:pPr>
        <w:pStyle w:val="Bodytext"/>
        <w:rPr>
          <w:rFonts w:ascii="Ink Free" w:hAnsi="Ink Free"/>
          <w:sz w:val="30"/>
          <w:szCs w:val="30"/>
        </w:rPr>
      </w:pPr>
      <w:r w:rsidRPr="006644A8">
        <w:t xml:space="preserve">Signed: </w:t>
      </w:r>
      <w:r w:rsidRPr="00052572">
        <w:rPr>
          <w:rFonts w:ascii="Ink Free" w:hAnsi="Ink Free"/>
          <w:sz w:val="30"/>
          <w:szCs w:val="30"/>
        </w:rPr>
        <w:t>J Maine</w:t>
      </w:r>
    </w:p>
    <w:p w14:paraId="60C99631" w14:textId="138ACC90" w:rsidR="000E5226" w:rsidRPr="006644A8" w:rsidRDefault="000E5226" w:rsidP="00E53DB1">
      <w:pPr>
        <w:pStyle w:val="Bodytext"/>
      </w:pPr>
      <w:r w:rsidRPr="006644A8">
        <w:t xml:space="preserve">Date: 30 June </w:t>
      </w:r>
      <w:r>
        <w:t>202</w:t>
      </w:r>
      <w:r w:rsidR="00C4626E">
        <w:t>4</w:t>
      </w:r>
    </w:p>
    <w:p w14:paraId="1D618B93" w14:textId="1CC2BFF7" w:rsidR="00E53DB1" w:rsidRDefault="00E53DB1" w:rsidP="00E53DB1">
      <w:pPr>
        <w:pStyle w:val="Bodytext"/>
        <w:sectPr w:rsidR="00E53DB1" w:rsidSect="00237BC5">
          <w:type w:val="continuous"/>
          <w:pgSz w:w="16840" w:h="11900" w:orient="landscape"/>
          <w:pgMar w:top="1021" w:right="1701" w:bottom="1021" w:left="851" w:header="851" w:footer="851" w:gutter="0"/>
          <w:cols w:num="2" w:space="720"/>
          <w:titlePg/>
          <w:docGrid w:linePitch="360"/>
        </w:sectPr>
      </w:pPr>
    </w:p>
    <w:p w14:paraId="42344EB5" w14:textId="484ABAC1" w:rsidR="00E53DB1" w:rsidRPr="006644A8" w:rsidRDefault="00E53DB1" w:rsidP="00E53DB1">
      <w:pPr>
        <w:pStyle w:val="Heading1"/>
      </w:pPr>
      <w:r>
        <w:lastRenderedPageBreak/>
        <w:t>On the Mend</w:t>
      </w:r>
      <w:r w:rsidRPr="006644A8">
        <w:t xml:space="preserve"> NHS Charit</w:t>
      </w:r>
      <w:r>
        <w:t>y</w:t>
      </w:r>
      <w:r w:rsidRPr="006644A8">
        <w:t xml:space="preserve"> </w:t>
      </w:r>
      <w:r w:rsidR="00445237">
        <w:t>s</w:t>
      </w:r>
      <w:r w:rsidRPr="006644A8">
        <w:t xml:space="preserve">tatement of </w:t>
      </w:r>
      <w:r w:rsidR="00445237">
        <w:t>c</w:t>
      </w:r>
      <w:r w:rsidRPr="006644A8">
        <w:t xml:space="preserve">ash </w:t>
      </w:r>
      <w:r w:rsidR="00445237">
        <w:t>f</w:t>
      </w:r>
      <w:r w:rsidRPr="006644A8">
        <w:t xml:space="preserve">lows for the year ending 31 March </w:t>
      </w:r>
      <w:r>
        <w:t>202</w:t>
      </w:r>
      <w:r w:rsidR="003B126B">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8"/>
      </w:tblGrid>
      <w:tr w:rsidR="00E53DB1" w:rsidRPr="006644A8" w14:paraId="278DD6D8" w14:textId="77777777" w:rsidTr="00EC1B15">
        <w:tc>
          <w:tcPr>
            <w:tcW w:w="5000" w:type="pct"/>
            <w:shd w:val="clear" w:color="auto" w:fill="auto"/>
          </w:tcPr>
          <w:p w14:paraId="6BBC5A75" w14:textId="77777777" w:rsidR="00E53DB1" w:rsidRPr="006644A8" w:rsidRDefault="00E53DB1" w:rsidP="00EC1B15">
            <w:pPr>
              <w:pStyle w:val="Bodytext"/>
            </w:pPr>
            <w:r w:rsidRPr="006644A8">
              <w:t xml:space="preserve">Paragraph 14.1 of the </w:t>
            </w:r>
            <w:r>
              <w:t>SORP FRS 102</w:t>
            </w:r>
            <w:r w:rsidRPr="006644A8">
              <w:t xml:space="preserve"> states that charities preparing their accounts under FRS 102 must provide a statement of cash flows.</w:t>
            </w:r>
            <w:r>
              <w:t xml:space="preserve"> </w:t>
            </w:r>
            <w:r w:rsidRPr="006644A8">
              <w:t xml:space="preserve">Table 8 of the </w:t>
            </w:r>
            <w:r>
              <w:t>SORP FRS 102</w:t>
            </w:r>
            <w:r w:rsidRPr="006644A8">
              <w:t xml:space="preserve"> provides a template for charities preparing their accounts using the indirect method.</w:t>
            </w:r>
          </w:p>
          <w:p w14:paraId="33E71924" w14:textId="77777777" w:rsidR="00E53DB1" w:rsidRDefault="00E53DB1" w:rsidP="00EC1B15">
            <w:pPr>
              <w:pStyle w:val="Bodytext"/>
            </w:pPr>
            <w:r w:rsidRPr="006644A8">
              <w:t>Unnecessary lines have not been included in the example accounts – this charity has no financing activities so this section of the statement of cash flows has been excluded.</w:t>
            </w:r>
          </w:p>
          <w:p w14:paraId="43BC3D70" w14:textId="77777777" w:rsidR="00E53DB1" w:rsidRPr="00950A26" w:rsidRDefault="00E53DB1" w:rsidP="00EC1B15">
            <w:pPr>
              <w:pStyle w:val="Bodytext"/>
            </w:pPr>
            <w:r w:rsidRPr="00950A26">
              <w:t>For those charities with borrowings and/ or finance leases, paragraph 14.17a of the SORP FRS 102 requires a reconciliation of net debt to be included in the notes to the accounts. A template for that note is provided in table 10A of the SORP FRS 102. As this charity does not have any financing activities, this new note is not required.</w:t>
            </w:r>
          </w:p>
        </w:tc>
      </w:tr>
    </w:tbl>
    <w:p w14:paraId="6812C8AF" w14:textId="77777777" w:rsidR="00444BAA" w:rsidRDefault="00444BAA" w:rsidP="00E53DB1">
      <w:pPr>
        <w:tabs>
          <w:tab w:val="left" w:pos="9072"/>
        </w:tabs>
        <w:ind w:right="249"/>
        <w:rPr>
          <w:rFonts w:asciiTheme="minorHAnsi" w:hAnsiTheme="minorHAnsi" w:cstheme="minorHAnsi"/>
          <w:b/>
          <w:bCs/>
        </w:rPr>
        <w:sectPr w:rsidR="00444BAA" w:rsidSect="00237BC5">
          <w:pgSz w:w="16840" w:h="11900" w:orient="landscape"/>
          <w:pgMar w:top="1021" w:right="1701" w:bottom="1021" w:left="851" w:header="851" w:footer="851" w:gutter="0"/>
          <w:cols w:space="720"/>
          <w:titlePg/>
          <w:docGrid w:linePitch="360"/>
        </w:sectPr>
      </w:pPr>
    </w:p>
    <w:p w14:paraId="0777D831" w14:textId="77777777" w:rsidR="00E53DB1" w:rsidRPr="006644A8" w:rsidRDefault="00E53DB1" w:rsidP="00E53DB1">
      <w:pPr>
        <w:tabs>
          <w:tab w:val="left" w:pos="9072"/>
        </w:tabs>
        <w:ind w:right="249"/>
        <w:rPr>
          <w:rFonts w:asciiTheme="minorHAnsi" w:hAnsiTheme="minorHAnsi" w:cstheme="minorHAnsi"/>
          <w:b/>
          <w:bCs/>
        </w:rPr>
      </w:pPr>
    </w:p>
    <w:p w14:paraId="1BAD7A5D" w14:textId="77777777" w:rsidR="00E53DB1" w:rsidRPr="006644A8" w:rsidRDefault="00E53DB1" w:rsidP="00E53DB1">
      <w:pPr>
        <w:tabs>
          <w:tab w:val="left" w:pos="9072"/>
        </w:tabs>
        <w:ind w:right="249"/>
        <w:rPr>
          <w:rFonts w:asciiTheme="minorHAnsi" w:hAnsiTheme="minorHAnsi" w:cstheme="minorHAnsi"/>
        </w:rPr>
      </w:pPr>
    </w:p>
    <w:tbl>
      <w:tblPr>
        <w:tblW w:w="5000" w:type="pct"/>
        <w:tblLook w:val="0000" w:firstRow="0" w:lastRow="0" w:firstColumn="0" w:lastColumn="0" w:noHBand="0" w:noVBand="0"/>
      </w:tblPr>
      <w:tblGrid>
        <w:gridCol w:w="8385"/>
        <w:gridCol w:w="1334"/>
        <w:gridCol w:w="2472"/>
        <w:gridCol w:w="2097"/>
      </w:tblGrid>
      <w:tr w:rsidR="00E53DB1" w:rsidRPr="006644A8" w14:paraId="785D0210" w14:textId="77777777" w:rsidTr="00EC1B15">
        <w:trPr>
          <w:trHeight w:val="264"/>
        </w:trPr>
        <w:tc>
          <w:tcPr>
            <w:tcW w:w="2934" w:type="pct"/>
            <w:shd w:val="clear" w:color="auto" w:fill="auto"/>
            <w:noWrap/>
            <w:vAlign w:val="bottom"/>
          </w:tcPr>
          <w:p w14:paraId="693BFBDA" w14:textId="77777777" w:rsidR="00E53DB1" w:rsidRPr="006644A8" w:rsidRDefault="00E53DB1" w:rsidP="00EC1B15">
            <w:pPr>
              <w:pStyle w:val="Bodytext"/>
              <w:spacing w:after="60"/>
            </w:pPr>
          </w:p>
        </w:tc>
        <w:tc>
          <w:tcPr>
            <w:tcW w:w="467" w:type="pct"/>
            <w:shd w:val="clear" w:color="auto" w:fill="auto"/>
            <w:noWrap/>
            <w:vAlign w:val="bottom"/>
          </w:tcPr>
          <w:p w14:paraId="3D39D1A2" w14:textId="77777777" w:rsidR="00E53DB1" w:rsidRPr="006644A8" w:rsidRDefault="00E53DB1" w:rsidP="00EC1B15">
            <w:pPr>
              <w:pStyle w:val="Bodytext"/>
              <w:spacing w:after="60"/>
              <w:jc w:val="center"/>
              <w:rPr>
                <w:b/>
              </w:rPr>
            </w:pPr>
            <w:r w:rsidRPr="006644A8">
              <w:rPr>
                <w:b/>
              </w:rPr>
              <w:t>Note</w:t>
            </w:r>
          </w:p>
        </w:tc>
        <w:tc>
          <w:tcPr>
            <w:tcW w:w="865" w:type="pct"/>
            <w:shd w:val="clear" w:color="auto" w:fill="D9D9D9" w:themeFill="background1" w:themeFillShade="D9"/>
            <w:noWrap/>
            <w:vAlign w:val="bottom"/>
          </w:tcPr>
          <w:p w14:paraId="6E2BFBDB" w14:textId="77777777" w:rsidR="00E53DB1" w:rsidRPr="006644A8" w:rsidRDefault="00E53DB1" w:rsidP="00EC1B15">
            <w:pPr>
              <w:pStyle w:val="Bodytext"/>
              <w:spacing w:after="60"/>
              <w:jc w:val="right"/>
              <w:rPr>
                <w:b/>
              </w:rPr>
            </w:pPr>
            <w:r w:rsidRPr="006644A8">
              <w:rPr>
                <w:b/>
              </w:rPr>
              <w:t>Total funds</w:t>
            </w:r>
          </w:p>
          <w:p w14:paraId="2869EFC1" w14:textId="3775341F" w:rsidR="00E53DB1" w:rsidRDefault="00E53DB1" w:rsidP="00EC1B15">
            <w:pPr>
              <w:pStyle w:val="Bodytext"/>
              <w:spacing w:after="60"/>
              <w:jc w:val="right"/>
              <w:rPr>
                <w:b/>
              </w:rPr>
            </w:pPr>
            <w:r>
              <w:rPr>
                <w:b/>
              </w:rPr>
              <w:t>202</w:t>
            </w:r>
            <w:r w:rsidR="003B126B">
              <w:rPr>
                <w:b/>
              </w:rPr>
              <w:t>3</w:t>
            </w:r>
            <w:r>
              <w:rPr>
                <w:b/>
              </w:rPr>
              <w:t>/2</w:t>
            </w:r>
            <w:r w:rsidR="003B126B">
              <w:rPr>
                <w:b/>
              </w:rPr>
              <w:t>4</w:t>
            </w:r>
          </w:p>
          <w:p w14:paraId="031F87DF" w14:textId="77777777" w:rsidR="00E53DB1" w:rsidRPr="006644A8" w:rsidRDefault="00E53DB1" w:rsidP="00EC1B15">
            <w:pPr>
              <w:pStyle w:val="Bodytext"/>
              <w:spacing w:after="60"/>
              <w:jc w:val="right"/>
              <w:rPr>
                <w:b/>
              </w:rPr>
            </w:pPr>
            <w:r>
              <w:rPr>
                <w:b/>
              </w:rPr>
              <w:t>£’000</w:t>
            </w:r>
          </w:p>
        </w:tc>
        <w:tc>
          <w:tcPr>
            <w:tcW w:w="734" w:type="pct"/>
            <w:shd w:val="clear" w:color="auto" w:fill="auto"/>
            <w:noWrap/>
            <w:vAlign w:val="bottom"/>
          </w:tcPr>
          <w:p w14:paraId="6BAC37CC" w14:textId="77777777" w:rsidR="00E53DB1" w:rsidRPr="0091457D" w:rsidRDefault="00E53DB1" w:rsidP="00EC1B15">
            <w:pPr>
              <w:pStyle w:val="Bodytext"/>
              <w:spacing w:after="60"/>
              <w:jc w:val="right"/>
              <w:rPr>
                <w:b/>
                <w:color w:val="A6A6A6" w:themeColor="background1" w:themeShade="A6"/>
              </w:rPr>
            </w:pPr>
            <w:r w:rsidRPr="0091457D">
              <w:rPr>
                <w:b/>
                <w:color w:val="A6A6A6" w:themeColor="background1" w:themeShade="A6"/>
              </w:rPr>
              <w:t>Total funds</w:t>
            </w:r>
          </w:p>
          <w:p w14:paraId="48E57962" w14:textId="4CF2D0F8" w:rsidR="00E53DB1" w:rsidRDefault="00E53DB1" w:rsidP="00EC1B15">
            <w:pPr>
              <w:pStyle w:val="Bodytext"/>
              <w:spacing w:after="60"/>
              <w:jc w:val="right"/>
              <w:rPr>
                <w:b/>
                <w:color w:val="A6A6A6" w:themeColor="background1" w:themeShade="A6"/>
              </w:rPr>
            </w:pPr>
            <w:r>
              <w:rPr>
                <w:b/>
                <w:color w:val="A6A6A6" w:themeColor="background1" w:themeShade="A6"/>
              </w:rPr>
              <w:t>20</w:t>
            </w:r>
            <w:r w:rsidR="00922A0D">
              <w:rPr>
                <w:b/>
                <w:color w:val="A6A6A6" w:themeColor="background1" w:themeShade="A6"/>
              </w:rPr>
              <w:t>2</w:t>
            </w:r>
            <w:r w:rsidR="003B126B">
              <w:rPr>
                <w:b/>
                <w:color w:val="A6A6A6" w:themeColor="background1" w:themeShade="A6"/>
              </w:rPr>
              <w:t>2</w:t>
            </w:r>
            <w:r>
              <w:rPr>
                <w:b/>
                <w:color w:val="A6A6A6" w:themeColor="background1" w:themeShade="A6"/>
              </w:rPr>
              <w:t>/2</w:t>
            </w:r>
            <w:r w:rsidR="003B126B">
              <w:rPr>
                <w:b/>
                <w:color w:val="A6A6A6" w:themeColor="background1" w:themeShade="A6"/>
              </w:rPr>
              <w:t>3</w:t>
            </w:r>
          </w:p>
          <w:p w14:paraId="266E8124" w14:textId="77777777" w:rsidR="00E53DB1" w:rsidRPr="0091457D" w:rsidRDefault="00E53DB1" w:rsidP="00EC1B15">
            <w:pPr>
              <w:pStyle w:val="Bodytext"/>
              <w:spacing w:after="60"/>
              <w:jc w:val="right"/>
              <w:rPr>
                <w:b/>
                <w:color w:val="A6A6A6" w:themeColor="background1" w:themeShade="A6"/>
              </w:rPr>
            </w:pPr>
            <w:r>
              <w:rPr>
                <w:b/>
                <w:color w:val="A6A6A6" w:themeColor="background1" w:themeShade="A6"/>
              </w:rPr>
              <w:t>£’000</w:t>
            </w:r>
          </w:p>
        </w:tc>
      </w:tr>
      <w:tr w:rsidR="00E53DB1" w:rsidRPr="006644A8" w14:paraId="4245870C" w14:textId="77777777" w:rsidTr="00EC1B15">
        <w:trPr>
          <w:trHeight w:val="264"/>
        </w:trPr>
        <w:tc>
          <w:tcPr>
            <w:tcW w:w="2934" w:type="pct"/>
            <w:shd w:val="clear" w:color="auto" w:fill="auto"/>
            <w:noWrap/>
            <w:vAlign w:val="bottom"/>
          </w:tcPr>
          <w:p w14:paraId="232524AA" w14:textId="77777777" w:rsidR="00E53DB1" w:rsidRPr="006644A8" w:rsidRDefault="00E53DB1" w:rsidP="00EC1B15">
            <w:pPr>
              <w:pStyle w:val="Bodytext"/>
              <w:spacing w:after="60"/>
              <w:rPr>
                <w:b/>
              </w:rPr>
            </w:pPr>
            <w:r w:rsidRPr="006644A8">
              <w:rPr>
                <w:b/>
              </w:rPr>
              <w:t>Cash flows from operating activities:</w:t>
            </w:r>
          </w:p>
        </w:tc>
        <w:tc>
          <w:tcPr>
            <w:tcW w:w="467" w:type="pct"/>
            <w:shd w:val="clear" w:color="auto" w:fill="auto"/>
            <w:noWrap/>
            <w:vAlign w:val="bottom"/>
          </w:tcPr>
          <w:p w14:paraId="62FC432E" w14:textId="77777777" w:rsidR="00E53DB1" w:rsidRPr="006644A8" w:rsidRDefault="00E53DB1" w:rsidP="00EC1B15">
            <w:pPr>
              <w:pStyle w:val="Bodytext"/>
              <w:spacing w:after="60"/>
              <w:jc w:val="center"/>
            </w:pPr>
          </w:p>
        </w:tc>
        <w:tc>
          <w:tcPr>
            <w:tcW w:w="865" w:type="pct"/>
            <w:shd w:val="clear" w:color="auto" w:fill="D9D9D9" w:themeFill="background1" w:themeFillShade="D9"/>
            <w:noWrap/>
            <w:vAlign w:val="bottom"/>
          </w:tcPr>
          <w:p w14:paraId="02AA291C" w14:textId="77777777" w:rsidR="00E53DB1" w:rsidRPr="006644A8" w:rsidRDefault="00E53DB1" w:rsidP="00EC1B15">
            <w:pPr>
              <w:pStyle w:val="Bodytext"/>
              <w:spacing w:after="60"/>
              <w:jc w:val="right"/>
            </w:pPr>
          </w:p>
        </w:tc>
        <w:tc>
          <w:tcPr>
            <w:tcW w:w="734" w:type="pct"/>
            <w:shd w:val="clear" w:color="auto" w:fill="auto"/>
            <w:noWrap/>
            <w:vAlign w:val="bottom"/>
          </w:tcPr>
          <w:p w14:paraId="54F7D224" w14:textId="77777777" w:rsidR="00E53DB1" w:rsidRPr="0091457D" w:rsidRDefault="00E53DB1" w:rsidP="00EC1B15">
            <w:pPr>
              <w:pStyle w:val="Bodytext"/>
              <w:spacing w:after="60"/>
              <w:jc w:val="right"/>
              <w:rPr>
                <w:color w:val="A6A6A6" w:themeColor="background1" w:themeShade="A6"/>
              </w:rPr>
            </w:pPr>
          </w:p>
        </w:tc>
      </w:tr>
      <w:tr w:rsidR="006B3816" w:rsidRPr="006644A8" w14:paraId="660FEF5A" w14:textId="77777777" w:rsidTr="00AB771F">
        <w:trPr>
          <w:trHeight w:val="264"/>
        </w:trPr>
        <w:tc>
          <w:tcPr>
            <w:tcW w:w="2934" w:type="pct"/>
            <w:shd w:val="clear" w:color="auto" w:fill="auto"/>
            <w:noWrap/>
            <w:vAlign w:val="bottom"/>
          </w:tcPr>
          <w:p w14:paraId="005AAB49" w14:textId="77777777" w:rsidR="006B3816" w:rsidRPr="006644A8" w:rsidRDefault="006B3816" w:rsidP="006B3816">
            <w:pPr>
              <w:pStyle w:val="Bodytext"/>
              <w:spacing w:after="60"/>
              <w:rPr>
                <w:b/>
                <w:i/>
                <w:iCs/>
              </w:rPr>
            </w:pPr>
            <w:r w:rsidRPr="006644A8">
              <w:rPr>
                <w:b/>
                <w:i/>
                <w:iCs/>
              </w:rPr>
              <w:t>Net cash provided by (used in) operating activities</w:t>
            </w:r>
          </w:p>
        </w:tc>
        <w:tc>
          <w:tcPr>
            <w:tcW w:w="467" w:type="pct"/>
            <w:shd w:val="clear" w:color="auto" w:fill="auto"/>
            <w:noWrap/>
            <w:vAlign w:val="bottom"/>
          </w:tcPr>
          <w:p w14:paraId="3169AD6B" w14:textId="77777777" w:rsidR="006B3816" w:rsidRPr="006644A8" w:rsidRDefault="006B3816" w:rsidP="006B3816">
            <w:pPr>
              <w:pStyle w:val="Bodytext"/>
              <w:spacing w:after="60"/>
              <w:jc w:val="center"/>
              <w:rPr>
                <w:b/>
              </w:rPr>
            </w:pPr>
            <w:r>
              <w:t>20</w:t>
            </w:r>
          </w:p>
        </w:tc>
        <w:tc>
          <w:tcPr>
            <w:tcW w:w="865" w:type="pct"/>
            <w:tcBorders>
              <w:bottom w:val="single" w:sz="4" w:space="0" w:color="auto"/>
            </w:tcBorders>
            <w:shd w:val="clear" w:color="auto" w:fill="D9D9D9" w:themeFill="background1" w:themeFillShade="D9"/>
            <w:noWrap/>
            <w:vAlign w:val="center"/>
          </w:tcPr>
          <w:p w14:paraId="3E2EA78E" w14:textId="53229580" w:rsidR="006B3816" w:rsidRPr="0021785C" w:rsidRDefault="006B3816" w:rsidP="006B3816">
            <w:pPr>
              <w:pStyle w:val="Bodytext"/>
              <w:spacing w:after="60"/>
              <w:jc w:val="right"/>
              <w:rPr>
                <w:rFonts w:cs="Arial"/>
                <w:color w:val="424141"/>
                <w:szCs w:val="22"/>
              </w:rPr>
            </w:pPr>
            <w:r>
              <w:rPr>
                <w:rFonts w:cs="Arial"/>
                <w:color w:val="424141"/>
                <w:szCs w:val="22"/>
              </w:rPr>
              <w:t>-1,1</w:t>
            </w:r>
            <w:r w:rsidR="00805970">
              <w:rPr>
                <w:rFonts w:cs="Arial"/>
                <w:color w:val="424141"/>
                <w:szCs w:val="22"/>
              </w:rPr>
              <w:t>59</w:t>
            </w:r>
            <w:r>
              <w:rPr>
                <w:rFonts w:cs="Arial"/>
                <w:color w:val="424141"/>
                <w:szCs w:val="22"/>
              </w:rPr>
              <w:t xml:space="preserve"> </w:t>
            </w:r>
          </w:p>
        </w:tc>
        <w:tc>
          <w:tcPr>
            <w:tcW w:w="734" w:type="pct"/>
            <w:tcBorders>
              <w:bottom w:val="single" w:sz="4" w:space="0" w:color="auto"/>
            </w:tcBorders>
            <w:shd w:val="clear" w:color="auto" w:fill="auto"/>
            <w:noWrap/>
            <w:vAlign w:val="center"/>
          </w:tcPr>
          <w:p w14:paraId="1EDED7F7" w14:textId="713CBA01" w:rsidR="006B3816" w:rsidRPr="0021785C" w:rsidRDefault="006B3816" w:rsidP="006B3816">
            <w:pPr>
              <w:pStyle w:val="Bodytext"/>
              <w:spacing w:after="60"/>
              <w:jc w:val="right"/>
              <w:rPr>
                <w:rFonts w:cs="Arial"/>
                <w:color w:val="424141"/>
                <w:szCs w:val="22"/>
              </w:rPr>
            </w:pPr>
            <w:r>
              <w:rPr>
                <w:rFonts w:cs="Arial"/>
                <w:color w:val="A6A6A6"/>
                <w:szCs w:val="22"/>
              </w:rPr>
              <w:t xml:space="preserve">-1,532 </w:t>
            </w:r>
          </w:p>
        </w:tc>
      </w:tr>
      <w:tr w:rsidR="006B3816" w:rsidRPr="006644A8" w14:paraId="50CA26AD" w14:textId="77777777" w:rsidTr="00AB771F">
        <w:trPr>
          <w:trHeight w:val="264"/>
        </w:trPr>
        <w:tc>
          <w:tcPr>
            <w:tcW w:w="2934" w:type="pct"/>
            <w:shd w:val="clear" w:color="auto" w:fill="auto"/>
            <w:noWrap/>
            <w:vAlign w:val="bottom"/>
          </w:tcPr>
          <w:p w14:paraId="0C5E3A9F" w14:textId="77777777" w:rsidR="006B3816" w:rsidRPr="006644A8" w:rsidRDefault="006B3816" w:rsidP="006B3816">
            <w:pPr>
              <w:pStyle w:val="Bodytext"/>
              <w:spacing w:after="60"/>
              <w:rPr>
                <w:b/>
              </w:rPr>
            </w:pPr>
            <w:r w:rsidRPr="006644A8">
              <w:rPr>
                <w:b/>
              </w:rPr>
              <w:t>Cash flows from investing activities:</w:t>
            </w:r>
          </w:p>
        </w:tc>
        <w:tc>
          <w:tcPr>
            <w:tcW w:w="467" w:type="pct"/>
            <w:shd w:val="clear" w:color="auto" w:fill="auto"/>
            <w:noWrap/>
            <w:vAlign w:val="bottom"/>
          </w:tcPr>
          <w:p w14:paraId="15FBA0F5" w14:textId="77777777" w:rsidR="006B3816" w:rsidRPr="006644A8" w:rsidRDefault="006B3816" w:rsidP="006B3816">
            <w:pPr>
              <w:pStyle w:val="Bodytext"/>
              <w:spacing w:after="60"/>
              <w:jc w:val="center"/>
            </w:pPr>
          </w:p>
        </w:tc>
        <w:tc>
          <w:tcPr>
            <w:tcW w:w="865" w:type="pct"/>
            <w:tcBorders>
              <w:top w:val="single" w:sz="4" w:space="0" w:color="auto"/>
            </w:tcBorders>
            <w:shd w:val="clear" w:color="auto" w:fill="D9D9D9" w:themeFill="background1" w:themeFillShade="D9"/>
            <w:noWrap/>
            <w:vAlign w:val="center"/>
          </w:tcPr>
          <w:p w14:paraId="715A9D82" w14:textId="41B8B545" w:rsidR="006B3816" w:rsidRPr="006644A8" w:rsidRDefault="006B3816" w:rsidP="006B3816">
            <w:pPr>
              <w:pStyle w:val="Bodytext"/>
              <w:spacing w:after="60"/>
              <w:jc w:val="right"/>
            </w:pPr>
            <w:r>
              <w:rPr>
                <w:rFonts w:cs="Arial"/>
                <w:color w:val="424141"/>
                <w:szCs w:val="22"/>
              </w:rPr>
              <w:t> </w:t>
            </w:r>
          </w:p>
        </w:tc>
        <w:tc>
          <w:tcPr>
            <w:tcW w:w="734" w:type="pct"/>
            <w:tcBorders>
              <w:top w:val="single" w:sz="4" w:space="0" w:color="auto"/>
            </w:tcBorders>
            <w:shd w:val="clear" w:color="auto" w:fill="auto"/>
            <w:noWrap/>
            <w:vAlign w:val="center"/>
          </w:tcPr>
          <w:p w14:paraId="3C598182" w14:textId="77777777" w:rsidR="006B3816" w:rsidRPr="0091457D" w:rsidRDefault="006B3816" w:rsidP="006B3816">
            <w:pPr>
              <w:pStyle w:val="Bodytext"/>
              <w:spacing w:after="60"/>
              <w:jc w:val="right"/>
              <w:rPr>
                <w:color w:val="A6A6A6" w:themeColor="background1" w:themeShade="A6"/>
              </w:rPr>
            </w:pPr>
          </w:p>
        </w:tc>
      </w:tr>
      <w:tr w:rsidR="006B3816" w:rsidRPr="006644A8" w14:paraId="6F6D7ADA" w14:textId="77777777" w:rsidTr="00EC1B15">
        <w:trPr>
          <w:trHeight w:val="264"/>
        </w:trPr>
        <w:tc>
          <w:tcPr>
            <w:tcW w:w="2934" w:type="pct"/>
            <w:shd w:val="clear" w:color="auto" w:fill="auto"/>
            <w:noWrap/>
            <w:vAlign w:val="bottom"/>
          </w:tcPr>
          <w:p w14:paraId="763A9B81" w14:textId="77777777" w:rsidR="006B3816" w:rsidRPr="006644A8" w:rsidRDefault="006B3816" w:rsidP="006B3816">
            <w:pPr>
              <w:pStyle w:val="Bodytext"/>
              <w:spacing w:after="60"/>
              <w:rPr>
                <w:bCs/>
              </w:rPr>
            </w:pPr>
            <w:r w:rsidRPr="006644A8">
              <w:rPr>
                <w:bCs/>
              </w:rPr>
              <w:t>Dividends, interest and rents from investments</w:t>
            </w:r>
          </w:p>
        </w:tc>
        <w:tc>
          <w:tcPr>
            <w:tcW w:w="467" w:type="pct"/>
            <w:shd w:val="clear" w:color="auto" w:fill="auto"/>
            <w:noWrap/>
            <w:vAlign w:val="bottom"/>
          </w:tcPr>
          <w:p w14:paraId="416C89D7" w14:textId="77777777" w:rsidR="006B3816" w:rsidRPr="006644A8" w:rsidRDefault="006B3816" w:rsidP="006B3816">
            <w:pPr>
              <w:pStyle w:val="Bodytext"/>
              <w:spacing w:after="60"/>
              <w:jc w:val="center"/>
            </w:pPr>
            <w:r>
              <w:t>7</w:t>
            </w:r>
          </w:p>
        </w:tc>
        <w:tc>
          <w:tcPr>
            <w:tcW w:w="865" w:type="pct"/>
            <w:shd w:val="clear" w:color="auto" w:fill="D9D9D9" w:themeFill="background1" w:themeFillShade="D9"/>
            <w:noWrap/>
            <w:vAlign w:val="center"/>
          </w:tcPr>
          <w:p w14:paraId="7BF0DF2F" w14:textId="660EEA1C" w:rsidR="006B3816" w:rsidRPr="006644A8" w:rsidRDefault="006B3816" w:rsidP="006B3816">
            <w:pPr>
              <w:pStyle w:val="Bodytext"/>
              <w:spacing w:after="60"/>
              <w:jc w:val="right"/>
            </w:pPr>
            <w:r>
              <w:rPr>
                <w:rFonts w:cs="Arial"/>
                <w:color w:val="424141"/>
                <w:szCs w:val="22"/>
              </w:rPr>
              <w:t xml:space="preserve">414 </w:t>
            </w:r>
          </w:p>
        </w:tc>
        <w:tc>
          <w:tcPr>
            <w:tcW w:w="734" w:type="pct"/>
            <w:shd w:val="clear" w:color="auto" w:fill="auto"/>
            <w:noWrap/>
            <w:vAlign w:val="center"/>
          </w:tcPr>
          <w:p w14:paraId="62AF055C" w14:textId="65383067" w:rsidR="006B3816" w:rsidRPr="0091457D" w:rsidRDefault="006B3816" w:rsidP="006B3816">
            <w:pPr>
              <w:pStyle w:val="Bodytext"/>
              <w:spacing w:after="60"/>
              <w:jc w:val="right"/>
              <w:rPr>
                <w:color w:val="A6A6A6" w:themeColor="background1" w:themeShade="A6"/>
              </w:rPr>
            </w:pPr>
            <w:r>
              <w:rPr>
                <w:rFonts w:cs="Arial"/>
                <w:color w:val="A6A6A6"/>
                <w:szCs w:val="22"/>
              </w:rPr>
              <w:t xml:space="preserve">408 </w:t>
            </w:r>
          </w:p>
        </w:tc>
      </w:tr>
      <w:tr w:rsidR="006B3816" w:rsidRPr="006644A8" w14:paraId="595B6B34" w14:textId="77777777" w:rsidTr="00EC1B15">
        <w:trPr>
          <w:trHeight w:val="264"/>
        </w:trPr>
        <w:tc>
          <w:tcPr>
            <w:tcW w:w="2934" w:type="pct"/>
            <w:shd w:val="clear" w:color="auto" w:fill="auto"/>
            <w:noWrap/>
            <w:vAlign w:val="bottom"/>
          </w:tcPr>
          <w:p w14:paraId="560EF4A1" w14:textId="77777777" w:rsidR="006B3816" w:rsidRPr="006644A8" w:rsidRDefault="006B3816" w:rsidP="006B3816">
            <w:pPr>
              <w:pStyle w:val="Bodytext"/>
              <w:spacing w:after="60"/>
              <w:rPr>
                <w:bCs/>
              </w:rPr>
            </w:pPr>
            <w:r w:rsidRPr="006644A8">
              <w:rPr>
                <w:bCs/>
              </w:rPr>
              <w:t>Proceeds from the sale of investments</w:t>
            </w:r>
          </w:p>
        </w:tc>
        <w:tc>
          <w:tcPr>
            <w:tcW w:w="467" w:type="pct"/>
            <w:shd w:val="clear" w:color="auto" w:fill="auto"/>
            <w:noWrap/>
            <w:vAlign w:val="bottom"/>
          </w:tcPr>
          <w:p w14:paraId="16CBB303" w14:textId="77777777" w:rsidR="006B3816" w:rsidRPr="006644A8" w:rsidRDefault="006B3816" w:rsidP="006B3816">
            <w:pPr>
              <w:pStyle w:val="Bodytext"/>
              <w:spacing w:after="60"/>
              <w:jc w:val="center"/>
            </w:pPr>
            <w:r>
              <w:t>16</w:t>
            </w:r>
          </w:p>
        </w:tc>
        <w:tc>
          <w:tcPr>
            <w:tcW w:w="865" w:type="pct"/>
            <w:shd w:val="clear" w:color="auto" w:fill="D9D9D9" w:themeFill="background1" w:themeFillShade="D9"/>
            <w:noWrap/>
            <w:vAlign w:val="center"/>
          </w:tcPr>
          <w:p w14:paraId="1F9F2A7F" w14:textId="37A5BF67" w:rsidR="006B3816" w:rsidRPr="006644A8" w:rsidRDefault="006B3816" w:rsidP="006B3816">
            <w:pPr>
              <w:pStyle w:val="Bodytext"/>
              <w:spacing w:after="60"/>
              <w:jc w:val="right"/>
            </w:pPr>
            <w:r>
              <w:rPr>
                <w:rFonts w:cs="Arial"/>
                <w:color w:val="424141"/>
                <w:szCs w:val="22"/>
              </w:rPr>
              <w:t xml:space="preserve">1,202 </w:t>
            </w:r>
          </w:p>
        </w:tc>
        <w:tc>
          <w:tcPr>
            <w:tcW w:w="734" w:type="pct"/>
            <w:shd w:val="clear" w:color="auto" w:fill="auto"/>
            <w:noWrap/>
            <w:vAlign w:val="center"/>
          </w:tcPr>
          <w:p w14:paraId="382E0AA7" w14:textId="6CACA00B" w:rsidR="006B3816" w:rsidRPr="0091457D" w:rsidRDefault="006B3816" w:rsidP="006B3816">
            <w:pPr>
              <w:pStyle w:val="Bodytext"/>
              <w:spacing w:after="60"/>
              <w:jc w:val="right"/>
              <w:rPr>
                <w:color w:val="A6A6A6" w:themeColor="background1" w:themeShade="A6"/>
              </w:rPr>
            </w:pPr>
            <w:r>
              <w:rPr>
                <w:rFonts w:cs="Arial"/>
                <w:color w:val="A6A6A6"/>
                <w:szCs w:val="22"/>
              </w:rPr>
              <w:t xml:space="preserve">1,218 </w:t>
            </w:r>
          </w:p>
        </w:tc>
      </w:tr>
      <w:tr w:rsidR="006B3816" w:rsidRPr="006644A8" w14:paraId="0D0ED754" w14:textId="77777777" w:rsidTr="00EC1B15">
        <w:trPr>
          <w:trHeight w:val="264"/>
        </w:trPr>
        <w:tc>
          <w:tcPr>
            <w:tcW w:w="2934" w:type="pct"/>
            <w:shd w:val="clear" w:color="auto" w:fill="auto"/>
            <w:noWrap/>
            <w:vAlign w:val="bottom"/>
          </w:tcPr>
          <w:p w14:paraId="232C8F1F" w14:textId="77777777" w:rsidR="006B3816" w:rsidRPr="006644A8" w:rsidRDefault="006B3816" w:rsidP="006B3816">
            <w:pPr>
              <w:pStyle w:val="Bodytext"/>
              <w:spacing w:after="60"/>
              <w:rPr>
                <w:bCs/>
              </w:rPr>
            </w:pPr>
            <w:r w:rsidRPr="006644A8">
              <w:rPr>
                <w:bCs/>
              </w:rPr>
              <w:t>Purchase of investments</w:t>
            </w:r>
          </w:p>
        </w:tc>
        <w:tc>
          <w:tcPr>
            <w:tcW w:w="467" w:type="pct"/>
            <w:shd w:val="clear" w:color="auto" w:fill="auto"/>
            <w:noWrap/>
            <w:vAlign w:val="bottom"/>
          </w:tcPr>
          <w:p w14:paraId="7F7B5AF2" w14:textId="77777777" w:rsidR="006B3816" w:rsidRPr="006644A8" w:rsidRDefault="006B3816" w:rsidP="006B3816">
            <w:pPr>
              <w:pStyle w:val="Bodytext"/>
              <w:spacing w:after="60"/>
              <w:jc w:val="center"/>
            </w:pPr>
            <w:r>
              <w:t>16</w:t>
            </w:r>
          </w:p>
        </w:tc>
        <w:tc>
          <w:tcPr>
            <w:tcW w:w="865" w:type="pct"/>
            <w:tcBorders>
              <w:bottom w:val="single" w:sz="4" w:space="0" w:color="auto"/>
            </w:tcBorders>
            <w:shd w:val="clear" w:color="auto" w:fill="D9D9D9" w:themeFill="background1" w:themeFillShade="D9"/>
            <w:noWrap/>
            <w:vAlign w:val="center"/>
          </w:tcPr>
          <w:p w14:paraId="3A5CE914" w14:textId="3584A6BB" w:rsidR="006B3816" w:rsidRPr="0021785C" w:rsidRDefault="006B3816" w:rsidP="006B3816">
            <w:pPr>
              <w:pStyle w:val="Bodytext"/>
              <w:spacing w:after="60"/>
              <w:jc w:val="right"/>
              <w:rPr>
                <w:rFonts w:cs="Arial"/>
                <w:color w:val="424141"/>
                <w:szCs w:val="22"/>
              </w:rPr>
            </w:pPr>
            <w:r>
              <w:rPr>
                <w:rFonts w:cs="Arial"/>
                <w:color w:val="424141"/>
                <w:szCs w:val="22"/>
              </w:rPr>
              <w:t xml:space="preserve">-524 </w:t>
            </w:r>
          </w:p>
        </w:tc>
        <w:tc>
          <w:tcPr>
            <w:tcW w:w="734" w:type="pct"/>
            <w:tcBorders>
              <w:bottom w:val="single" w:sz="4" w:space="0" w:color="auto"/>
            </w:tcBorders>
            <w:shd w:val="clear" w:color="auto" w:fill="auto"/>
            <w:noWrap/>
            <w:vAlign w:val="center"/>
          </w:tcPr>
          <w:p w14:paraId="19668527" w14:textId="3CFD1A97" w:rsidR="006B3816" w:rsidRPr="0021785C" w:rsidRDefault="006B3816" w:rsidP="006B3816">
            <w:pPr>
              <w:pStyle w:val="Bodytext"/>
              <w:spacing w:after="60"/>
              <w:jc w:val="right"/>
              <w:rPr>
                <w:rFonts w:cs="Arial"/>
                <w:color w:val="424141"/>
                <w:szCs w:val="22"/>
              </w:rPr>
            </w:pPr>
            <w:r>
              <w:rPr>
                <w:rFonts w:cs="Arial"/>
                <w:color w:val="A6A6A6"/>
                <w:szCs w:val="22"/>
              </w:rPr>
              <w:t xml:space="preserve">-505 </w:t>
            </w:r>
          </w:p>
        </w:tc>
      </w:tr>
      <w:tr w:rsidR="006B3816" w:rsidRPr="006644A8" w14:paraId="26F0D767" w14:textId="77777777" w:rsidTr="00EC1B15">
        <w:trPr>
          <w:trHeight w:val="264"/>
        </w:trPr>
        <w:tc>
          <w:tcPr>
            <w:tcW w:w="2934" w:type="pct"/>
            <w:shd w:val="clear" w:color="auto" w:fill="auto"/>
            <w:noWrap/>
            <w:vAlign w:val="bottom"/>
          </w:tcPr>
          <w:p w14:paraId="0D6760CC" w14:textId="77777777" w:rsidR="006B3816" w:rsidRPr="006644A8" w:rsidRDefault="006B3816" w:rsidP="006B3816">
            <w:pPr>
              <w:pStyle w:val="Bodytext"/>
              <w:spacing w:after="60"/>
              <w:rPr>
                <w:b/>
                <w:bCs/>
                <w:i/>
              </w:rPr>
            </w:pPr>
            <w:r w:rsidRPr="006644A8">
              <w:rPr>
                <w:b/>
                <w:bCs/>
                <w:i/>
              </w:rPr>
              <w:t>Net cash provided by (used in) investing activities</w:t>
            </w:r>
          </w:p>
        </w:tc>
        <w:tc>
          <w:tcPr>
            <w:tcW w:w="467" w:type="pct"/>
            <w:shd w:val="clear" w:color="auto" w:fill="auto"/>
            <w:noWrap/>
            <w:vAlign w:val="bottom"/>
          </w:tcPr>
          <w:p w14:paraId="51F93D30" w14:textId="77777777" w:rsidR="006B3816" w:rsidRPr="006644A8" w:rsidRDefault="006B3816" w:rsidP="006B3816">
            <w:pPr>
              <w:pStyle w:val="Bodytext"/>
              <w:spacing w:after="60"/>
              <w:jc w:val="center"/>
            </w:pPr>
          </w:p>
        </w:tc>
        <w:tc>
          <w:tcPr>
            <w:tcW w:w="865" w:type="pct"/>
            <w:tcBorders>
              <w:top w:val="single" w:sz="4" w:space="0" w:color="auto"/>
            </w:tcBorders>
            <w:shd w:val="clear" w:color="auto" w:fill="D9D9D9" w:themeFill="background1" w:themeFillShade="D9"/>
            <w:noWrap/>
            <w:vAlign w:val="center"/>
          </w:tcPr>
          <w:p w14:paraId="61AD346D" w14:textId="54F1F7B5" w:rsidR="006B3816" w:rsidRPr="006644A8" w:rsidRDefault="006B3816" w:rsidP="006B3816">
            <w:pPr>
              <w:pStyle w:val="Bodytext"/>
              <w:spacing w:after="60"/>
              <w:jc w:val="right"/>
            </w:pPr>
            <w:r>
              <w:rPr>
                <w:rFonts w:cs="Arial"/>
                <w:color w:val="424141"/>
                <w:szCs w:val="22"/>
              </w:rPr>
              <w:t xml:space="preserve">1,092 </w:t>
            </w:r>
          </w:p>
        </w:tc>
        <w:tc>
          <w:tcPr>
            <w:tcW w:w="734" w:type="pct"/>
            <w:tcBorders>
              <w:top w:val="single" w:sz="4" w:space="0" w:color="auto"/>
            </w:tcBorders>
            <w:shd w:val="clear" w:color="auto" w:fill="auto"/>
            <w:noWrap/>
            <w:vAlign w:val="center"/>
          </w:tcPr>
          <w:p w14:paraId="4CC11935" w14:textId="61B8C753" w:rsidR="006B3816" w:rsidRPr="0091457D" w:rsidRDefault="006B3816" w:rsidP="006B3816">
            <w:pPr>
              <w:pStyle w:val="Bodytext"/>
              <w:spacing w:after="60"/>
              <w:jc w:val="right"/>
              <w:rPr>
                <w:color w:val="A6A6A6" w:themeColor="background1" w:themeShade="A6"/>
              </w:rPr>
            </w:pPr>
            <w:r>
              <w:rPr>
                <w:rFonts w:cs="Arial"/>
                <w:color w:val="A6A6A6"/>
                <w:szCs w:val="22"/>
              </w:rPr>
              <w:t xml:space="preserve">1,121 </w:t>
            </w:r>
          </w:p>
        </w:tc>
      </w:tr>
      <w:tr w:rsidR="006B3816" w:rsidRPr="006644A8" w14:paraId="6AA16628" w14:textId="77777777" w:rsidTr="00EC1B15">
        <w:trPr>
          <w:trHeight w:val="264"/>
        </w:trPr>
        <w:tc>
          <w:tcPr>
            <w:tcW w:w="2934" w:type="pct"/>
            <w:shd w:val="clear" w:color="auto" w:fill="auto"/>
            <w:noWrap/>
            <w:vAlign w:val="bottom"/>
          </w:tcPr>
          <w:p w14:paraId="00845966" w14:textId="77777777" w:rsidR="006B3816" w:rsidRPr="006644A8" w:rsidRDefault="006B3816" w:rsidP="006B3816">
            <w:pPr>
              <w:pStyle w:val="Bodytext"/>
              <w:spacing w:after="60"/>
              <w:rPr>
                <w:b/>
                <w:bCs/>
                <w:i/>
              </w:rPr>
            </w:pPr>
          </w:p>
        </w:tc>
        <w:tc>
          <w:tcPr>
            <w:tcW w:w="467" w:type="pct"/>
            <w:shd w:val="clear" w:color="auto" w:fill="auto"/>
            <w:noWrap/>
            <w:vAlign w:val="bottom"/>
          </w:tcPr>
          <w:p w14:paraId="70663C66" w14:textId="77777777" w:rsidR="006B3816" w:rsidRPr="006644A8" w:rsidRDefault="006B3816" w:rsidP="006B3816">
            <w:pPr>
              <w:pStyle w:val="Bodytext"/>
              <w:spacing w:after="60"/>
              <w:jc w:val="center"/>
            </w:pPr>
          </w:p>
        </w:tc>
        <w:tc>
          <w:tcPr>
            <w:tcW w:w="865" w:type="pct"/>
            <w:shd w:val="clear" w:color="auto" w:fill="D9D9D9" w:themeFill="background1" w:themeFillShade="D9"/>
            <w:noWrap/>
            <w:vAlign w:val="center"/>
          </w:tcPr>
          <w:p w14:paraId="1D28048D" w14:textId="08C39C90" w:rsidR="006B3816" w:rsidRPr="006644A8" w:rsidRDefault="006B3816" w:rsidP="006B3816">
            <w:pPr>
              <w:pStyle w:val="Bodytext"/>
              <w:spacing w:after="60"/>
              <w:jc w:val="right"/>
            </w:pPr>
            <w:r>
              <w:rPr>
                <w:rFonts w:cs="Arial"/>
                <w:color w:val="424141"/>
                <w:szCs w:val="22"/>
              </w:rPr>
              <w:t> </w:t>
            </w:r>
          </w:p>
        </w:tc>
        <w:tc>
          <w:tcPr>
            <w:tcW w:w="734" w:type="pct"/>
            <w:shd w:val="clear" w:color="auto" w:fill="auto"/>
            <w:noWrap/>
            <w:vAlign w:val="center"/>
          </w:tcPr>
          <w:p w14:paraId="23435F07" w14:textId="77777777" w:rsidR="006B3816" w:rsidRPr="0091457D" w:rsidRDefault="006B3816" w:rsidP="006B3816">
            <w:pPr>
              <w:pStyle w:val="Bodytext"/>
              <w:spacing w:after="60"/>
              <w:jc w:val="right"/>
              <w:rPr>
                <w:color w:val="A6A6A6" w:themeColor="background1" w:themeShade="A6"/>
              </w:rPr>
            </w:pPr>
          </w:p>
        </w:tc>
      </w:tr>
      <w:tr w:rsidR="006B3816" w:rsidRPr="006644A8" w14:paraId="779D3FC0" w14:textId="77777777" w:rsidTr="00EC1B15">
        <w:trPr>
          <w:trHeight w:val="264"/>
        </w:trPr>
        <w:tc>
          <w:tcPr>
            <w:tcW w:w="2934" w:type="pct"/>
            <w:shd w:val="clear" w:color="auto" w:fill="auto"/>
            <w:noWrap/>
          </w:tcPr>
          <w:p w14:paraId="4CD90BD5" w14:textId="77777777" w:rsidR="006B3816" w:rsidRPr="006644A8" w:rsidRDefault="006B3816" w:rsidP="006B3816">
            <w:pPr>
              <w:pStyle w:val="Bodytext"/>
              <w:spacing w:after="60"/>
              <w:rPr>
                <w:b/>
                <w:bCs/>
                <w:i/>
              </w:rPr>
            </w:pPr>
            <w:r w:rsidRPr="006644A8">
              <w:rPr>
                <w:b/>
                <w:bCs/>
                <w:i/>
              </w:rPr>
              <w:t>Change in cash and cash equivalents in the reporting period</w:t>
            </w:r>
          </w:p>
        </w:tc>
        <w:tc>
          <w:tcPr>
            <w:tcW w:w="467" w:type="pct"/>
            <w:shd w:val="clear" w:color="auto" w:fill="auto"/>
            <w:noWrap/>
          </w:tcPr>
          <w:p w14:paraId="3DA7DB85" w14:textId="77777777" w:rsidR="006B3816" w:rsidRPr="006644A8" w:rsidRDefault="006B3816" w:rsidP="006B3816">
            <w:pPr>
              <w:pStyle w:val="Bodytext"/>
              <w:spacing w:after="60"/>
              <w:jc w:val="center"/>
            </w:pPr>
          </w:p>
        </w:tc>
        <w:tc>
          <w:tcPr>
            <w:tcW w:w="865" w:type="pct"/>
            <w:shd w:val="clear" w:color="auto" w:fill="D9D9D9" w:themeFill="background1" w:themeFillShade="D9"/>
            <w:noWrap/>
            <w:vAlign w:val="center"/>
          </w:tcPr>
          <w:p w14:paraId="6B9D61CB" w14:textId="70D820FD" w:rsidR="006B3816" w:rsidRPr="006644A8" w:rsidRDefault="006B3816" w:rsidP="006B3816">
            <w:pPr>
              <w:pStyle w:val="Bodytext"/>
              <w:spacing w:after="60"/>
              <w:jc w:val="right"/>
            </w:pPr>
            <w:r>
              <w:rPr>
                <w:rFonts w:cs="Arial"/>
                <w:color w:val="424141"/>
                <w:szCs w:val="22"/>
              </w:rPr>
              <w:t>-</w:t>
            </w:r>
            <w:r w:rsidR="00B61A09">
              <w:rPr>
                <w:rFonts w:cs="Arial"/>
                <w:color w:val="424141"/>
                <w:szCs w:val="22"/>
              </w:rPr>
              <w:t>67</w:t>
            </w:r>
            <w:r>
              <w:rPr>
                <w:rFonts w:cs="Arial"/>
                <w:color w:val="424141"/>
                <w:szCs w:val="22"/>
              </w:rPr>
              <w:t xml:space="preserve"> </w:t>
            </w:r>
          </w:p>
        </w:tc>
        <w:tc>
          <w:tcPr>
            <w:tcW w:w="734" w:type="pct"/>
            <w:shd w:val="clear" w:color="auto" w:fill="auto"/>
            <w:noWrap/>
            <w:vAlign w:val="center"/>
          </w:tcPr>
          <w:p w14:paraId="0FBD98D8" w14:textId="59659519" w:rsidR="006B3816" w:rsidRPr="0091457D" w:rsidRDefault="00DF479F" w:rsidP="006B3816">
            <w:pPr>
              <w:pStyle w:val="Bodytext"/>
              <w:spacing w:after="60"/>
              <w:jc w:val="right"/>
              <w:rPr>
                <w:color w:val="A6A6A6" w:themeColor="background1" w:themeShade="A6"/>
              </w:rPr>
            </w:pPr>
            <w:r>
              <w:rPr>
                <w:rFonts w:cs="Arial"/>
                <w:color w:val="A6A6A6"/>
                <w:szCs w:val="22"/>
              </w:rPr>
              <w:t>956</w:t>
            </w:r>
          </w:p>
        </w:tc>
      </w:tr>
      <w:tr w:rsidR="006B3816" w:rsidRPr="006644A8" w14:paraId="6108372C" w14:textId="77777777" w:rsidTr="00D27C9D">
        <w:trPr>
          <w:trHeight w:val="264"/>
        </w:trPr>
        <w:tc>
          <w:tcPr>
            <w:tcW w:w="2934" w:type="pct"/>
            <w:shd w:val="clear" w:color="auto" w:fill="auto"/>
            <w:noWrap/>
            <w:vAlign w:val="bottom"/>
          </w:tcPr>
          <w:p w14:paraId="66A3AC2C" w14:textId="77777777" w:rsidR="006B3816" w:rsidRPr="006644A8" w:rsidRDefault="006B3816" w:rsidP="006B3816">
            <w:pPr>
              <w:pStyle w:val="Bodytext"/>
              <w:spacing w:after="60"/>
              <w:rPr>
                <w:b/>
                <w:bCs/>
              </w:rPr>
            </w:pPr>
            <w:r w:rsidRPr="006644A8">
              <w:rPr>
                <w:b/>
                <w:bCs/>
              </w:rPr>
              <w:t>Cash and cash equivalents at the beginning of the reporting period</w:t>
            </w:r>
          </w:p>
        </w:tc>
        <w:tc>
          <w:tcPr>
            <w:tcW w:w="467" w:type="pct"/>
            <w:shd w:val="clear" w:color="auto" w:fill="auto"/>
            <w:noWrap/>
            <w:vAlign w:val="bottom"/>
          </w:tcPr>
          <w:p w14:paraId="301104E7" w14:textId="77777777" w:rsidR="006B3816" w:rsidRPr="006644A8" w:rsidRDefault="006B3816" w:rsidP="006B3816">
            <w:pPr>
              <w:pStyle w:val="Bodytext"/>
              <w:spacing w:after="60"/>
              <w:jc w:val="center"/>
            </w:pPr>
            <w:r>
              <w:t>18</w:t>
            </w:r>
          </w:p>
        </w:tc>
        <w:tc>
          <w:tcPr>
            <w:tcW w:w="865" w:type="pct"/>
            <w:shd w:val="clear" w:color="auto" w:fill="D9D9D9" w:themeFill="background1" w:themeFillShade="D9"/>
            <w:noWrap/>
            <w:vAlign w:val="center"/>
          </w:tcPr>
          <w:p w14:paraId="17F5E17F" w14:textId="05281C56" w:rsidR="006B3816" w:rsidRPr="006644A8" w:rsidRDefault="006B3816" w:rsidP="006B3816">
            <w:pPr>
              <w:pStyle w:val="Bodytext"/>
              <w:spacing w:after="60"/>
              <w:jc w:val="right"/>
            </w:pPr>
            <w:r>
              <w:rPr>
                <w:rFonts w:cs="Arial"/>
                <w:color w:val="424141"/>
                <w:szCs w:val="22"/>
              </w:rPr>
              <w:t xml:space="preserve">778 </w:t>
            </w:r>
          </w:p>
        </w:tc>
        <w:tc>
          <w:tcPr>
            <w:tcW w:w="734" w:type="pct"/>
            <w:shd w:val="clear" w:color="auto" w:fill="auto"/>
            <w:noWrap/>
            <w:vAlign w:val="center"/>
          </w:tcPr>
          <w:p w14:paraId="4ED874DE" w14:textId="0DB75242" w:rsidR="006B3816" w:rsidRPr="0091457D" w:rsidRDefault="00DF479F" w:rsidP="006B3816">
            <w:pPr>
              <w:pStyle w:val="Bodytext"/>
              <w:spacing w:after="60"/>
              <w:jc w:val="right"/>
              <w:rPr>
                <w:color w:val="A6A6A6" w:themeColor="background1" w:themeShade="A6"/>
              </w:rPr>
            </w:pPr>
            <w:r>
              <w:rPr>
                <w:rFonts w:cs="Arial"/>
                <w:color w:val="A6A6A6"/>
                <w:szCs w:val="22"/>
              </w:rPr>
              <w:t>178</w:t>
            </w:r>
          </w:p>
        </w:tc>
      </w:tr>
      <w:tr w:rsidR="006B3816" w:rsidRPr="006644A8" w14:paraId="7C79D7DA" w14:textId="77777777" w:rsidTr="00126D6F">
        <w:trPr>
          <w:trHeight w:val="264"/>
        </w:trPr>
        <w:tc>
          <w:tcPr>
            <w:tcW w:w="2934" w:type="pct"/>
            <w:shd w:val="clear" w:color="auto" w:fill="auto"/>
            <w:noWrap/>
            <w:vAlign w:val="bottom"/>
          </w:tcPr>
          <w:p w14:paraId="13397A9D" w14:textId="77777777" w:rsidR="006B3816" w:rsidRPr="006644A8" w:rsidRDefault="006B3816" w:rsidP="006B3816">
            <w:pPr>
              <w:pStyle w:val="Bodytext"/>
              <w:spacing w:after="60"/>
              <w:rPr>
                <w:bCs/>
              </w:rPr>
            </w:pPr>
            <w:r w:rsidRPr="006644A8">
              <w:rPr>
                <w:bCs/>
              </w:rPr>
              <w:t>Change in cash and cash equivalents due to exchange rate movements</w:t>
            </w:r>
          </w:p>
        </w:tc>
        <w:tc>
          <w:tcPr>
            <w:tcW w:w="467" w:type="pct"/>
            <w:shd w:val="clear" w:color="auto" w:fill="auto"/>
            <w:noWrap/>
            <w:vAlign w:val="bottom"/>
          </w:tcPr>
          <w:p w14:paraId="1F219488" w14:textId="77777777" w:rsidR="006B3816" w:rsidRPr="006644A8" w:rsidRDefault="006B3816" w:rsidP="006B3816">
            <w:pPr>
              <w:pStyle w:val="Bodytext"/>
              <w:spacing w:after="60"/>
              <w:jc w:val="center"/>
            </w:pPr>
          </w:p>
        </w:tc>
        <w:tc>
          <w:tcPr>
            <w:tcW w:w="865" w:type="pct"/>
            <w:tcBorders>
              <w:bottom w:val="single" w:sz="4" w:space="0" w:color="auto"/>
            </w:tcBorders>
            <w:shd w:val="clear" w:color="auto" w:fill="D9D9D9" w:themeFill="background1" w:themeFillShade="D9"/>
            <w:noWrap/>
            <w:vAlign w:val="center"/>
          </w:tcPr>
          <w:p w14:paraId="664BE16C" w14:textId="372501A0" w:rsidR="006B3816" w:rsidRPr="006644A8" w:rsidRDefault="006B3816" w:rsidP="006B3816">
            <w:pPr>
              <w:pStyle w:val="Bodytext"/>
              <w:spacing w:after="60"/>
              <w:jc w:val="right"/>
            </w:pPr>
            <w:r>
              <w:rPr>
                <w:rFonts w:cs="Arial"/>
                <w:color w:val="424141"/>
                <w:szCs w:val="22"/>
              </w:rPr>
              <w:t> </w:t>
            </w:r>
          </w:p>
        </w:tc>
        <w:tc>
          <w:tcPr>
            <w:tcW w:w="734" w:type="pct"/>
            <w:tcBorders>
              <w:bottom w:val="single" w:sz="4" w:space="0" w:color="auto"/>
            </w:tcBorders>
            <w:shd w:val="clear" w:color="auto" w:fill="auto"/>
            <w:noWrap/>
            <w:vAlign w:val="center"/>
          </w:tcPr>
          <w:p w14:paraId="0813D909" w14:textId="21BC317E" w:rsidR="006B3816" w:rsidRPr="0091457D" w:rsidRDefault="006B3816" w:rsidP="006B3816">
            <w:pPr>
              <w:pStyle w:val="Bodytext"/>
              <w:spacing w:after="60"/>
              <w:jc w:val="right"/>
              <w:rPr>
                <w:color w:val="A6A6A6" w:themeColor="background1" w:themeShade="A6"/>
              </w:rPr>
            </w:pPr>
            <w:r>
              <w:rPr>
                <w:rFonts w:cs="Arial"/>
                <w:color w:val="A6A6A6"/>
                <w:szCs w:val="22"/>
              </w:rPr>
              <w:t> </w:t>
            </w:r>
          </w:p>
        </w:tc>
      </w:tr>
      <w:tr w:rsidR="006B3816" w:rsidRPr="006644A8" w14:paraId="3CAA5796" w14:textId="77777777" w:rsidTr="00126D6F">
        <w:trPr>
          <w:trHeight w:val="264"/>
        </w:trPr>
        <w:tc>
          <w:tcPr>
            <w:tcW w:w="2934" w:type="pct"/>
            <w:shd w:val="clear" w:color="auto" w:fill="auto"/>
            <w:noWrap/>
            <w:vAlign w:val="bottom"/>
          </w:tcPr>
          <w:p w14:paraId="695ABF21" w14:textId="77777777" w:rsidR="006B3816" w:rsidRPr="006644A8" w:rsidRDefault="006B3816" w:rsidP="006B3816">
            <w:pPr>
              <w:pStyle w:val="Bodytext"/>
              <w:spacing w:after="60"/>
              <w:rPr>
                <w:b/>
                <w:bCs/>
                <w:i/>
              </w:rPr>
            </w:pPr>
            <w:r w:rsidRPr="006644A8">
              <w:rPr>
                <w:b/>
                <w:bCs/>
                <w:i/>
              </w:rPr>
              <w:t>Cash and cash equivalents at the end of the reporting period</w:t>
            </w:r>
          </w:p>
        </w:tc>
        <w:tc>
          <w:tcPr>
            <w:tcW w:w="467" w:type="pct"/>
            <w:shd w:val="clear" w:color="auto" w:fill="auto"/>
            <w:noWrap/>
            <w:vAlign w:val="bottom"/>
          </w:tcPr>
          <w:p w14:paraId="5963356B" w14:textId="77777777" w:rsidR="006B3816" w:rsidRPr="006644A8" w:rsidRDefault="006B3816" w:rsidP="006B3816">
            <w:pPr>
              <w:pStyle w:val="Bodytext"/>
              <w:spacing w:after="60"/>
              <w:jc w:val="center"/>
              <w:rPr>
                <w:b/>
              </w:rPr>
            </w:pPr>
            <w:r>
              <w:rPr>
                <w:b/>
              </w:rPr>
              <w:t>18</w:t>
            </w:r>
          </w:p>
        </w:tc>
        <w:tc>
          <w:tcPr>
            <w:tcW w:w="865" w:type="pct"/>
            <w:tcBorders>
              <w:top w:val="single" w:sz="4" w:space="0" w:color="auto"/>
              <w:bottom w:val="double" w:sz="4" w:space="0" w:color="auto"/>
            </w:tcBorders>
            <w:shd w:val="clear" w:color="auto" w:fill="D9D9D9" w:themeFill="background1" w:themeFillShade="D9"/>
            <w:noWrap/>
            <w:vAlign w:val="center"/>
          </w:tcPr>
          <w:p w14:paraId="4E05414E" w14:textId="36FCD070" w:rsidR="006B3816" w:rsidRPr="006644A8" w:rsidRDefault="00B61A09" w:rsidP="006B3816">
            <w:pPr>
              <w:pStyle w:val="Bodytext"/>
              <w:spacing w:after="60"/>
              <w:jc w:val="right"/>
              <w:rPr>
                <w:b/>
              </w:rPr>
            </w:pPr>
            <w:r>
              <w:rPr>
                <w:rFonts w:cs="Arial"/>
                <w:b/>
                <w:bCs/>
                <w:color w:val="424141"/>
                <w:szCs w:val="22"/>
              </w:rPr>
              <w:t xml:space="preserve">711 </w:t>
            </w:r>
          </w:p>
        </w:tc>
        <w:tc>
          <w:tcPr>
            <w:tcW w:w="734" w:type="pct"/>
            <w:tcBorders>
              <w:top w:val="single" w:sz="4" w:space="0" w:color="auto"/>
              <w:bottom w:val="double" w:sz="4" w:space="0" w:color="auto"/>
            </w:tcBorders>
            <w:shd w:val="clear" w:color="auto" w:fill="auto"/>
            <w:noWrap/>
            <w:vAlign w:val="center"/>
          </w:tcPr>
          <w:p w14:paraId="3AA73BB5" w14:textId="21F33F0B" w:rsidR="006B3816" w:rsidRPr="0091457D" w:rsidRDefault="006B3816" w:rsidP="006B3816">
            <w:pPr>
              <w:pStyle w:val="Bodytext"/>
              <w:spacing w:after="60"/>
              <w:jc w:val="right"/>
              <w:rPr>
                <w:b/>
                <w:color w:val="A6A6A6" w:themeColor="background1" w:themeShade="A6"/>
              </w:rPr>
            </w:pPr>
            <w:r>
              <w:rPr>
                <w:rFonts w:cs="Arial"/>
                <w:b/>
                <w:bCs/>
                <w:color w:val="A6A6A6"/>
                <w:szCs w:val="22"/>
              </w:rPr>
              <w:t xml:space="preserve">778 </w:t>
            </w:r>
          </w:p>
        </w:tc>
      </w:tr>
    </w:tbl>
    <w:p w14:paraId="4205DCDF" w14:textId="77777777" w:rsidR="00D9313C" w:rsidRDefault="00D9313C" w:rsidP="00D9313C">
      <w:pPr>
        <w:pStyle w:val="Heading1"/>
        <w:sectPr w:rsidR="00D9313C" w:rsidSect="00237BC5">
          <w:type w:val="continuous"/>
          <w:pgSz w:w="16840" w:h="11900" w:orient="landscape"/>
          <w:pgMar w:top="1021" w:right="1701" w:bottom="1021" w:left="851" w:header="851" w:footer="851" w:gutter="0"/>
          <w:cols w:space="720"/>
          <w:titlePg/>
          <w:docGrid w:linePitch="360"/>
        </w:sectPr>
      </w:pPr>
    </w:p>
    <w:p w14:paraId="62186000" w14:textId="77777777" w:rsidR="00D9313C" w:rsidRPr="006644A8" w:rsidRDefault="00D9313C" w:rsidP="00D9313C">
      <w:pPr>
        <w:pStyle w:val="Heading1"/>
      </w:pPr>
      <w:r w:rsidRPr="006644A8">
        <w:lastRenderedPageBreak/>
        <w:t xml:space="preserve">Notes on the accounts </w:t>
      </w:r>
    </w:p>
    <w:p w14:paraId="5C27C108" w14:textId="77777777" w:rsidR="00D9313C" w:rsidRDefault="00D9313C" w:rsidP="00D9313C">
      <w:pPr>
        <w:pStyle w:val="Heading2"/>
        <w:sectPr w:rsidR="00D9313C" w:rsidSect="00237BC5">
          <w:pgSz w:w="16840" w:h="11900" w:orient="landscape"/>
          <w:pgMar w:top="1021" w:right="1701" w:bottom="1021" w:left="851" w:header="851" w:footer="851" w:gutter="0"/>
          <w:cols w:space="720"/>
          <w:titlePg/>
          <w:docGrid w:linePitch="360"/>
        </w:sectPr>
      </w:pPr>
      <w:bookmarkStart w:id="56" w:name="_Ref431896273"/>
    </w:p>
    <w:p w14:paraId="7C25325C" w14:textId="77777777" w:rsidR="00D9313C" w:rsidRPr="006644A8" w:rsidRDefault="00D9313C" w:rsidP="00D9313C">
      <w:pPr>
        <w:pStyle w:val="Heading2"/>
      </w:pPr>
      <w:r>
        <w:t>1</w:t>
      </w:r>
      <w:r>
        <w:tab/>
      </w:r>
      <w:r w:rsidRPr="006644A8">
        <w:t>Accounting Policies</w:t>
      </w:r>
      <w:bookmarkEnd w:id="56"/>
    </w:p>
    <w:p w14:paraId="3A09E730" w14:textId="77777777" w:rsidR="00D9313C" w:rsidRPr="006644A8" w:rsidRDefault="00D9313C" w:rsidP="00D9313C">
      <w:pPr>
        <w:pStyle w:val="TableTitle"/>
      </w:pPr>
      <w:r w:rsidRPr="006644A8">
        <w:t xml:space="preserve">(a) Basis of preparation </w:t>
      </w:r>
    </w:p>
    <w:p w14:paraId="28F6E857" w14:textId="77777777" w:rsidR="00D9313C" w:rsidRPr="006644A8" w:rsidRDefault="00D9313C" w:rsidP="00D9313C">
      <w:pPr>
        <w:tabs>
          <w:tab w:val="left" w:pos="9072"/>
        </w:tabs>
        <w:ind w:right="249"/>
        <w:rPr>
          <w:rFonts w:asciiTheme="minorHAnsi" w:hAnsiTheme="minorHAnsi" w:cstheme="minorHAnsi"/>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6"/>
      </w:tblGrid>
      <w:tr w:rsidR="00D9313C" w:rsidRPr="006644A8" w14:paraId="328D7508" w14:textId="77777777" w:rsidTr="00EC1B15">
        <w:tc>
          <w:tcPr>
            <w:tcW w:w="9036" w:type="dxa"/>
            <w:shd w:val="clear" w:color="auto" w:fill="auto"/>
          </w:tcPr>
          <w:p w14:paraId="233C2B86" w14:textId="77777777" w:rsidR="00D9313C" w:rsidRPr="006644A8" w:rsidRDefault="00D9313C" w:rsidP="00EC1B15">
            <w:pPr>
              <w:pStyle w:val="Bodytext"/>
            </w:pPr>
            <w:r w:rsidRPr="006644A8">
              <w:t xml:space="preserve">Paragraph 3.37 of the </w:t>
            </w:r>
            <w:r>
              <w:t>SORP FRS 102</w:t>
            </w:r>
            <w:r w:rsidRPr="006644A8">
              <w:t xml:space="preserve"> requires that the notes to the accounts must state whether the accounts are prepared in accordance with this SORP and FRS 102 as well as applicable charitable and/or company law.</w:t>
            </w:r>
          </w:p>
          <w:p w14:paraId="565E65F5" w14:textId="77777777" w:rsidR="00D9313C" w:rsidRDefault="00D9313C" w:rsidP="00EC1B15">
            <w:pPr>
              <w:pStyle w:val="Bodytext"/>
            </w:pPr>
            <w:r w:rsidRPr="006644A8">
              <w:t>The example accounts have therefore been updated to reflect the current references to the SORP and Charities Act.</w:t>
            </w:r>
          </w:p>
          <w:p w14:paraId="7E7A3D45" w14:textId="77777777" w:rsidR="00D9313C" w:rsidRPr="00D408DC" w:rsidRDefault="00D9313C" w:rsidP="00EC1B15">
            <w:pPr>
              <w:pStyle w:val="Bodytext"/>
              <w:rPr>
                <w:b/>
                <w:bCs/>
                <w:i/>
                <w:iCs/>
              </w:rPr>
            </w:pPr>
            <w:r w:rsidRPr="00B07A72">
              <w:t xml:space="preserve">The second and third paragraphs have been taken from paragraph 8.1.5 of the Charity Commission’s </w:t>
            </w:r>
            <w:r>
              <w:rPr>
                <w:i/>
                <w:lang w:val="en"/>
              </w:rPr>
              <w:t>C</w:t>
            </w:r>
            <w:r>
              <w:rPr>
                <w:lang w:val="en"/>
              </w:rPr>
              <w:t>C15d</w:t>
            </w:r>
            <w:r>
              <w:rPr>
                <w:rStyle w:val="FootnoteReference"/>
                <w:lang w:val="en"/>
              </w:rPr>
              <w:footnoteReference w:id="24"/>
            </w:r>
            <w:r>
              <w:t xml:space="preserve">. </w:t>
            </w:r>
            <w:r w:rsidRPr="00EC3DE1">
              <w:t>The second paragraph (in italics) will be required until the regulations are amended.</w:t>
            </w:r>
          </w:p>
        </w:tc>
      </w:tr>
    </w:tbl>
    <w:p w14:paraId="77CF7C35" w14:textId="77777777" w:rsidR="00D9313C" w:rsidRPr="006644A8" w:rsidRDefault="00D9313C" w:rsidP="00D9313C">
      <w:pPr>
        <w:tabs>
          <w:tab w:val="left" w:pos="9072"/>
        </w:tabs>
        <w:ind w:right="249"/>
        <w:rPr>
          <w:rFonts w:asciiTheme="minorHAnsi" w:hAnsiTheme="minorHAnsi" w:cstheme="minorHAnsi"/>
          <w:b/>
          <w:szCs w:val="22"/>
        </w:rPr>
      </w:pPr>
    </w:p>
    <w:p w14:paraId="6DDD0851" w14:textId="77777777" w:rsidR="00D9313C" w:rsidRDefault="00D9313C" w:rsidP="00D9313C">
      <w:pPr>
        <w:pStyle w:val="Bodytext"/>
        <w:rPr>
          <w:lang w:val="en"/>
        </w:rPr>
      </w:pPr>
      <w:r w:rsidRPr="006644A8">
        <w:t>The financial statements have been prepared under the historic</w:t>
      </w:r>
      <w:r>
        <w:t>al</w:t>
      </w:r>
      <w:r w:rsidRPr="006644A8">
        <w:t xml:space="preserve"> cost convention, with the exception of investments which are included at </w:t>
      </w:r>
      <w:r>
        <w:t>fair</w:t>
      </w:r>
      <w:r w:rsidRPr="006644A8">
        <w:t xml:space="preserve"> value. </w:t>
      </w:r>
    </w:p>
    <w:p w14:paraId="5395106C" w14:textId="496A2521" w:rsidR="00D9313C" w:rsidRPr="00EC3DE1" w:rsidRDefault="00D9313C" w:rsidP="00D9313C">
      <w:pPr>
        <w:pStyle w:val="Bodytext"/>
        <w:rPr>
          <w:b/>
          <w:lang w:val="en"/>
        </w:rPr>
      </w:pPr>
      <w:r w:rsidRPr="00B07A72">
        <w:rPr>
          <w:lang w:val="en"/>
        </w:rPr>
        <w:t xml:space="preserve">The accounts (financial statements) have been prepared in accordance with the </w:t>
      </w:r>
      <w:r w:rsidRPr="00052572">
        <w:rPr>
          <w:i/>
          <w:iCs/>
          <w:lang w:val="en"/>
        </w:rPr>
        <w:t xml:space="preserve">Statement of </w:t>
      </w:r>
      <w:r w:rsidR="00445237" w:rsidRPr="00052572">
        <w:rPr>
          <w:i/>
          <w:iCs/>
          <w:lang w:val="en"/>
        </w:rPr>
        <w:t>r</w:t>
      </w:r>
      <w:r w:rsidRPr="00052572">
        <w:rPr>
          <w:i/>
          <w:iCs/>
          <w:lang w:val="en"/>
        </w:rPr>
        <w:t xml:space="preserve">ecommended </w:t>
      </w:r>
      <w:r w:rsidR="00445237" w:rsidRPr="00052572">
        <w:rPr>
          <w:i/>
          <w:iCs/>
          <w:lang w:val="en"/>
        </w:rPr>
        <w:t>p</w:t>
      </w:r>
      <w:r w:rsidRPr="00052572">
        <w:rPr>
          <w:i/>
          <w:iCs/>
          <w:lang w:val="en"/>
        </w:rPr>
        <w:t xml:space="preserve">ractice: </w:t>
      </w:r>
      <w:r w:rsidR="00445237" w:rsidRPr="00052572">
        <w:rPr>
          <w:i/>
          <w:iCs/>
          <w:lang w:val="en"/>
        </w:rPr>
        <w:t>a</w:t>
      </w:r>
      <w:r w:rsidRPr="00052572">
        <w:rPr>
          <w:i/>
          <w:iCs/>
          <w:lang w:val="en"/>
        </w:rPr>
        <w:t xml:space="preserve">ccounting and </w:t>
      </w:r>
      <w:r w:rsidR="00445237" w:rsidRPr="00052572">
        <w:rPr>
          <w:i/>
          <w:iCs/>
          <w:lang w:val="en"/>
        </w:rPr>
        <w:t>r</w:t>
      </w:r>
      <w:r w:rsidRPr="00052572">
        <w:rPr>
          <w:i/>
          <w:iCs/>
          <w:lang w:val="en"/>
        </w:rPr>
        <w:t xml:space="preserve">eporting by </w:t>
      </w:r>
      <w:r w:rsidR="00445237" w:rsidRPr="00052572">
        <w:rPr>
          <w:i/>
          <w:iCs/>
          <w:lang w:val="en"/>
        </w:rPr>
        <w:t>c</w:t>
      </w:r>
      <w:r w:rsidRPr="00052572">
        <w:rPr>
          <w:i/>
          <w:iCs/>
          <w:lang w:val="en"/>
        </w:rPr>
        <w:t>harities preparing their accounts in accordance with the Financial Reporting Standard applicable in the UK and Republic of Ireland (FRS 102)</w:t>
      </w:r>
      <w:r w:rsidRPr="00B07A72">
        <w:rPr>
          <w:lang w:val="en"/>
        </w:rPr>
        <w:t xml:space="preserve"> issued </w:t>
      </w:r>
      <w:r>
        <w:rPr>
          <w:lang w:val="en"/>
        </w:rPr>
        <w:t>in October 2019</w:t>
      </w:r>
      <w:r w:rsidRPr="00B07A72">
        <w:rPr>
          <w:lang w:val="en"/>
        </w:rPr>
        <w:t xml:space="preserve"> and the Financial Reporting Standard applicable in the United Kingdom and Republic of Ireland (FRS 102) and the Charities Act 2011 and UK Generally Accepted Practice as it applies from 1 January 201</w:t>
      </w:r>
      <w:r>
        <w:rPr>
          <w:lang w:val="en"/>
        </w:rPr>
        <w:t>9</w:t>
      </w:r>
      <w:r w:rsidRPr="00B07A72">
        <w:rPr>
          <w:lang w:val="en"/>
        </w:rPr>
        <w:t>.</w:t>
      </w:r>
      <w:r>
        <w:rPr>
          <w:lang w:val="en"/>
        </w:rPr>
        <w:t xml:space="preserve"> </w:t>
      </w:r>
    </w:p>
    <w:p w14:paraId="18A3E8F6" w14:textId="77777777" w:rsidR="00D9313C" w:rsidRPr="004F6A05" w:rsidRDefault="00D9313C" w:rsidP="6A663098">
      <w:pPr>
        <w:pStyle w:val="Bodytext"/>
        <w:rPr>
          <w:i/>
          <w:iCs/>
          <w:lang w:val="en-US"/>
        </w:rPr>
      </w:pPr>
      <w:r w:rsidRPr="6A663098">
        <w:rPr>
          <w:i/>
          <w:iCs/>
          <w:lang w:val="en-US"/>
        </w:rPr>
        <w:t xml:space="preserve">The accounts (financial statements) have been prepared to give a ‘true and fair’ view and have departed from the Charities (Accounts and Reports) Regulations 2008 only to the extent required to provide a ‘true and fair view’. This departure has involved following Accounting and Reporting by Charities preparing their accounts in </w:t>
      </w:r>
      <w:r w:rsidRPr="6A663098">
        <w:rPr>
          <w:i/>
          <w:iCs/>
          <w:lang w:val="en-US"/>
        </w:rPr>
        <w:t>accordance with the Financial Reporting Standard applicable in the UK and Republic of Ireland (FRS 102) issued in October 2019 rather than the Accounting and Reporting by Charities: Statement of Recommended Practice effective from 1 April 2005 which has since been withdrawn.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4"/>
      </w:tblGrid>
      <w:tr w:rsidR="00D9313C" w:rsidRPr="006644A8" w14:paraId="2CD90CAA" w14:textId="77777777" w:rsidTr="00EC1B15">
        <w:tc>
          <w:tcPr>
            <w:tcW w:w="9396" w:type="dxa"/>
            <w:shd w:val="clear" w:color="auto" w:fill="auto"/>
          </w:tcPr>
          <w:p w14:paraId="632CE428" w14:textId="77777777" w:rsidR="00D9313C" w:rsidRPr="006644A8" w:rsidRDefault="00D9313C" w:rsidP="00EC1B15">
            <w:pPr>
              <w:pStyle w:val="Bodytext"/>
            </w:pPr>
            <w:r w:rsidRPr="006644A8">
              <w:t xml:space="preserve">Paragraph 3.14 of the </w:t>
            </w:r>
            <w:r>
              <w:t>SORP FRS 102</w:t>
            </w:r>
            <w:r w:rsidRPr="006644A8">
              <w:t xml:space="preserve"> requires trustees to make their own assessment of the charity’s ability to continue as a going concern when preparing the accounts.</w:t>
            </w:r>
            <w:r>
              <w:t xml:space="preserve"> </w:t>
            </w:r>
          </w:p>
          <w:p w14:paraId="4C39B49D" w14:textId="77777777" w:rsidR="00D9313C" w:rsidRPr="006644A8" w:rsidRDefault="00D9313C" w:rsidP="00EC1B15">
            <w:pPr>
              <w:pStyle w:val="Bodytext"/>
            </w:pPr>
            <w:r w:rsidRPr="006644A8">
              <w:t xml:space="preserve">Paragraph 3.38 of the </w:t>
            </w:r>
            <w:r>
              <w:t>SORP FRS 102</w:t>
            </w:r>
            <w:r w:rsidRPr="006644A8">
              <w:t xml:space="preserve"> sets out the disclosures that must be made if there are material uncertainties related to events or conditions that cast significant doubt on the charity’s ability to continue as a going concern.</w:t>
            </w:r>
          </w:p>
          <w:p w14:paraId="5CD2BBF5" w14:textId="77777777" w:rsidR="00D9313C" w:rsidRDefault="00D9313C" w:rsidP="00EC1B15">
            <w:pPr>
              <w:pStyle w:val="Bodytext"/>
            </w:pPr>
            <w:r w:rsidRPr="006644A8">
              <w:t xml:space="preserve">Paragraph 3.39 of the </w:t>
            </w:r>
            <w:r>
              <w:t>SORP FRS 102</w:t>
            </w:r>
            <w:r w:rsidRPr="006644A8">
              <w:t xml:space="preserve"> says that ‘Where there are no material uncertainties about the charity’s ability to continue, this should be stated.’</w:t>
            </w:r>
            <w:r>
              <w:t xml:space="preserve"> </w:t>
            </w:r>
            <w:r w:rsidRPr="006644A8">
              <w:t xml:space="preserve">This is not a requirement of the </w:t>
            </w:r>
            <w:r>
              <w:t>SORP FRS 102</w:t>
            </w:r>
            <w:r w:rsidRPr="006644A8">
              <w:t xml:space="preserve"> as it is a ‘should’ rather than ‘must’, but it has been included in this case as </w:t>
            </w:r>
            <w:r>
              <w:t>best practice</w:t>
            </w:r>
            <w:r w:rsidRPr="006644A8">
              <w:t xml:space="preserve">. </w:t>
            </w:r>
          </w:p>
          <w:p w14:paraId="1B818670" w14:textId="77777777" w:rsidR="00D9313C" w:rsidRPr="00666441" w:rsidRDefault="00D9313C" w:rsidP="00EC1B15">
            <w:pPr>
              <w:pStyle w:val="Bodytext"/>
            </w:pPr>
            <w:r w:rsidRPr="00666441">
              <w:t>Paragraph 1.23 of the SORP FRS 102 requires that, if at the date of signing the report and accounts, there are uncertainties about the charity’s ability to continue as a going concern, the nature of these uncertainties should be explained. The guidance on the implications of Covid-19 suggests that charities should taking the opportunity to explain any financial uncertainties regarding the charity’s financial sustainability and consideration of going concern and the steps being taken to address these uncertainties.</w:t>
            </w:r>
          </w:p>
          <w:p w14:paraId="530F47C2" w14:textId="77777777" w:rsidR="00D9313C" w:rsidRPr="00666441" w:rsidRDefault="00D9313C" w:rsidP="00EC1B15">
            <w:pPr>
              <w:pStyle w:val="Bodytext"/>
            </w:pPr>
            <w:r w:rsidRPr="00666441">
              <w:t>The guidance provides the following advice on going concern considerations:</w:t>
            </w:r>
          </w:p>
          <w:p w14:paraId="0C40CBD9" w14:textId="77777777" w:rsidR="00D9313C" w:rsidRPr="006644A8" w:rsidRDefault="00D9313C" w:rsidP="00EC1B15">
            <w:pPr>
              <w:pStyle w:val="Bodytext"/>
            </w:pPr>
            <w:r w:rsidRPr="00666441">
              <w:t xml:space="preserve"> ‘when assessing their charity’s ability to continue to adopt the going concern basis of accounting, trustees should consider all available information about the future at the date they approve the </w:t>
            </w:r>
            <w:r w:rsidRPr="00666441">
              <w:lastRenderedPageBreak/>
              <w:t>accounts. In particular giving consideration to information from budgets and forecasts for income, expenditure and cash-flows. Attention should be given to the available unrestricted funds and reserves, credit facilities (such as overdrafts), and any other forms of financial assistance available to the charity. The assessment of going concern is a forward-looking assessment (paragraphs 3.14 and 3.38). In this regard the FRC issued guidance for company directors in 2016 regarding their assessment of going concern may also be of assistance to trustees: Guidance on the going concern basis of accounting and reporting on solvency and liquidity risks</w:t>
            </w:r>
            <w:r w:rsidRPr="00666441">
              <w:rPr>
                <w:rStyle w:val="FootnoteReference"/>
              </w:rPr>
              <w:footnoteReference w:id="25"/>
            </w:r>
            <w:r w:rsidRPr="00666441">
              <w:t>’</w:t>
            </w:r>
          </w:p>
        </w:tc>
      </w:tr>
    </w:tbl>
    <w:p w14:paraId="1DC79E84" w14:textId="77777777" w:rsidR="00D9313C" w:rsidRPr="006644A8" w:rsidRDefault="00D9313C" w:rsidP="00D9313C">
      <w:pPr>
        <w:tabs>
          <w:tab w:val="left" w:pos="9072"/>
        </w:tabs>
        <w:ind w:right="249"/>
        <w:rPr>
          <w:rFonts w:asciiTheme="minorHAnsi" w:hAnsiTheme="minorHAnsi" w:cstheme="minorHAnsi"/>
          <w:szCs w:val="22"/>
        </w:rPr>
      </w:pPr>
    </w:p>
    <w:p w14:paraId="0E18EFBE" w14:textId="67F1BD24" w:rsidR="00D9313C" w:rsidRPr="00EC0B7C" w:rsidRDefault="00D9313C" w:rsidP="00D9313C">
      <w:pPr>
        <w:pStyle w:val="Bodytext"/>
      </w:pPr>
      <w:r w:rsidRPr="006644A8">
        <w:t>The trustee consider</w:t>
      </w:r>
      <w:r>
        <w:t>s</w:t>
      </w:r>
      <w:r w:rsidRPr="006644A8">
        <w:t xml:space="preserve"> that there are no material uncertainties about the </w:t>
      </w:r>
      <w:r>
        <w:t>OtM’</w:t>
      </w:r>
      <w:r w:rsidR="00C14291">
        <w:t>s</w:t>
      </w:r>
      <w:r w:rsidRPr="006644A8">
        <w:t xml:space="preserve"> ability to continue as a going concern</w:t>
      </w:r>
      <w:r w:rsidRPr="00EC0B7C">
        <w:t xml:space="preserve">. </w:t>
      </w:r>
      <w:r w:rsidR="00F5257A" w:rsidRPr="00EC0B7C">
        <w:t xml:space="preserve">Fundraising income is almost back to pre-pandemic levels </w:t>
      </w:r>
      <w:r w:rsidR="00F770B4" w:rsidRPr="00EC0B7C">
        <w:t xml:space="preserve">but </w:t>
      </w:r>
      <w:r w:rsidR="00262E13" w:rsidRPr="00EC0B7C">
        <w:t xml:space="preserve">continues to be affected by the </w:t>
      </w:r>
      <w:r w:rsidR="00C747DB" w:rsidRPr="00EC0B7C">
        <w:t>cost-of-living</w:t>
      </w:r>
      <w:r w:rsidR="00F770B4" w:rsidRPr="00EC0B7C">
        <w:t xml:space="preserve"> crisis. </w:t>
      </w:r>
      <w:r w:rsidRPr="00EC0B7C">
        <w:t xml:space="preserve">As a grant making charity with few on-going commitments, </w:t>
      </w:r>
      <w:r w:rsidR="00F770B4" w:rsidRPr="00EC0B7C">
        <w:t xml:space="preserve">reduced income </w:t>
      </w:r>
      <w:r w:rsidRPr="00EC0B7C">
        <w:t xml:space="preserve">will impact on the </w:t>
      </w:r>
      <w:r w:rsidR="00F770B4" w:rsidRPr="00EC0B7C">
        <w:t xml:space="preserve">level of </w:t>
      </w:r>
      <w:r w:rsidRPr="00EC0B7C">
        <w:t xml:space="preserve">new grants that can be made in the short term rather than affecting the charity’s ability to continue as a going concern. </w:t>
      </w:r>
      <w:r w:rsidR="00C747DB" w:rsidRPr="00EC0B7C">
        <w:t>T</w:t>
      </w:r>
      <w:r w:rsidRPr="00EC0B7C">
        <w:t>here are no material uncertainties affecting the current year’s accounts.</w:t>
      </w:r>
    </w:p>
    <w:p w14:paraId="6DB211EE" w14:textId="530C8525" w:rsidR="00D9313C" w:rsidRPr="006644A8" w:rsidRDefault="00D9313C" w:rsidP="00D9313C">
      <w:pPr>
        <w:pStyle w:val="Bodytext"/>
      </w:pPr>
      <w:r>
        <w:t>T</w:t>
      </w:r>
      <w:r w:rsidRPr="006644A8">
        <w:t xml:space="preserve">he key risks to the </w:t>
      </w:r>
      <w:r>
        <w:t xml:space="preserve">OtM’s continuing going concern status </w:t>
      </w:r>
      <w:r w:rsidRPr="006644A8">
        <w:t>are a fall in income from donations or investment income but the trustee ha</w:t>
      </w:r>
      <w:r>
        <w:t>s</w:t>
      </w:r>
      <w:r w:rsidRPr="006644A8">
        <w:t xml:space="preserve"> arrangements in place to mitigate those risks (see the risk management and reserves sections of the annual report</w:t>
      </w:r>
      <w:r>
        <w:t xml:space="preserve">, paragraphs </w:t>
      </w:r>
      <w:r>
        <w:fldChar w:fldCharType="begin"/>
      </w:r>
      <w:r>
        <w:instrText xml:space="preserve"> REF _Ref66290995 \r \h </w:instrText>
      </w:r>
      <w:r>
        <w:fldChar w:fldCharType="separate"/>
      </w:r>
      <w:r w:rsidR="00E6322B">
        <w:t>52</w:t>
      </w:r>
      <w:r>
        <w:fldChar w:fldCharType="end"/>
      </w:r>
      <w:r>
        <w:t xml:space="preserve"> to </w:t>
      </w:r>
      <w:r>
        <w:fldChar w:fldCharType="begin"/>
      </w:r>
      <w:r>
        <w:instrText xml:space="preserve"> REF _Ref66288647 \r \h </w:instrText>
      </w:r>
      <w:r>
        <w:fldChar w:fldCharType="separate"/>
      </w:r>
      <w:r w:rsidR="00E6322B">
        <w:t>56</w:t>
      </w:r>
      <w:r>
        <w:fldChar w:fldCharType="end"/>
      </w:r>
      <w:r w:rsidRPr="006644A8">
        <w:t xml:space="preserve"> for more information).</w:t>
      </w:r>
    </w:p>
    <w:p w14:paraId="6366C35B" w14:textId="77777777" w:rsidR="00D9313C" w:rsidRPr="006644A8" w:rsidRDefault="00D9313C" w:rsidP="00C747DB">
      <w:pPr>
        <w:pStyle w:val="TableTitle"/>
      </w:pPr>
      <w:r w:rsidRPr="006644A8">
        <w:t>(</w:t>
      </w:r>
      <w:r>
        <w:t>b</w:t>
      </w:r>
      <w:r w:rsidRPr="006644A8">
        <w:t xml:space="preserve">) Funds structure </w:t>
      </w:r>
    </w:p>
    <w:p w14:paraId="78616979" w14:textId="77777777" w:rsidR="00D9313C" w:rsidRPr="006644A8" w:rsidRDefault="00D9313C" w:rsidP="00D9313C">
      <w:pPr>
        <w:pStyle w:val="Bodytext"/>
        <w:keepNext/>
      </w:pPr>
      <w:r w:rsidRPr="006644A8">
        <w:t>Where there is a legal restriction on the purpose to which a fund may be put, the fund is classified either as:</w:t>
      </w:r>
    </w:p>
    <w:p w14:paraId="4C184AFB" w14:textId="77777777" w:rsidR="00D9313C" w:rsidRPr="00C747DB" w:rsidRDefault="00D9313C" w:rsidP="00C747DB">
      <w:pPr>
        <w:pStyle w:val="Bullet"/>
      </w:pPr>
      <w:r w:rsidRPr="00C747DB">
        <w:t>a restricted fund or</w:t>
      </w:r>
    </w:p>
    <w:p w14:paraId="5B015B1F" w14:textId="77777777" w:rsidR="00D9313C" w:rsidRPr="006644A8" w:rsidRDefault="00D9313C" w:rsidP="00C747DB">
      <w:pPr>
        <w:pStyle w:val="Bullet"/>
      </w:pPr>
      <w:r w:rsidRPr="00C747DB">
        <w:t>an endowm</w:t>
      </w:r>
      <w:r w:rsidRPr="006644A8">
        <w:t>ent fund.</w:t>
      </w:r>
    </w:p>
    <w:p w14:paraId="5E11893B" w14:textId="748EC8C7" w:rsidR="00D9313C" w:rsidRPr="006644A8" w:rsidRDefault="00D9313C" w:rsidP="00D9313C">
      <w:pPr>
        <w:pStyle w:val="Bodytext"/>
      </w:pPr>
      <w:r w:rsidRPr="006644A8">
        <w:t>Restricted funds are those where the donor has provided for the donation to be spent in furtherance of a specified charitable purpose.</w:t>
      </w:r>
      <w:r>
        <w:t xml:space="preserve"> </w:t>
      </w:r>
      <w:r>
        <w:t>OtM</w:t>
      </w:r>
      <w:r w:rsidRPr="006644A8">
        <w:t>’</w:t>
      </w:r>
      <w:r w:rsidR="00C14291">
        <w:t>s</w:t>
      </w:r>
      <w:r w:rsidRPr="006644A8">
        <w:t xml:space="preserve"> restricted funds tend to result from appeals for specified purposes.</w:t>
      </w:r>
    </w:p>
    <w:p w14:paraId="61CA7586" w14:textId="77777777" w:rsidR="00D9313C" w:rsidRPr="006644A8" w:rsidRDefault="00D9313C" w:rsidP="00D9313C">
      <w:pPr>
        <w:pStyle w:val="Bodytext"/>
      </w:pPr>
      <w:r w:rsidRPr="006644A8">
        <w:t>Endowment funds arise when the donor has expressly provided that the gift is to be invested and only the income of the fund may be spent.</w:t>
      </w:r>
      <w:r>
        <w:t xml:space="preserve"> </w:t>
      </w:r>
      <w:r w:rsidRPr="006644A8">
        <w:t>These funds are sub analysed between those where the trustee ha</w:t>
      </w:r>
      <w:r>
        <w:t>s</w:t>
      </w:r>
      <w:r w:rsidRPr="006644A8">
        <w:t xml:space="preserve"> the discretion to spend the capital</w:t>
      </w:r>
      <w:r>
        <w:t xml:space="preserve"> (</w:t>
      </w:r>
      <w:r w:rsidRPr="006644A8">
        <w:t>expendable endowment</w:t>
      </w:r>
      <w:r>
        <w:t>)</w:t>
      </w:r>
      <w:r w:rsidRPr="006644A8">
        <w:t xml:space="preserve"> and those where there is no discretion to expend the capital</w:t>
      </w:r>
      <w:r>
        <w:t xml:space="preserve"> (</w:t>
      </w:r>
      <w:r w:rsidRPr="006644A8">
        <w:t>permanent endowment</w:t>
      </w:r>
      <w:r>
        <w:t>)</w:t>
      </w:r>
      <w:r w:rsidRPr="006644A8">
        <w:t>.</w:t>
      </w:r>
      <w:r>
        <w:t xml:space="preserve"> </w:t>
      </w:r>
    </w:p>
    <w:p w14:paraId="2F0B6E65" w14:textId="77777777" w:rsidR="00D9313C" w:rsidRPr="00E03AA1" w:rsidRDefault="00D9313C" w:rsidP="00D9313C">
      <w:pPr>
        <w:pStyle w:val="Bodytext"/>
        <w:rPr>
          <w:rFonts w:cs="Arial"/>
        </w:rPr>
      </w:pPr>
      <w:r w:rsidRPr="006644A8">
        <w:t>The charity has one permanent endowment fund, the Guptah fund and no expendable endowment.</w:t>
      </w:r>
      <w:r>
        <w:t xml:space="preserve"> </w:t>
      </w:r>
      <w:r w:rsidRPr="00E03AA1">
        <w:rPr>
          <w:rFonts w:cs="Arial"/>
        </w:rPr>
        <w:t>The Guptah fund is managed by the trustee on a total return basis.</w:t>
      </w:r>
      <w:r>
        <w:rPr>
          <w:rFonts w:cs="Arial"/>
        </w:rPr>
        <w:t xml:space="preserve"> </w:t>
      </w:r>
      <w:r w:rsidRPr="00E03AA1">
        <w:rPr>
          <w:rFonts w:cs="Arial"/>
        </w:rPr>
        <w:t xml:space="preserve">This means that the funds are invested to maximise the return on investment without regard </w:t>
      </w:r>
      <w:r>
        <w:rPr>
          <w:rFonts w:cs="Arial"/>
        </w:rPr>
        <w:t xml:space="preserve">as </w:t>
      </w:r>
      <w:r w:rsidRPr="00E03AA1">
        <w:rPr>
          <w:rFonts w:cs="Arial"/>
        </w:rPr>
        <w:t>to whether that return is in the form of income from dividends or interest or capital appreciation (where the market value o</w:t>
      </w:r>
      <w:r>
        <w:rPr>
          <w:rFonts w:cs="Arial"/>
        </w:rPr>
        <w:t xml:space="preserve">f the investment increases). </w:t>
      </w:r>
      <w:r w:rsidRPr="00E03AA1">
        <w:rPr>
          <w:rFonts w:cs="Arial"/>
        </w:rPr>
        <w:t>The trustee decide</w:t>
      </w:r>
      <w:r>
        <w:rPr>
          <w:rFonts w:cs="Arial"/>
        </w:rPr>
        <w:t>s</w:t>
      </w:r>
      <w:r w:rsidRPr="00E03AA1">
        <w:rPr>
          <w:rFonts w:cs="Arial"/>
        </w:rPr>
        <w:t xml:space="preserve"> each year how much of that return is released to income for spending and how much is retained for investment.</w:t>
      </w:r>
      <w:r>
        <w:rPr>
          <w:rFonts w:cs="Arial"/>
        </w:rPr>
        <w:t xml:space="preserve"> </w:t>
      </w:r>
      <w:r w:rsidRPr="00E03AA1">
        <w:rPr>
          <w:rFonts w:cs="Arial"/>
        </w:rPr>
        <w:t xml:space="preserve">The allocation is made on an equitable basis to balance the need to fund current projects as well as to invest returns for the future.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4"/>
      </w:tblGrid>
      <w:tr w:rsidR="00D9313C" w:rsidRPr="006644A8" w14:paraId="0E3F18F1" w14:textId="77777777" w:rsidTr="00EC1B15">
        <w:tc>
          <w:tcPr>
            <w:tcW w:w="9396" w:type="dxa"/>
            <w:shd w:val="clear" w:color="auto" w:fill="auto"/>
          </w:tcPr>
          <w:p w14:paraId="6496F4ED" w14:textId="4D19A0F9" w:rsidR="00D9313C" w:rsidRPr="006644A8" w:rsidRDefault="00D9313C" w:rsidP="00EC1B15">
            <w:pPr>
              <w:pStyle w:val="Bodytext"/>
              <w:rPr>
                <w:b/>
                <w:i/>
              </w:rPr>
            </w:pPr>
            <w:r w:rsidRPr="006644A8">
              <w:t xml:space="preserve">Chapter 20 of the </w:t>
            </w:r>
            <w:r>
              <w:t>SORP FRS 102</w:t>
            </w:r>
            <w:r w:rsidRPr="006644A8">
              <w:t xml:space="preserve"> discusses the total return on investments.</w:t>
            </w:r>
            <w:r>
              <w:t xml:space="preserve"> </w:t>
            </w:r>
            <w:r w:rsidRPr="006644A8">
              <w:t xml:space="preserve">Trustees must formally decide whether to adopt a total return approach in relation to an endowment </w:t>
            </w:r>
            <w:r w:rsidR="00D25D54">
              <w:t xml:space="preserve">– in this case note 23 sets </w:t>
            </w:r>
            <w:r w:rsidR="00426C91">
              <w:t>out the trustee’s resolution</w:t>
            </w:r>
            <w:r w:rsidRPr="006644A8">
              <w:t>.</w:t>
            </w:r>
            <w:r w:rsidRPr="006644A8">
              <w:rPr>
                <w:b/>
                <w:i/>
              </w:rPr>
              <w:t xml:space="preserve"> </w:t>
            </w:r>
          </w:p>
        </w:tc>
      </w:tr>
    </w:tbl>
    <w:p w14:paraId="25AC9E29" w14:textId="77777777" w:rsidR="00D9313C" w:rsidRPr="006644A8" w:rsidRDefault="00D9313C" w:rsidP="00D9313C">
      <w:pPr>
        <w:tabs>
          <w:tab w:val="left" w:pos="9072"/>
        </w:tabs>
        <w:ind w:right="249"/>
        <w:rPr>
          <w:rFonts w:asciiTheme="minorHAnsi" w:hAnsiTheme="minorHAnsi" w:cstheme="minorHAnsi"/>
          <w:b/>
          <w:szCs w:val="22"/>
        </w:rPr>
      </w:pPr>
    </w:p>
    <w:p w14:paraId="6A3C3EBE" w14:textId="77777777" w:rsidR="00D9313C" w:rsidRPr="006644A8" w:rsidRDefault="00D9313C" w:rsidP="00D9313C">
      <w:pPr>
        <w:pStyle w:val="Bodytext"/>
      </w:pPr>
      <w:r w:rsidRPr="006644A8">
        <w:t>Those funds which are neither endowment nor restricted income funds, are unrestricted income funds which are sub analysed between designated (earmarked) funds where the trustee ha</w:t>
      </w:r>
      <w:r>
        <w:t>s</w:t>
      </w:r>
      <w:r w:rsidRPr="006644A8">
        <w:t xml:space="preserve"> set aside amounts to be used for specific purposes or which reflect the non-binding wishes of donors and unrestricted funds which are at the </w:t>
      </w:r>
      <w:r>
        <w:t>trustee’s</w:t>
      </w:r>
      <w:r w:rsidRPr="006644A8">
        <w:t xml:space="preserve"> discretion, including the general fund which represents the charity’s reserves. The major funds held in each of these categories are disclosed in note 22.</w:t>
      </w:r>
    </w:p>
    <w:p w14:paraId="243FF38A" w14:textId="77777777" w:rsidR="00D9313C" w:rsidRPr="006644A8" w:rsidRDefault="00D9313C" w:rsidP="00C747DB">
      <w:pPr>
        <w:pStyle w:val="TableTitle"/>
      </w:pPr>
      <w:r w:rsidRPr="006644A8">
        <w:lastRenderedPageBreak/>
        <w:t>(</w:t>
      </w:r>
      <w:r>
        <w:t>c</w:t>
      </w:r>
      <w:r w:rsidRPr="006644A8">
        <w:t xml:space="preserve">) Incoming resources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4"/>
      </w:tblGrid>
      <w:tr w:rsidR="00D9313C" w:rsidRPr="006644A8" w14:paraId="0125104D" w14:textId="77777777" w:rsidTr="00EC1B15">
        <w:tc>
          <w:tcPr>
            <w:tcW w:w="9396" w:type="dxa"/>
            <w:shd w:val="clear" w:color="auto" w:fill="auto"/>
          </w:tcPr>
          <w:p w14:paraId="446EB9EB" w14:textId="77777777" w:rsidR="00D9313C" w:rsidRDefault="00D9313C" w:rsidP="00EC1B15">
            <w:pPr>
              <w:pStyle w:val="Bodytext"/>
            </w:pPr>
            <w:r w:rsidRPr="006644A8">
              <w:t xml:space="preserve">Paragraph 5.56 of the </w:t>
            </w:r>
            <w:r>
              <w:t>SORP FRS 102</w:t>
            </w:r>
            <w:r w:rsidRPr="006644A8">
              <w:t xml:space="preserve"> state</w:t>
            </w:r>
            <w:r>
              <w:t>s</w:t>
            </w:r>
            <w:r w:rsidRPr="006644A8">
              <w:t xml:space="preserve"> that all charities must explain in notes to the accounts the accounting policies adopted for the recognition of each material item of income.</w:t>
            </w:r>
            <w:r>
              <w:t xml:space="preserve"> </w:t>
            </w:r>
          </w:p>
          <w:p w14:paraId="66DF3C78" w14:textId="77777777" w:rsidR="00D9313C" w:rsidRPr="00C747DB" w:rsidRDefault="00D9313C" w:rsidP="00EC1B15">
            <w:pPr>
              <w:pStyle w:val="Bodytext"/>
            </w:pPr>
            <w:r w:rsidRPr="00C747DB">
              <w:t>Paragraph 5.27 of the SORP FRS 102 gives the example of the donation of a fixed asset. Income recognition criteria for donated goods is set out in paragraph 6.6 of the SORP FRS 102. Paragraph 6.12 states that the cost of any stock of goods donated for distribution to beneficiaries is deemed to be the fair value of the gifts at the time of receipt.</w:t>
            </w:r>
          </w:p>
          <w:p w14:paraId="1D1FA81B" w14:textId="77777777" w:rsidR="00D9313C" w:rsidRPr="006644A8" w:rsidRDefault="00D9313C" w:rsidP="00EC1B15">
            <w:pPr>
              <w:pStyle w:val="Bodytext"/>
              <w:rPr>
                <w:b/>
              </w:rPr>
            </w:pPr>
            <w:r w:rsidRPr="006644A8">
              <w:t xml:space="preserve">Charities with material legacy income should refer to paragraphs 5.29 to 5.37 of the </w:t>
            </w:r>
            <w:r>
              <w:t>SORP FRS 102</w:t>
            </w:r>
            <w:r w:rsidRPr="006644A8">
              <w:t>.</w:t>
            </w:r>
            <w:r>
              <w:t xml:space="preserve"> </w:t>
            </w:r>
            <w:r w:rsidRPr="006644A8">
              <w:t>This charity does not hav</w:t>
            </w:r>
            <w:r>
              <w:t xml:space="preserve">e material legacy income, so no </w:t>
            </w:r>
            <w:r w:rsidRPr="006644A8">
              <w:t>accounting policy is required.</w:t>
            </w:r>
            <w:r>
              <w:t xml:space="preserve"> </w:t>
            </w:r>
          </w:p>
          <w:p w14:paraId="6280C57C" w14:textId="77777777" w:rsidR="00D9313C" w:rsidRPr="006644A8" w:rsidRDefault="00D9313C" w:rsidP="00EC1B15">
            <w:pPr>
              <w:pStyle w:val="Bodytext"/>
            </w:pPr>
            <w:r w:rsidRPr="006644A8">
              <w:t xml:space="preserve">Paragraph 5.8 of the </w:t>
            </w:r>
            <w:r>
              <w:t>SORP FRS 102</w:t>
            </w:r>
            <w:r w:rsidRPr="006644A8">
              <w:t xml:space="preserve"> sets out the general rules for income recognition by charities.</w:t>
            </w:r>
            <w:r>
              <w:t xml:space="preserve"> I</w:t>
            </w:r>
            <w:r w:rsidRPr="006644A8">
              <w:t>ncome must be recognised when it is probable that the economic benefits associated with the transaction or gift will flow to the charity.</w:t>
            </w:r>
            <w:r>
              <w:t xml:space="preserve"> </w:t>
            </w:r>
          </w:p>
        </w:tc>
      </w:tr>
    </w:tbl>
    <w:p w14:paraId="05EEFCD1" w14:textId="77777777" w:rsidR="00D9313C" w:rsidRPr="006644A8" w:rsidRDefault="00D9313C" w:rsidP="00D9313C">
      <w:pPr>
        <w:tabs>
          <w:tab w:val="left" w:pos="9072"/>
        </w:tabs>
        <w:ind w:right="249"/>
        <w:rPr>
          <w:rFonts w:asciiTheme="minorHAnsi" w:hAnsiTheme="minorHAnsi" w:cstheme="minorHAnsi"/>
          <w:b/>
          <w:szCs w:val="22"/>
        </w:rPr>
      </w:pPr>
    </w:p>
    <w:p w14:paraId="3C65A329" w14:textId="77777777" w:rsidR="00D9313C" w:rsidRPr="006644A8" w:rsidRDefault="00D9313C" w:rsidP="00D9313C">
      <w:pPr>
        <w:pStyle w:val="Bodytext"/>
      </w:pPr>
      <w:r w:rsidRPr="006644A8">
        <w:t>All incoming resources are recognised once the charity has entitlement to the resources, it is probable (more likely than not) that the resources will be received, and the monetary value of incoming resources can be measured with sufficient reliability.</w:t>
      </w:r>
    </w:p>
    <w:p w14:paraId="22313AF0" w14:textId="7989384C" w:rsidR="00D9313C" w:rsidRDefault="00D9313C" w:rsidP="00D9313C">
      <w:pPr>
        <w:pStyle w:val="Bodytext"/>
      </w:pPr>
      <w:r w:rsidRPr="006644A8">
        <w:t xml:space="preserve">Where there are terms or conditions attached to incoming resources, particularly grants, then these terms or conditions must be </w:t>
      </w:r>
      <w:r>
        <w:t xml:space="preserve">met </w:t>
      </w:r>
      <w:r w:rsidRPr="006644A8">
        <w:t xml:space="preserve">before the income is recognised as the entitlement condition will not be </w:t>
      </w:r>
      <w:r>
        <w:t xml:space="preserve">satisfied </w:t>
      </w:r>
      <w:r w:rsidRPr="006644A8">
        <w:t>until that point.</w:t>
      </w:r>
      <w:r>
        <w:t xml:space="preserve"> </w:t>
      </w:r>
      <w:r w:rsidRPr="006644A8">
        <w:t>Where terms or conditions have not been met or uncertainty exists as to whether they can be met then the relevant income is not recognised in the year but deferred and shown on the balance sheet as deferred income.</w:t>
      </w:r>
    </w:p>
    <w:p w14:paraId="55AED803" w14:textId="77777777" w:rsidR="00D9313C" w:rsidRDefault="00D9313C" w:rsidP="00C747DB">
      <w:pPr>
        <w:pStyle w:val="TableTitle"/>
      </w:pPr>
      <w:r w:rsidRPr="006644A8">
        <w:t>(</w:t>
      </w:r>
      <w:r>
        <w:t>d</w:t>
      </w:r>
      <w:r w:rsidRPr="006644A8">
        <w:t xml:space="preserve">) </w:t>
      </w:r>
      <w:r>
        <w:t>Gifts in kind</w:t>
      </w:r>
    </w:p>
    <w:p w14:paraId="2FA1C83A" w14:textId="77777777" w:rsidR="00D9313C" w:rsidRPr="00C747DB" w:rsidRDefault="00D9313C" w:rsidP="00D9313C">
      <w:pPr>
        <w:pStyle w:val="Bodytext"/>
      </w:pPr>
      <w:r w:rsidRPr="00C747DB">
        <w:t>Gifts in kind, such as food and care packages are not accounted for when they are accepted and immediately distributed unless a single donation is material.</w:t>
      </w:r>
    </w:p>
    <w:p w14:paraId="6C8B2A71" w14:textId="77777777" w:rsidR="00D9313C" w:rsidRPr="00C747DB" w:rsidRDefault="00D9313C" w:rsidP="00D9313C">
      <w:pPr>
        <w:pStyle w:val="Bodytext"/>
      </w:pPr>
      <w:r w:rsidRPr="00C747DB">
        <w:t xml:space="preserve">Gifts of tangible assets such as microwaves and fridges are recognised as a donation at fair value (market price) on receipt and charitable expenditure when they are distributed. </w:t>
      </w:r>
    </w:p>
    <w:p w14:paraId="31E814EE" w14:textId="77777777" w:rsidR="00D9313C" w:rsidRPr="00C747DB" w:rsidRDefault="00D9313C" w:rsidP="00D9313C">
      <w:pPr>
        <w:pStyle w:val="Bodytext"/>
      </w:pPr>
      <w:r w:rsidRPr="00C747DB">
        <w:t>Where gifts in kind are held before being distributed to beneficiaries, they are recognised at fair value as stock until they are distributed.</w:t>
      </w:r>
    </w:p>
    <w:p w14:paraId="2F77CD3F" w14:textId="77777777" w:rsidR="00D9313C" w:rsidRPr="006644A8" w:rsidRDefault="00D9313C" w:rsidP="00C747DB">
      <w:pPr>
        <w:pStyle w:val="TableTitle"/>
      </w:pPr>
      <w:r>
        <w:t xml:space="preserve">(e) </w:t>
      </w:r>
      <w:r w:rsidRPr="006644A8">
        <w:t xml:space="preserve">Incoming resources from legacies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4"/>
      </w:tblGrid>
      <w:tr w:rsidR="00D9313C" w:rsidRPr="006644A8" w14:paraId="6A5BF71D" w14:textId="77777777" w:rsidTr="00EC1B15">
        <w:tc>
          <w:tcPr>
            <w:tcW w:w="9396" w:type="dxa"/>
            <w:shd w:val="clear" w:color="auto" w:fill="auto"/>
          </w:tcPr>
          <w:p w14:paraId="2209BB1C" w14:textId="77777777" w:rsidR="00D9313C" w:rsidRPr="006644A8" w:rsidRDefault="00D9313C" w:rsidP="00EC1B15">
            <w:pPr>
              <w:pStyle w:val="Bodytext"/>
            </w:pPr>
            <w:r w:rsidRPr="006644A8">
              <w:t>Paragraphs 5.29 to 5.37 set out the general rules for recognition of legacy income by charities.</w:t>
            </w:r>
            <w:r>
              <w:t xml:space="preserve"> </w:t>
            </w:r>
          </w:p>
        </w:tc>
      </w:tr>
    </w:tbl>
    <w:p w14:paraId="6523FA7C" w14:textId="77777777" w:rsidR="00D9313C" w:rsidRDefault="00D9313C" w:rsidP="00D9313C">
      <w:pPr>
        <w:tabs>
          <w:tab w:val="left" w:pos="9072"/>
        </w:tabs>
        <w:ind w:right="249"/>
        <w:rPr>
          <w:rFonts w:asciiTheme="minorHAnsi" w:hAnsiTheme="minorHAnsi" w:cstheme="minorHAnsi"/>
          <w:szCs w:val="22"/>
        </w:rPr>
      </w:pPr>
    </w:p>
    <w:p w14:paraId="304D56EB" w14:textId="77777777" w:rsidR="00D9313C" w:rsidRPr="006644A8" w:rsidRDefault="00D9313C" w:rsidP="00D9313C">
      <w:pPr>
        <w:pStyle w:val="Bodytext"/>
      </w:pPr>
      <w:r w:rsidRPr="006644A8">
        <w:t>Legacies are accounted for as incoming resources either upon receipt or where the receipt of the legacy is probable.</w:t>
      </w:r>
    </w:p>
    <w:p w14:paraId="220C301E" w14:textId="77777777" w:rsidR="00D9313C" w:rsidRPr="006644A8" w:rsidRDefault="00D9313C" w:rsidP="00D9313C">
      <w:pPr>
        <w:pStyle w:val="Bodytext"/>
      </w:pPr>
      <w:r w:rsidRPr="006644A8">
        <w:t>Receipt is probable when:</w:t>
      </w:r>
    </w:p>
    <w:p w14:paraId="489EB1F6" w14:textId="77777777" w:rsidR="00D9313C" w:rsidRPr="00C747DB" w:rsidRDefault="00D9313C" w:rsidP="00C747DB">
      <w:pPr>
        <w:pStyle w:val="Bullet"/>
      </w:pPr>
      <w:r w:rsidRPr="00C747DB">
        <w:t>confirmation has been received from the representatives of the estate(s) that probate has been granted</w:t>
      </w:r>
    </w:p>
    <w:p w14:paraId="0B1DF3A7" w14:textId="77777777" w:rsidR="00D9313C" w:rsidRPr="00C747DB" w:rsidRDefault="00D9313C" w:rsidP="00C747DB">
      <w:pPr>
        <w:pStyle w:val="Bullet"/>
      </w:pPr>
      <w:r w:rsidRPr="00C747DB">
        <w:t>the executors have established that there are sufficient assets in the estate to pay the legacy and</w:t>
      </w:r>
    </w:p>
    <w:p w14:paraId="1718F382" w14:textId="77777777" w:rsidR="00D9313C" w:rsidRPr="006644A8" w:rsidRDefault="00D9313C" w:rsidP="00C747DB">
      <w:pPr>
        <w:pStyle w:val="Bullet"/>
      </w:pPr>
      <w:r w:rsidRPr="00C747DB">
        <w:t>all</w:t>
      </w:r>
      <w:r w:rsidRPr="006644A8">
        <w:t xml:space="preserve"> conditions attached to the legacy have been fulfilled or are within the charity’s control.</w:t>
      </w:r>
    </w:p>
    <w:p w14:paraId="334291A7" w14:textId="77777777" w:rsidR="00D9313C" w:rsidRPr="006644A8" w:rsidRDefault="00D9313C" w:rsidP="00D9313C">
      <w:pPr>
        <w:pStyle w:val="Bodytext"/>
      </w:pPr>
      <w:r w:rsidRPr="006644A8">
        <w:t>If there is uncertainty as to the amount of the legacy and it cannot be reliably estimated, then the legacy is shown as a contingent asset until all of the conditions for income recognition are met.</w:t>
      </w:r>
    </w:p>
    <w:p w14:paraId="1BDA7BD4" w14:textId="77777777" w:rsidR="00D9313C" w:rsidRPr="006644A8" w:rsidRDefault="00D9313C" w:rsidP="00C747DB">
      <w:pPr>
        <w:pStyle w:val="TableTitle"/>
      </w:pPr>
      <w:r w:rsidRPr="006644A8">
        <w:t>(</w:t>
      </w:r>
      <w:r>
        <w:t>f</w:t>
      </w:r>
      <w:r w:rsidRPr="006644A8">
        <w:t xml:space="preserve">) Incoming resources from endowment funds </w:t>
      </w:r>
    </w:p>
    <w:p w14:paraId="27CD246C" w14:textId="77777777" w:rsidR="00D9313C" w:rsidRPr="006644A8" w:rsidRDefault="00D9313C" w:rsidP="00D9313C">
      <w:pPr>
        <w:pStyle w:val="Bodytext"/>
      </w:pPr>
      <w:r w:rsidRPr="006644A8">
        <w:t>The incoming resources received from the invested endowment fund are wholly restricted.</w:t>
      </w:r>
    </w:p>
    <w:p w14:paraId="03FB03C0" w14:textId="77777777" w:rsidR="00D9313C" w:rsidRPr="006644A8" w:rsidRDefault="00D9313C" w:rsidP="00C747DB">
      <w:pPr>
        <w:pStyle w:val="TableTitle"/>
      </w:pPr>
      <w:r w:rsidRPr="006644A8">
        <w:t>(</w:t>
      </w:r>
      <w:r>
        <w:t>g</w:t>
      </w:r>
      <w:r w:rsidRPr="006644A8">
        <w:t>) Resources expended and irrecoverable VAT</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4"/>
      </w:tblGrid>
      <w:tr w:rsidR="00D9313C" w:rsidRPr="006644A8" w14:paraId="51AA98BF" w14:textId="77777777" w:rsidTr="00EC1B15">
        <w:tc>
          <w:tcPr>
            <w:tcW w:w="9396" w:type="dxa"/>
            <w:shd w:val="clear" w:color="auto" w:fill="auto"/>
          </w:tcPr>
          <w:p w14:paraId="4FCB9F49" w14:textId="77777777" w:rsidR="00D9313C" w:rsidRPr="006644A8" w:rsidRDefault="00D9313C" w:rsidP="00EC1B15">
            <w:pPr>
              <w:pStyle w:val="Bodytext"/>
            </w:pPr>
            <w:r w:rsidRPr="006644A8">
              <w:t xml:space="preserve">Paragraphs 7.5 onwards of the </w:t>
            </w:r>
            <w:r>
              <w:t>SORP FRS 102</w:t>
            </w:r>
            <w:r w:rsidRPr="006644A8">
              <w:t xml:space="preserve"> set out the general rules for the recognition of liabilities and expenditure.</w:t>
            </w:r>
          </w:p>
        </w:tc>
      </w:tr>
    </w:tbl>
    <w:p w14:paraId="18B2C070" w14:textId="77777777" w:rsidR="00D9313C" w:rsidRPr="006644A8" w:rsidRDefault="00D9313C" w:rsidP="00D9313C">
      <w:pPr>
        <w:tabs>
          <w:tab w:val="left" w:pos="9072"/>
        </w:tabs>
        <w:ind w:right="249"/>
        <w:rPr>
          <w:rFonts w:asciiTheme="minorHAnsi" w:hAnsiTheme="minorHAnsi" w:cstheme="minorHAnsi"/>
          <w:b/>
          <w:szCs w:val="22"/>
        </w:rPr>
      </w:pPr>
    </w:p>
    <w:p w14:paraId="1C8D557E" w14:textId="1EDF4EEB" w:rsidR="00D9313C" w:rsidRDefault="00D9313C" w:rsidP="00D9313C">
      <w:pPr>
        <w:pStyle w:val="Bodytext"/>
      </w:pPr>
      <w:r w:rsidRPr="006644A8">
        <w:t xml:space="preserve">All expenditure is accounted for on an accruals basis and has been classified under headings that aggregate all costs related to each </w:t>
      </w:r>
      <w:r w:rsidRPr="006644A8">
        <w:lastRenderedPageBreak/>
        <w:t xml:space="preserve">category of expense shown in the </w:t>
      </w:r>
      <w:r w:rsidR="00322C13">
        <w:t>s</w:t>
      </w:r>
      <w:r w:rsidRPr="006644A8">
        <w:t xml:space="preserve">tatement of </w:t>
      </w:r>
      <w:r w:rsidR="00322C13">
        <w:t>f</w:t>
      </w:r>
      <w:r w:rsidRPr="006644A8">
        <w:t xml:space="preserve">inancial </w:t>
      </w:r>
      <w:r w:rsidR="00322C13">
        <w:t>a</w:t>
      </w:r>
      <w:r w:rsidRPr="006644A8">
        <w:t>ctivities. Expenditure is recognised when the following criteria are met:</w:t>
      </w:r>
    </w:p>
    <w:p w14:paraId="75157D37" w14:textId="77777777" w:rsidR="00D9313C" w:rsidRPr="00C747DB" w:rsidRDefault="00D9313C" w:rsidP="00C747DB">
      <w:pPr>
        <w:pStyle w:val="Bullet"/>
      </w:pPr>
      <w:r w:rsidRPr="00C747DB">
        <w:t>there is a present legal or constructive obligation resulting from a past event</w:t>
      </w:r>
    </w:p>
    <w:p w14:paraId="54719AE5" w14:textId="77777777" w:rsidR="00D9313C" w:rsidRPr="00C747DB" w:rsidRDefault="00D9313C" w:rsidP="00C747DB">
      <w:pPr>
        <w:pStyle w:val="Bullet"/>
      </w:pPr>
      <w:r w:rsidRPr="00C747DB">
        <w:t>it is more likely than not that a transfer of benefits (usually a cash payment) will be required in settlement</w:t>
      </w:r>
    </w:p>
    <w:p w14:paraId="25501D08" w14:textId="77777777" w:rsidR="00D9313C" w:rsidRPr="006644A8" w:rsidRDefault="00D9313C" w:rsidP="00C747DB">
      <w:pPr>
        <w:pStyle w:val="Bullet"/>
      </w:pPr>
      <w:r w:rsidRPr="00C747DB">
        <w:t>the amount</w:t>
      </w:r>
      <w:r w:rsidRPr="006644A8">
        <w:t xml:space="preserve"> of the obligation can be measured or estimated reliably. </w:t>
      </w:r>
    </w:p>
    <w:p w14:paraId="0D768D95" w14:textId="77777777" w:rsidR="00D9313C" w:rsidRPr="006644A8" w:rsidRDefault="00D9313C" w:rsidP="00D9313C">
      <w:pPr>
        <w:pStyle w:val="Bodytext"/>
      </w:pPr>
      <w:r w:rsidRPr="006644A8">
        <w:t>Irrecoverable VAT is charged against the category of resources expended for which it was incurred.</w:t>
      </w:r>
    </w:p>
    <w:p w14:paraId="18224028" w14:textId="77777777" w:rsidR="00D9313C" w:rsidRPr="006644A8" w:rsidRDefault="00D9313C" w:rsidP="00C747DB">
      <w:pPr>
        <w:pStyle w:val="TableTitle"/>
      </w:pPr>
      <w:r w:rsidRPr="006644A8">
        <w:t>(</w:t>
      </w:r>
      <w:r>
        <w:t>h</w:t>
      </w:r>
      <w:r w:rsidRPr="006644A8">
        <w:t xml:space="preserve">) Recognition of expenditure and associated liabilities as a result of grant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4"/>
      </w:tblGrid>
      <w:tr w:rsidR="00D9313C" w:rsidRPr="006644A8" w14:paraId="376A3A3B" w14:textId="77777777" w:rsidTr="00EC1B15">
        <w:tc>
          <w:tcPr>
            <w:tcW w:w="9396" w:type="dxa"/>
            <w:shd w:val="clear" w:color="auto" w:fill="auto"/>
          </w:tcPr>
          <w:p w14:paraId="75040CC1" w14:textId="77777777" w:rsidR="00D9313C" w:rsidRPr="006644A8" w:rsidRDefault="00D9313C" w:rsidP="00EC1B15">
            <w:pPr>
              <w:pStyle w:val="Bodytext"/>
            </w:pPr>
            <w:r w:rsidRPr="006644A8">
              <w:t xml:space="preserve">Paragraphs 7.12 to 7.27 of the </w:t>
            </w:r>
            <w:r>
              <w:t>SORP FRS 102</w:t>
            </w:r>
            <w:r w:rsidRPr="006644A8">
              <w:t xml:space="preserve"> discuss the expenditure recognition criteria for grant paying charities.</w:t>
            </w:r>
            <w:r>
              <w:t xml:space="preserve"> </w:t>
            </w:r>
          </w:p>
        </w:tc>
      </w:tr>
    </w:tbl>
    <w:p w14:paraId="0148B57D" w14:textId="77777777" w:rsidR="00D9313C" w:rsidRPr="006644A8" w:rsidRDefault="00D9313C" w:rsidP="00D9313C">
      <w:pPr>
        <w:tabs>
          <w:tab w:val="left" w:pos="9072"/>
        </w:tabs>
        <w:rPr>
          <w:rFonts w:asciiTheme="minorHAnsi" w:hAnsiTheme="minorHAnsi" w:cstheme="minorHAnsi"/>
          <w:szCs w:val="22"/>
        </w:rPr>
      </w:pPr>
    </w:p>
    <w:p w14:paraId="5D673DE5" w14:textId="77777777" w:rsidR="00D9313C" w:rsidRPr="006644A8" w:rsidRDefault="00D9313C" w:rsidP="00D9313C">
      <w:pPr>
        <w:pStyle w:val="Bodytext"/>
      </w:pPr>
      <w:r w:rsidRPr="006644A8">
        <w:t xml:space="preserve">Grants payable are payments made to linked, related party or third-party NHS bodies and non-NHS bodies, in furtherance of the charitable objectives of the funds held on trust, primarily relief of those who are sick. </w:t>
      </w:r>
    </w:p>
    <w:p w14:paraId="5CBE70F4" w14:textId="77777777" w:rsidR="00D9313C" w:rsidRPr="006644A8" w:rsidRDefault="00D9313C" w:rsidP="00D9313C">
      <w:pPr>
        <w:pStyle w:val="Bodytext"/>
      </w:pPr>
      <w:r w:rsidRPr="006644A8">
        <w:t>Grant payments are recognised as expenditure when the conditions for their payment have been met or where there is a constructive obligation to make a payment.</w:t>
      </w:r>
    </w:p>
    <w:p w14:paraId="11002220" w14:textId="77777777" w:rsidR="00D9313C" w:rsidRDefault="00D9313C" w:rsidP="00D9313C">
      <w:pPr>
        <w:pStyle w:val="Bodytext"/>
      </w:pPr>
      <w:r w:rsidRPr="006644A8">
        <w:t>A constructive obligation arises when:</w:t>
      </w:r>
    </w:p>
    <w:p w14:paraId="4D29E52A" w14:textId="77777777" w:rsidR="00D9313C" w:rsidRPr="00C747DB" w:rsidRDefault="00D9313C" w:rsidP="00C747DB">
      <w:pPr>
        <w:pStyle w:val="Bullet"/>
      </w:pPr>
      <w:r w:rsidRPr="00C747DB">
        <w:t>the charity has communicated its intention to award a grant to a recipient who then has a reasonable expectation that they will receive a grant or</w:t>
      </w:r>
    </w:p>
    <w:p w14:paraId="5B49574B" w14:textId="77777777" w:rsidR="00D9313C" w:rsidRPr="00C747DB" w:rsidRDefault="00D9313C" w:rsidP="00C747DB">
      <w:pPr>
        <w:pStyle w:val="Bullet"/>
      </w:pPr>
      <w:r w:rsidRPr="00C747DB">
        <w:t>the charity has made a public announcement about a commitment which is specific enough for the recipient to have a reasonable expectation that they will receive a grant or</w:t>
      </w:r>
    </w:p>
    <w:p w14:paraId="27A6CCB0" w14:textId="77777777" w:rsidR="00D9313C" w:rsidRDefault="00D9313C" w:rsidP="00C747DB">
      <w:pPr>
        <w:pStyle w:val="Bullet"/>
      </w:pPr>
      <w:r w:rsidRPr="00C747DB">
        <w:t>there is an established</w:t>
      </w:r>
      <w:r w:rsidRPr="006644A8">
        <w:t xml:space="preserve"> pattern of practice which indicates to the recipient that we will honour our commitment</w:t>
      </w:r>
      <w:r>
        <w:t>.</w:t>
      </w:r>
    </w:p>
    <w:p w14:paraId="450739C1" w14:textId="77777777" w:rsidR="00D9313C" w:rsidRPr="006644A8" w:rsidRDefault="00D9313C" w:rsidP="00D9313C">
      <w:pPr>
        <w:pStyle w:val="Bodytext"/>
      </w:pPr>
      <w:r w:rsidRPr="006644A8">
        <w:t>The trustee</w:t>
      </w:r>
      <w:r>
        <w:t xml:space="preserve"> </w:t>
      </w:r>
      <w:r w:rsidRPr="006644A8">
        <w:t>ha</w:t>
      </w:r>
      <w:r>
        <w:t xml:space="preserve">s </w:t>
      </w:r>
      <w:r w:rsidRPr="006644A8">
        <w:t xml:space="preserve">control over the amount and timing of grant payments and consequently where approval has been given by the </w:t>
      </w:r>
      <w:r>
        <w:t xml:space="preserve">charitable fund committee, on behalf of the </w:t>
      </w:r>
      <w:r w:rsidRPr="006644A8">
        <w:t>trustee</w:t>
      </w:r>
      <w:r>
        <w:t>,</w:t>
      </w:r>
      <w:r w:rsidRPr="006644A8">
        <w:t xml:space="preserve"> and any of the </w:t>
      </w:r>
      <w:r w:rsidRPr="006644A8">
        <w:t>above criteria have been met then a liability is recognised.</w:t>
      </w:r>
      <w:r>
        <w:t xml:space="preserve"> </w:t>
      </w:r>
      <w:r w:rsidRPr="006644A8">
        <w:t>Grants are not usually awarded with conditions attached.</w:t>
      </w:r>
      <w:r>
        <w:t xml:space="preserve"> </w:t>
      </w:r>
      <w:r w:rsidRPr="006644A8">
        <w:t>However, when they are then those conditions have to be met before the liability is recognised.</w:t>
      </w:r>
    </w:p>
    <w:p w14:paraId="413F7555" w14:textId="77777777" w:rsidR="00D9313C" w:rsidRPr="006644A8" w:rsidRDefault="00D9313C" w:rsidP="00D9313C">
      <w:pPr>
        <w:pStyle w:val="Bodytext"/>
      </w:pPr>
      <w:r w:rsidRPr="006644A8">
        <w:t>Where an intention has not been communicated, then no expenditure is recognised but an appropriate designation is made in the appropriate fund.</w:t>
      </w:r>
      <w:r>
        <w:t xml:space="preserve"> </w:t>
      </w:r>
      <w:r w:rsidRPr="006644A8">
        <w:t xml:space="preserve">If a grant has been offered but there is uncertainty as to whether it will be accepted or whether conditions will be met, then no liability is recognised but a contingent liability is disclosed. </w:t>
      </w:r>
    </w:p>
    <w:p w14:paraId="3A851E03" w14:textId="77777777" w:rsidR="00D9313C" w:rsidRPr="006644A8" w:rsidRDefault="00D9313C" w:rsidP="00C747DB">
      <w:pPr>
        <w:pStyle w:val="TableTitle"/>
      </w:pPr>
      <w:r w:rsidRPr="006644A8">
        <w:t>(</w:t>
      </w:r>
      <w:r>
        <w:t>i</w:t>
      </w:r>
      <w:r w:rsidRPr="006644A8">
        <w:t xml:space="preserve">) Allocation of support costs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4"/>
      </w:tblGrid>
      <w:tr w:rsidR="00D9313C" w:rsidRPr="006644A8" w14:paraId="3700C33A" w14:textId="77777777" w:rsidTr="00EC1B15">
        <w:tc>
          <w:tcPr>
            <w:tcW w:w="9396" w:type="dxa"/>
            <w:shd w:val="clear" w:color="auto" w:fill="auto"/>
          </w:tcPr>
          <w:p w14:paraId="1FDD34A8" w14:textId="77777777" w:rsidR="00D9313C" w:rsidRPr="006644A8" w:rsidRDefault="00D9313C" w:rsidP="00EC1B15">
            <w:pPr>
              <w:pStyle w:val="Bodytext"/>
            </w:pPr>
            <w:r w:rsidRPr="006644A8">
              <w:t>Paragraph 8.1</w:t>
            </w:r>
            <w:r>
              <w:t>3</w:t>
            </w:r>
            <w:r w:rsidRPr="006644A8">
              <w:t xml:space="preserve"> of the </w:t>
            </w:r>
            <w:r>
              <w:t>SORP FRS 102</w:t>
            </w:r>
            <w:r w:rsidRPr="006644A8">
              <w:t xml:space="preserve"> requires that details of the accounting policy for the apportionment of costs are provided.</w:t>
            </w:r>
            <w:r>
              <w:t xml:space="preserve"> </w:t>
            </w:r>
          </w:p>
          <w:p w14:paraId="0439C32A" w14:textId="77777777" w:rsidR="00D9313C" w:rsidRPr="006644A8" w:rsidRDefault="00D9313C" w:rsidP="00EC1B15">
            <w:pPr>
              <w:pStyle w:val="Bodytext"/>
            </w:pPr>
            <w:r w:rsidRPr="006644A8">
              <w:t>The basis of apportionment is given in the note to the accounts</w:t>
            </w:r>
          </w:p>
        </w:tc>
      </w:tr>
    </w:tbl>
    <w:p w14:paraId="334E5EEA" w14:textId="77777777" w:rsidR="00D9313C" w:rsidRPr="006644A8" w:rsidRDefault="00D9313C" w:rsidP="00D9313C">
      <w:pPr>
        <w:tabs>
          <w:tab w:val="left" w:pos="9072"/>
        </w:tabs>
        <w:ind w:right="249"/>
        <w:rPr>
          <w:rFonts w:asciiTheme="minorHAnsi" w:hAnsiTheme="minorHAnsi" w:cstheme="minorHAnsi"/>
          <w:b/>
          <w:szCs w:val="22"/>
        </w:rPr>
      </w:pPr>
    </w:p>
    <w:p w14:paraId="609BFE7D" w14:textId="77777777" w:rsidR="00D9313C" w:rsidRPr="006644A8" w:rsidRDefault="00D9313C" w:rsidP="00D9313C">
      <w:pPr>
        <w:pStyle w:val="Bodytext"/>
      </w:pPr>
      <w:r w:rsidRPr="006644A8">
        <w:t>Support costs are those costs which do not relate directly to a single activity.</w:t>
      </w:r>
      <w:r>
        <w:t xml:space="preserve"> </w:t>
      </w:r>
      <w:r w:rsidRPr="006644A8">
        <w:t>These include some staff costs, costs of administration, internal and external audit costs and IT support. Support costs have been apportioned between fundraising costs and charitable activities on an appropriate basis. Th</w:t>
      </w:r>
      <w:r>
        <w:t>e</w:t>
      </w:r>
      <w:r w:rsidRPr="006644A8">
        <w:t xml:space="preserve"> analysis of support costs and the bases of apportionment applied are shown in note </w:t>
      </w:r>
      <w:r>
        <w:t>12</w:t>
      </w:r>
      <w:r w:rsidRPr="006644A8">
        <w:t xml:space="preserve">. </w:t>
      </w:r>
    </w:p>
    <w:p w14:paraId="5B7EE630" w14:textId="77777777" w:rsidR="00D9313C" w:rsidRPr="006644A8" w:rsidRDefault="00D9313C" w:rsidP="00C747DB">
      <w:pPr>
        <w:pStyle w:val="TableTitle"/>
      </w:pPr>
      <w:r w:rsidRPr="006644A8">
        <w:t>(</w:t>
      </w:r>
      <w:r>
        <w:t>j</w:t>
      </w:r>
      <w:r w:rsidRPr="006644A8">
        <w:t xml:space="preserve">) Fundraising costs </w:t>
      </w:r>
    </w:p>
    <w:tbl>
      <w:tblPr>
        <w:tblStyle w:val="TableGrid"/>
        <w:tblW w:w="0" w:type="auto"/>
        <w:tblLook w:val="04A0" w:firstRow="1" w:lastRow="0" w:firstColumn="1" w:lastColumn="0" w:noHBand="0" w:noVBand="1"/>
      </w:tblPr>
      <w:tblGrid>
        <w:gridCol w:w="6774"/>
      </w:tblGrid>
      <w:tr w:rsidR="00D9313C" w14:paraId="52374174" w14:textId="77777777" w:rsidTr="00EC1B15">
        <w:tc>
          <w:tcPr>
            <w:tcW w:w="9170" w:type="dxa"/>
          </w:tcPr>
          <w:p w14:paraId="2E51A50B" w14:textId="77777777" w:rsidR="00D9313C" w:rsidRPr="006644A8" w:rsidRDefault="00D9313C" w:rsidP="00EC1B15">
            <w:pPr>
              <w:pStyle w:val="Bodytext"/>
            </w:pPr>
            <w:r>
              <w:t>Paragraphs 8.10 to 8.12 discuss the apportionment of costs between fundraising and charitable activity. Paragraph 8.</w:t>
            </w:r>
            <w:r w:rsidRPr="006644A8">
              <w:t>1</w:t>
            </w:r>
            <w:r>
              <w:t>3</w:t>
            </w:r>
            <w:r w:rsidRPr="006644A8">
              <w:t xml:space="preserve"> of the </w:t>
            </w:r>
            <w:r>
              <w:t>SORP FRS 102</w:t>
            </w:r>
            <w:r w:rsidRPr="006644A8">
              <w:t xml:space="preserve"> requires that details of the accounting policy for the apportionment of costs are provided.</w:t>
            </w:r>
            <w:r>
              <w:t xml:space="preserve"> </w:t>
            </w:r>
          </w:p>
          <w:p w14:paraId="0D35562A" w14:textId="77777777" w:rsidR="00D9313C" w:rsidRDefault="00D9313C" w:rsidP="00EC1B15">
            <w:pPr>
              <w:pStyle w:val="Bodytext"/>
              <w:rPr>
                <w:b/>
              </w:rPr>
            </w:pPr>
            <w:r>
              <w:t xml:space="preserve">In this case, costs are clearly either for fundraising or charitable activities so there is no need for the apportionment basis to be disclosed. </w:t>
            </w:r>
          </w:p>
        </w:tc>
      </w:tr>
    </w:tbl>
    <w:p w14:paraId="2CD6E1D3" w14:textId="77777777" w:rsidR="00D9313C" w:rsidRPr="006644A8" w:rsidRDefault="00D9313C" w:rsidP="00D9313C">
      <w:pPr>
        <w:tabs>
          <w:tab w:val="left" w:pos="9072"/>
        </w:tabs>
        <w:ind w:right="249"/>
        <w:rPr>
          <w:rFonts w:asciiTheme="minorHAnsi" w:hAnsiTheme="minorHAnsi" w:cstheme="minorHAnsi"/>
          <w:b/>
          <w:szCs w:val="22"/>
        </w:rPr>
      </w:pPr>
    </w:p>
    <w:p w14:paraId="4AA21798" w14:textId="77777777" w:rsidR="00D9313C" w:rsidRPr="006644A8" w:rsidRDefault="00D9313C" w:rsidP="00D9313C">
      <w:pPr>
        <w:pStyle w:val="Bodytext"/>
      </w:pPr>
      <w:r w:rsidRPr="006644A8">
        <w:t xml:space="preserve">The costs of generating funds are those costs attributable to generating income for the charity, other than those costs incurred in undertaking charitable activities or the costs incurred in undertaking trading activities in furtherance of the charity’s objects. The costs of </w:t>
      </w:r>
      <w:r w:rsidRPr="006644A8">
        <w:lastRenderedPageBreak/>
        <w:t xml:space="preserve">generating funds represent fundraising costs together with investment management fees. Fundraising costs include expenses for fundraising activities and a fee paid to a related party, the </w:t>
      </w:r>
      <w:r>
        <w:t>HHFT</w:t>
      </w:r>
      <w:r w:rsidRPr="006644A8">
        <w:t>, under a fundraising agreement (see note</w:t>
      </w:r>
      <w:r>
        <w:t xml:space="preserve"> 2</w:t>
      </w:r>
      <w:r w:rsidRPr="006644A8">
        <w:t xml:space="preserve">). The fee is used to pay the salaries and overhead costs of the </w:t>
      </w:r>
      <w:r>
        <w:t>h</w:t>
      </w:r>
      <w:r w:rsidRPr="006644A8">
        <w:t>ospital’s fundraising office.</w:t>
      </w:r>
    </w:p>
    <w:p w14:paraId="4770080C" w14:textId="77777777" w:rsidR="00D9313C" w:rsidRPr="006644A8" w:rsidRDefault="00D9313C" w:rsidP="00C747DB">
      <w:pPr>
        <w:pStyle w:val="TableTitle"/>
      </w:pPr>
      <w:r w:rsidRPr="006644A8">
        <w:t>(</w:t>
      </w:r>
      <w:r>
        <w:t>k</w:t>
      </w:r>
      <w:r w:rsidRPr="006644A8">
        <w:t xml:space="preserve">) Charitable activities </w:t>
      </w:r>
    </w:p>
    <w:p w14:paraId="2FF1886E" w14:textId="77777777" w:rsidR="00D9313C" w:rsidRPr="006644A8" w:rsidRDefault="00D9313C" w:rsidP="00D9313C">
      <w:pPr>
        <w:pStyle w:val="Bodytext"/>
      </w:pPr>
      <w:r w:rsidRPr="006644A8">
        <w:t xml:space="preserve">Costs of charitable activities comprise all costs incurred in the pursuit of the charitable objects of the charity. These costs, where not wholly attributable, are apportioned between the categories of charitable expenditure in addition to the direct costs. The total costs of each category of charitable expenditure include an apportionment of support costs as shown in note </w:t>
      </w:r>
      <w:r>
        <w:t>12</w:t>
      </w:r>
      <w:r w:rsidRPr="006644A8">
        <w:t>.</w:t>
      </w:r>
    </w:p>
    <w:p w14:paraId="600BB628" w14:textId="77777777" w:rsidR="00D9313C" w:rsidRPr="006644A8" w:rsidRDefault="00D9313C" w:rsidP="00C747DB">
      <w:pPr>
        <w:pStyle w:val="TableTitle"/>
      </w:pPr>
      <w:r w:rsidRPr="006644A8">
        <w:t>(</w:t>
      </w:r>
      <w:r>
        <w:t>l</w:t>
      </w:r>
      <w:r w:rsidRPr="006644A8">
        <w:t xml:space="preserve">) Fixed asset investments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4"/>
      </w:tblGrid>
      <w:tr w:rsidR="00D9313C" w:rsidRPr="006644A8" w14:paraId="046B9184" w14:textId="77777777" w:rsidTr="00EC1B15">
        <w:tc>
          <w:tcPr>
            <w:tcW w:w="9396" w:type="dxa"/>
            <w:shd w:val="clear" w:color="auto" w:fill="auto"/>
          </w:tcPr>
          <w:p w14:paraId="3C580056" w14:textId="77777777" w:rsidR="00D9313C" w:rsidRPr="006644A8" w:rsidRDefault="00D9313C" w:rsidP="00EC1B15">
            <w:pPr>
              <w:pStyle w:val="Bodytext"/>
            </w:pPr>
            <w:r w:rsidRPr="006644A8">
              <w:t xml:space="preserve">Paragraphs 10.53 and 10.73 of the </w:t>
            </w:r>
            <w:r>
              <w:t>SORP FRS 102</w:t>
            </w:r>
            <w:r w:rsidRPr="006644A8">
              <w:t xml:space="preserve"> require that the accounting policy in relation to fixed and short-term investment must be included in the accounts.</w:t>
            </w:r>
            <w:r>
              <w:t xml:space="preserve"> </w:t>
            </w:r>
            <w:r w:rsidRPr="006644A8">
              <w:t>The policy must include the measurement basis for all investments and the difference between fixed or current assets.</w:t>
            </w:r>
          </w:p>
          <w:p w14:paraId="1711BAFC" w14:textId="77777777" w:rsidR="00D9313C" w:rsidRDefault="00D9313C" w:rsidP="00EC1B15">
            <w:pPr>
              <w:pStyle w:val="Bodytext"/>
            </w:pPr>
            <w:r w:rsidRPr="006644A8">
              <w:t xml:space="preserve">Paragraph 11.35 of the </w:t>
            </w:r>
            <w:r>
              <w:t>SORP FRS 102</w:t>
            </w:r>
            <w:r w:rsidRPr="006644A8">
              <w:t xml:space="preserve"> requires the measurement bases and accounting policies in relation to basic financial instruments to be disclosed.</w:t>
            </w:r>
            <w:r>
              <w:t xml:space="preserve"> </w:t>
            </w:r>
            <w:r w:rsidRPr="006644A8">
              <w:t>These have been included in the accounting policies for investments, debtors and creditors rather than as a separate policy.</w:t>
            </w:r>
            <w:r>
              <w:t xml:space="preserve"> </w:t>
            </w:r>
          </w:p>
          <w:p w14:paraId="1E3F23ED" w14:textId="77777777" w:rsidR="00D9313C" w:rsidRDefault="00D9313C" w:rsidP="00EC1B15">
            <w:pPr>
              <w:pStyle w:val="Bodytext"/>
            </w:pPr>
            <w:r w:rsidRPr="006644A8">
              <w:t>Paragraph 11.35 also requires the following to be disclosed in relation to some financial instruments. In the case of this charity these only apply to investments so have been included in note</w:t>
            </w:r>
            <w:r>
              <w:t xml:space="preserve"> 16</w:t>
            </w:r>
            <w:r w:rsidRPr="006644A8">
              <w:t>:</w:t>
            </w:r>
          </w:p>
          <w:p w14:paraId="7751EE6C" w14:textId="77777777" w:rsidR="00D9313C" w:rsidRPr="00C747DB" w:rsidRDefault="00D9313C" w:rsidP="00C747DB">
            <w:pPr>
              <w:pStyle w:val="Bullet"/>
            </w:pPr>
            <w:r>
              <w:t>i</w:t>
            </w:r>
            <w:r w:rsidRPr="006644A8">
              <w:t xml:space="preserve">nformation </w:t>
            </w:r>
            <w:r w:rsidRPr="00C747DB">
              <w:t>about the significance of financial instruments to the charity’s financial position or performance, for example the terms and conditions of loans or the use of hedging to manage financial risk</w:t>
            </w:r>
          </w:p>
          <w:p w14:paraId="1D348F56" w14:textId="77777777" w:rsidR="00D9313C" w:rsidRPr="006644A8" w:rsidRDefault="00D9313C" w:rsidP="00C747DB">
            <w:pPr>
              <w:pStyle w:val="Bullet"/>
            </w:pPr>
            <w:r w:rsidRPr="00C747DB">
              <w:t>for all financial assets and financial liabilities measured at fair value, the bas</w:t>
            </w:r>
            <w:r w:rsidRPr="006644A8">
              <w:t>is for determining fair value, including any assumptions applied when using a valuation technique.</w:t>
            </w:r>
          </w:p>
        </w:tc>
      </w:tr>
    </w:tbl>
    <w:p w14:paraId="2DBA1C11" w14:textId="77777777" w:rsidR="00D9313C" w:rsidRPr="006644A8" w:rsidRDefault="00D9313C" w:rsidP="00D9313C">
      <w:pPr>
        <w:tabs>
          <w:tab w:val="left" w:pos="9072"/>
        </w:tabs>
        <w:ind w:right="249"/>
        <w:rPr>
          <w:rFonts w:asciiTheme="minorHAnsi" w:hAnsiTheme="minorHAnsi" w:cstheme="minorHAnsi"/>
          <w:b/>
          <w:szCs w:val="22"/>
        </w:rPr>
      </w:pPr>
    </w:p>
    <w:p w14:paraId="57D38AF8" w14:textId="2C9C3734" w:rsidR="00D9313C" w:rsidRPr="006644A8" w:rsidRDefault="00D9313C" w:rsidP="00D9313C">
      <w:pPr>
        <w:pStyle w:val="Bodytext"/>
      </w:pPr>
      <w:r w:rsidRPr="006644A8">
        <w:t>Investments are a form of basic financial instrument.</w:t>
      </w:r>
      <w:r>
        <w:t xml:space="preserve"> </w:t>
      </w:r>
      <w:r w:rsidRPr="006644A8">
        <w:t xml:space="preserve">Fixed asset investments are initially recognised at their transaction value and are subsequently measured at their fair value (market value) as at the balance sheet date. The </w:t>
      </w:r>
      <w:r w:rsidR="00D95FE2">
        <w:t>s</w:t>
      </w:r>
      <w:r w:rsidRPr="006644A8">
        <w:t xml:space="preserve">tatement of </w:t>
      </w:r>
      <w:r w:rsidR="00D95FE2">
        <w:t>f</w:t>
      </w:r>
      <w:r w:rsidRPr="006644A8">
        <w:t xml:space="preserve">inancial </w:t>
      </w:r>
      <w:r w:rsidR="00D95FE2">
        <w:t>a</w:t>
      </w:r>
      <w:r w:rsidRPr="006644A8">
        <w:t xml:space="preserve">ctivities includes the net gains and losses arising on revaluation and disposals throughout the year. Quoted stocks and shares are included in the </w:t>
      </w:r>
      <w:r w:rsidR="00D95FE2">
        <w:t>b</w:t>
      </w:r>
      <w:r w:rsidRPr="006644A8">
        <w:t xml:space="preserve">alance </w:t>
      </w:r>
      <w:r w:rsidR="00D95FE2">
        <w:t>s</w:t>
      </w:r>
      <w:r w:rsidRPr="006644A8">
        <w:t xml:space="preserve">heet at the current market value quoted by the investment analyst, excluding dividend. Other investments are included at the </w:t>
      </w:r>
      <w:r>
        <w:t>trustee’s</w:t>
      </w:r>
      <w:r w:rsidRPr="006644A8">
        <w:t xml:space="preserve"> best estimate of market value. </w:t>
      </w:r>
    </w:p>
    <w:p w14:paraId="69874148" w14:textId="77777777" w:rsidR="00D9313C" w:rsidRDefault="00D9313C" w:rsidP="00D9313C">
      <w:pPr>
        <w:pStyle w:val="Bodytext"/>
        <w:rPr>
          <w:rFonts w:eastAsia="TimesNewRomanPSMT"/>
        </w:rPr>
      </w:pPr>
      <w:r w:rsidRPr="006644A8">
        <w:rPr>
          <w:rFonts w:eastAsia="TimesNewRomanPSMT"/>
        </w:rPr>
        <w:t>The main form of financial risk faced by the charity is that of volatility in equity markets and investment markets due to wider economic conditions, the attitude of investors to investment risk, and changes in sentiment concerning equities and within particular sectors or sub sectors.</w:t>
      </w:r>
      <w:r>
        <w:rPr>
          <w:rFonts w:eastAsia="TimesNewRomanPSMT"/>
        </w:rPr>
        <w:t xml:space="preserve"> Further information on the OtM investments can be found in note 16.</w:t>
      </w:r>
    </w:p>
    <w:p w14:paraId="2AA8C29F" w14:textId="77777777" w:rsidR="00D9313C" w:rsidRPr="006644A8" w:rsidRDefault="00D9313C" w:rsidP="00C747DB">
      <w:pPr>
        <w:pStyle w:val="TableTitle"/>
      </w:pPr>
      <w:r w:rsidRPr="006644A8">
        <w:t>(</w:t>
      </w:r>
      <w:r>
        <w:t>m</w:t>
      </w:r>
      <w:r w:rsidRPr="006644A8">
        <w:t>) Debtors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4"/>
      </w:tblGrid>
      <w:tr w:rsidR="00D9313C" w:rsidRPr="006644A8" w14:paraId="0094FC1F" w14:textId="77777777" w:rsidTr="00EC1B15">
        <w:tc>
          <w:tcPr>
            <w:tcW w:w="9396" w:type="dxa"/>
            <w:shd w:val="clear" w:color="auto" w:fill="auto"/>
          </w:tcPr>
          <w:p w14:paraId="273F0B48" w14:textId="77777777" w:rsidR="00D9313C" w:rsidRPr="006644A8" w:rsidRDefault="00D9313C" w:rsidP="00EC1B15">
            <w:pPr>
              <w:pStyle w:val="Bodytext"/>
            </w:pPr>
            <w:r w:rsidRPr="006644A8">
              <w:t xml:space="preserve">Paragraph 10.67 of the </w:t>
            </w:r>
            <w:r>
              <w:t>SORP FRS 102</w:t>
            </w:r>
            <w:r w:rsidRPr="006644A8">
              <w:t xml:space="preserve"> requires that the accounting policies must set out the basis on which debtors are measured.</w:t>
            </w:r>
            <w:r>
              <w:t xml:space="preserve"> </w:t>
            </w:r>
            <w:r w:rsidRPr="006644A8">
              <w:t>As this charity has no long-term debtors the policy in relation to the time value of money has not been included.</w:t>
            </w:r>
          </w:p>
          <w:p w14:paraId="38A08181" w14:textId="77777777" w:rsidR="00D9313C" w:rsidRPr="006644A8" w:rsidRDefault="00D9313C" w:rsidP="00EC1B15">
            <w:pPr>
              <w:pStyle w:val="Bodytext"/>
            </w:pPr>
            <w:r w:rsidRPr="006644A8">
              <w:t xml:space="preserve">Paragraph 11.35 of the </w:t>
            </w:r>
            <w:r>
              <w:t>SORP FRS 102</w:t>
            </w:r>
            <w:r w:rsidRPr="006644A8">
              <w:t xml:space="preserve"> requires the measurement bases and accounting policies in relation to basic financial instruments to be disclosed.</w:t>
            </w:r>
            <w:r>
              <w:t xml:space="preserve"> </w:t>
            </w:r>
            <w:r w:rsidRPr="006644A8">
              <w:t>These have been included in the accounting policies for investments, debtors and creditors rather than as a separate policy.</w:t>
            </w:r>
            <w:r>
              <w:t xml:space="preserve"> </w:t>
            </w:r>
          </w:p>
        </w:tc>
      </w:tr>
    </w:tbl>
    <w:p w14:paraId="6E98E4F6" w14:textId="77777777" w:rsidR="00D9313C" w:rsidRPr="006644A8" w:rsidRDefault="00D9313C" w:rsidP="00D9313C">
      <w:pPr>
        <w:tabs>
          <w:tab w:val="left" w:pos="9072"/>
        </w:tabs>
        <w:ind w:right="249"/>
        <w:rPr>
          <w:rFonts w:asciiTheme="minorHAnsi" w:hAnsiTheme="minorHAnsi" w:cstheme="minorHAnsi"/>
          <w:szCs w:val="22"/>
        </w:rPr>
      </w:pPr>
    </w:p>
    <w:p w14:paraId="7A9497F1" w14:textId="77777777" w:rsidR="00D9313C" w:rsidRPr="006644A8" w:rsidRDefault="00D9313C" w:rsidP="00D9313C">
      <w:pPr>
        <w:pStyle w:val="Bodytext"/>
      </w:pPr>
      <w:r w:rsidRPr="006644A8">
        <w:t>Debtors are amounts owed to the charity.</w:t>
      </w:r>
      <w:r>
        <w:t xml:space="preserve"> </w:t>
      </w:r>
      <w:r w:rsidRPr="006644A8">
        <w:t>They are measured on the basis of their recoverable amount.</w:t>
      </w:r>
      <w:r>
        <w:t xml:space="preserve"> </w:t>
      </w:r>
    </w:p>
    <w:p w14:paraId="3195F78E" w14:textId="77777777" w:rsidR="00D9313C" w:rsidRPr="006644A8" w:rsidRDefault="00D9313C" w:rsidP="00C747DB">
      <w:pPr>
        <w:pStyle w:val="TableTitle"/>
        <w:keepNext/>
      </w:pPr>
      <w:r w:rsidRPr="006644A8">
        <w:lastRenderedPageBreak/>
        <w:t>(</w:t>
      </w:r>
      <w:r>
        <w:t>n</w:t>
      </w:r>
      <w:r w:rsidRPr="006644A8">
        <w:t>) Cash and cash equivalents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4"/>
      </w:tblGrid>
      <w:tr w:rsidR="00D9313C" w:rsidRPr="006644A8" w14:paraId="75D69B07" w14:textId="77777777" w:rsidTr="00EC1B15">
        <w:tc>
          <w:tcPr>
            <w:tcW w:w="9396" w:type="dxa"/>
            <w:shd w:val="clear" w:color="auto" w:fill="auto"/>
          </w:tcPr>
          <w:p w14:paraId="6146D7ED" w14:textId="77777777" w:rsidR="00D9313C" w:rsidRPr="006644A8" w:rsidRDefault="00D9313C" w:rsidP="00C747DB">
            <w:pPr>
              <w:pStyle w:val="Bodytext"/>
              <w:keepNext/>
              <w:rPr>
                <w:b/>
              </w:rPr>
            </w:pPr>
            <w:r w:rsidRPr="006644A8">
              <w:t xml:space="preserve">Paragraph 10.75 of the </w:t>
            </w:r>
            <w:r>
              <w:t>SORP FRS 102</w:t>
            </w:r>
            <w:r w:rsidRPr="006644A8">
              <w:t xml:space="preserve"> requires that the notes to the accounts must explain how the charity has defined any short term, highly liquid investments as cash and cash equivalents.</w:t>
            </w:r>
          </w:p>
        </w:tc>
      </w:tr>
    </w:tbl>
    <w:p w14:paraId="45064604" w14:textId="77777777" w:rsidR="00D9313C" w:rsidRPr="006644A8" w:rsidRDefault="00D9313C" w:rsidP="00C747DB">
      <w:pPr>
        <w:keepNext/>
        <w:tabs>
          <w:tab w:val="left" w:pos="9072"/>
        </w:tabs>
        <w:ind w:right="249"/>
        <w:rPr>
          <w:rFonts w:asciiTheme="minorHAnsi" w:hAnsiTheme="minorHAnsi" w:cstheme="minorHAnsi"/>
          <w:szCs w:val="22"/>
        </w:rPr>
      </w:pPr>
    </w:p>
    <w:p w14:paraId="1CB8E5A4" w14:textId="77777777" w:rsidR="00D9313C" w:rsidRPr="006644A8" w:rsidRDefault="00D9313C" w:rsidP="00C747DB">
      <w:pPr>
        <w:pStyle w:val="Bodytext"/>
        <w:keepNext/>
      </w:pPr>
      <w:r w:rsidRPr="006644A8">
        <w:t>Cash at bank and in hand is held to meet the day to day running costs of the charity as they fall due.</w:t>
      </w:r>
      <w:r>
        <w:t xml:space="preserve"> </w:t>
      </w:r>
      <w:r w:rsidRPr="006644A8">
        <w:t>Cash equivalents are short term, highl</w:t>
      </w:r>
      <w:r>
        <w:t xml:space="preserve">y </w:t>
      </w:r>
      <w:r w:rsidRPr="006644A8">
        <w:t xml:space="preserve">liquid investments, usually in 90-day notice interest bearing savings accounts. </w:t>
      </w:r>
    </w:p>
    <w:p w14:paraId="7C4E846A" w14:textId="77777777" w:rsidR="00D9313C" w:rsidRPr="006644A8" w:rsidRDefault="00D9313C" w:rsidP="00C747DB">
      <w:pPr>
        <w:pStyle w:val="TableTitle"/>
      </w:pPr>
      <w:r w:rsidRPr="006644A8">
        <w:t>(</w:t>
      </w:r>
      <w:r>
        <w:t>o</w:t>
      </w:r>
      <w:r w:rsidRPr="006644A8">
        <w:t>) Creditors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4"/>
      </w:tblGrid>
      <w:tr w:rsidR="00D9313C" w:rsidRPr="006644A8" w14:paraId="3B660DC6" w14:textId="77777777" w:rsidTr="00EC1B15">
        <w:tc>
          <w:tcPr>
            <w:tcW w:w="9396" w:type="dxa"/>
            <w:shd w:val="clear" w:color="auto" w:fill="auto"/>
          </w:tcPr>
          <w:p w14:paraId="6B3ACD6B" w14:textId="77777777" w:rsidR="00D9313C" w:rsidRPr="006644A8" w:rsidRDefault="00D9313C" w:rsidP="00EC1B15">
            <w:pPr>
              <w:pStyle w:val="Bodytext"/>
            </w:pPr>
            <w:r w:rsidRPr="006644A8">
              <w:t xml:space="preserve">Paragraph 10.81 of the </w:t>
            </w:r>
            <w:r>
              <w:t>SORP FRS 102</w:t>
            </w:r>
            <w:r w:rsidRPr="006644A8">
              <w:t xml:space="preserve"> requires that the basis on which creditors are recognised and measured should be included in the accounting policies. </w:t>
            </w:r>
          </w:p>
          <w:p w14:paraId="49E765E6" w14:textId="77777777" w:rsidR="00D9313C" w:rsidRPr="006644A8" w:rsidRDefault="00D9313C" w:rsidP="00EC1B15">
            <w:pPr>
              <w:pStyle w:val="Bodytext"/>
            </w:pPr>
            <w:r w:rsidRPr="006644A8">
              <w:t xml:space="preserve">It should be noted that the </w:t>
            </w:r>
            <w:r>
              <w:t>SORP FRS 102</w:t>
            </w:r>
            <w:r w:rsidRPr="006644A8">
              <w:t xml:space="preserve"> also requires an accounting policy in relation to provisions to be included in the accounts.</w:t>
            </w:r>
            <w:r>
              <w:t xml:space="preserve"> </w:t>
            </w:r>
            <w:r w:rsidRPr="006644A8">
              <w:t>This charity does not have any provisions so there is no need to include a policy but charities with a material provision should include a policy.</w:t>
            </w:r>
          </w:p>
          <w:p w14:paraId="4D3D1546" w14:textId="77777777" w:rsidR="00D9313C" w:rsidRPr="006644A8" w:rsidRDefault="00D9313C" w:rsidP="00EC1B15">
            <w:pPr>
              <w:pStyle w:val="Bodytext"/>
            </w:pPr>
            <w:r w:rsidRPr="006644A8">
              <w:t xml:space="preserve">Paragraph 11.35 of the </w:t>
            </w:r>
            <w:r>
              <w:t>SORP FRS 102</w:t>
            </w:r>
            <w:r w:rsidRPr="006644A8">
              <w:t xml:space="preserve"> requires the measurement bases and accounting policies in relation to basic financial instruments to be disclosed.</w:t>
            </w:r>
            <w:r>
              <w:t xml:space="preserve"> </w:t>
            </w:r>
            <w:r w:rsidRPr="006644A8">
              <w:t>These have been included in the accounting policies for investments, debtors and creditors rather than as a separate policy.</w:t>
            </w:r>
            <w:r>
              <w:t xml:space="preserve"> </w:t>
            </w:r>
          </w:p>
        </w:tc>
      </w:tr>
    </w:tbl>
    <w:p w14:paraId="552B3B9F" w14:textId="77777777" w:rsidR="00D9313C" w:rsidRPr="006644A8" w:rsidRDefault="00D9313C" w:rsidP="00D9313C">
      <w:pPr>
        <w:tabs>
          <w:tab w:val="left" w:pos="9072"/>
        </w:tabs>
        <w:ind w:right="249"/>
        <w:rPr>
          <w:rFonts w:asciiTheme="minorHAnsi" w:hAnsiTheme="minorHAnsi" w:cstheme="minorHAnsi"/>
          <w:szCs w:val="22"/>
        </w:rPr>
      </w:pPr>
    </w:p>
    <w:p w14:paraId="769B22AB" w14:textId="77777777" w:rsidR="00D9313C" w:rsidRPr="006644A8" w:rsidRDefault="00D9313C" w:rsidP="00D9313C">
      <w:pPr>
        <w:pStyle w:val="Bodytext"/>
      </w:pPr>
      <w:r w:rsidRPr="006644A8">
        <w:t>Creditors are amounts owed by the charity.</w:t>
      </w:r>
      <w:r>
        <w:t xml:space="preserve"> </w:t>
      </w:r>
      <w:r w:rsidRPr="006644A8">
        <w:t>They are measured at the amount that the charity expects to have to pay to settle the debt.</w:t>
      </w:r>
    </w:p>
    <w:p w14:paraId="388DE724" w14:textId="77777777" w:rsidR="00D9313C" w:rsidRPr="00BB0F03" w:rsidRDefault="00D9313C" w:rsidP="00D9313C">
      <w:pPr>
        <w:pStyle w:val="Bodytext"/>
      </w:pPr>
      <w:r w:rsidRPr="006644A8">
        <w:t>Amounts which are owed in more than a year are shown as long-term creditors.</w:t>
      </w:r>
    </w:p>
    <w:p w14:paraId="36E93502" w14:textId="77777777" w:rsidR="00D9313C" w:rsidRPr="006644A8" w:rsidRDefault="00D9313C" w:rsidP="00C747DB">
      <w:pPr>
        <w:pStyle w:val="TableTitle"/>
      </w:pPr>
      <w:r w:rsidRPr="006644A8">
        <w:t>(</w:t>
      </w:r>
      <w:r>
        <w:t>p</w:t>
      </w:r>
      <w:r w:rsidRPr="006644A8">
        <w:t xml:space="preserve">) Realised gains and losses </w:t>
      </w:r>
    </w:p>
    <w:p w14:paraId="2BA35AE7" w14:textId="75366410" w:rsidR="00D9313C" w:rsidRPr="006644A8" w:rsidRDefault="00D9313C" w:rsidP="00D9313C">
      <w:pPr>
        <w:pStyle w:val="Bodytext"/>
      </w:pPr>
      <w:r w:rsidRPr="006644A8">
        <w:t xml:space="preserve">All gains and losses are taken to the </w:t>
      </w:r>
      <w:r w:rsidR="00A635B7">
        <w:t>s</w:t>
      </w:r>
      <w:r w:rsidRPr="006644A8">
        <w:t xml:space="preserve">tatement of </w:t>
      </w:r>
      <w:r w:rsidR="00A635B7">
        <w:t>f</w:t>
      </w:r>
      <w:r w:rsidRPr="006644A8">
        <w:t xml:space="preserve">inancial </w:t>
      </w:r>
      <w:r w:rsidR="00A635B7">
        <w:t>a</w:t>
      </w:r>
      <w:r w:rsidRPr="006644A8">
        <w:t xml:space="preserve">ctivities as they arise. Realised gains and losses on investments are </w:t>
      </w:r>
      <w:r w:rsidRPr="006644A8">
        <w:t>calculated as the difference between sales proceeds and opening carrying value (purchase date if later). Unrealised gains and losses are calculated as the difference between the market value at the year end and opening carrying value (or purchase date if later).</w:t>
      </w:r>
    </w:p>
    <w:p w14:paraId="34E32D34" w14:textId="77777777" w:rsidR="00D9313C" w:rsidRPr="006644A8" w:rsidRDefault="00D9313C" w:rsidP="00C747DB">
      <w:pPr>
        <w:pStyle w:val="TableTitle"/>
      </w:pPr>
      <w:r w:rsidRPr="006644A8">
        <w:t>(</w:t>
      </w:r>
      <w:r>
        <w:t>q</w:t>
      </w:r>
      <w:r w:rsidRPr="006644A8">
        <w:t xml:space="preserve">) </w:t>
      </w:r>
      <w:r w:rsidRPr="003672BD">
        <w:t>Staff costs and pensions</w:t>
      </w:r>
      <w:r w:rsidRPr="006644A8">
        <w:t xml:space="preserve"> </w:t>
      </w:r>
    </w:p>
    <w:tbl>
      <w:tblPr>
        <w:tblW w:w="52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9"/>
      </w:tblGrid>
      <w:tr w:rsidR="00D9313C" w:rsidRPr="006644A8" w14:paraId="28CA7DA4" w14:textId="77777777" w:rsidTr="00EC1B15">
        <w:tc>
          <w:tcPr>
            <w:tcW w:w="10364" w:type="dxa"/>
            <w:shd w:val="clear" w:color="auto" w:fill="auto"/>
          </w:tcPr>
          <w:p w14:paraId="0A4A0334" w14:textId="77777777" w:rsidR="00D9313C" w:rsidRPr="006644A8" w:rsidRDefault="00D9313C" w:rsidP="00EC1B15">
            <w:pPr>
              <w:pStyle w:val="Bodytext"/>
            </w:pPr>
            <w:r w:rsidRPr="006644A8">
              <w:t xml:space="preserve">Paragraphs 17.22 and 17.23 of the </w:t>
            </w:r>
            <w:r>
              <w:t>SORP FRS 102</w:t>
            </w:r>
            <w:r w:rsidRPr="006644A8">
              <w:t xml:space="preserve"> states that where a charity participates in a defined benefit pension scheme but where the information on its share of the underlying assets or liabilities is unavailable then the following should be disclosed:</w:t>
            </w:r>
          </w:p>
          <w:p w14:paraId="5469972A" w14:textId="77777777" w:rsidR="00D9313C" w:rsidRPr="00C747DB" w:rsidRDefault="00D9313C" w:rsidP="00C747DB">
            <w:pPr>
              <w:pStyle w:val="Bullet"/>
            </w:pPr>
            <w:r w:rsidRPr="00C747DB">
              <w:t>the fact that the pension is a defined benefit plan</w:t>
            </w:r>
          </w:p>
          <w:p w14:paraId="71D905B7" w14:textId="77777777" w:rsidR="00D9313C" w:rsidRPr="00C747DB" w:rsidRDefault="00D9313C" w:rsidP="00C747DB">
            <w:pPr>
              <w:pStyle w:val="Bullet"/>
            </w:pPr>
            <w:r w:rsidRPr="00C747DB">
              <w:t>such information as is available about the plan’s surplus/deficit</w:t>
            </w:r>
          </w:p>
          <w:p w14:paraId="2DBD270E" w14:textId="77777777" w:rsidR="00D9313C" w:rsidRPr="00C747DB" w:rsidRDefault="00D9313C" w:rsidP="00C747DB">
            <w:pPr>
              <w:pStyle w:val="Bullet"/>
            </w:pPr>
            <w:r w:rsidRPr="00C747DB">
              <w:t>the implications, if any, for the charity</w:t>
            </w:r>
          </w:p>
          <w:p w14:paraId="4C901B61" w14:textId="77777777" w:rsidR="00D9313C" w:rsidRPr="00C747DB" w:rsidRDefault="00D9313C" w:rsidP="00C747DB">
            <w:pPr>
              <w:pStyle w:val="Bullet"/>
            </w:pPr>
            <w:r w:rsidRPr="00C747DB">
              <w:t>a description of the extent to which the charity can be liable to the plan for other entities’ obligations under the terms and conditions of the multi-employer plan</w:t>
            </w:r>
          </w:p>
          <w:p w14:paraId="4F77232A" w14:textId="77777777" w:rsidR="00D9313C" w:rsidRPr="006644A8" w:rsidRDefault="00D9313C" w:rsidP="00C747DB">
            <w:pPr>
              <w:pStyle w:val="Bullet"/>
            </w:pPr>
            <w:r w:rsidRPr="00C747DB">
              <w:t>an explanation</w:t>
            </w:r>
            <w:r w:rsidRPr="006644A8">
              <w:t xml:space="preserve"> of how any liability has been determined. </w:t>
            </w:r>
          </w:p>
          <w:p w14:paraId="288CF4AD" w14:textId="77777777" w:rsidR="00D9313C" w:rsidRDefault="00D9313C" w:rsidP="00EC1B15">
            <w:pPr>
              <w:pStyle w:val="Bodytext"/>
            </w:pPr>
            <w:r>
              <w:t>As the staff working full time on the OtM are seconded from HHFT there is no need to disclose any detail in relation to the pensions. However, this disclosure makes it clear that they are covered by the NHS Pension scheme.</w:t>
            </w:r>
          </w:p>
          <w:p w14:paraId="42935256" w14:textId="3237A263" w:rsidR="00D9313C" w:rsidRPr="00950A26" w:rsidRDefault="00D9313C" w:rsidP="00EC1B15">
            <w:pPr>
              <w:pStyle w:val="Bodytext"/>
            </w:pPr>
            <w:r w:rsidRPr="00950A26">
              <w:t xml:space="preserve">In the unlikely case that an NHS charity’s staff are members of a defined benefit scheme that is not the NHS pension then consideration should be given to the valuation of pension assets and liabilities that may be affected by </w:t>
            </w:r>
            <w:r w:rsidR="00341EF5">
              <w:t xml:space="preserve">economic volatility </w:t>
            </w:r>
            <w:r w:rsidRPr="00950A26">
              <w:t>on financial markets.</w:t>
            </w:r>
          </w:p>
        </w:tc>
      </w:tr>
    </w:tbl>
    <w:p w14:paraId="7B42D298" w14:textId="77777777" w:rsidR="00D9313C" w:rsidRPr="006644A8" w:rsidRDefault="00D9313C" w:rsidP="00D9313C">
      <w:pPr>
        <w:tabs>
          <w:tab w:val="left" w:pos="9072"/>
        </w:tabs>
        <w:ind w:right="249"/>
        <w:rPr>
          <w:rFonts w:asciiTheme="minorHAnsi" w:hAnsiTheme="minorHAnsi" w:cstheme="minorHAnsi"/>
          <w:szCs w:val="22"/>
        </w:rPr>
      </w:pPr>
    </w:p>
    <w:p w14:paraId="4D95FF23" w14:textId="4B8AA91A" w:rsidR="00D9313C" w:rsidRDefault="00D9313C" w:rsidP="00D9313C">
      <w:pPr>
        <w:pStyle w:val="Bodytext"/>
      </w:pPr>
      <w:r>
        <w:t>HHFT fully re-charged SCH Charit</w:t>
      </w:r>
      <w:r w:rsidR="00ED7EB5">
        <w:t>i</w:t>
      </w:r>
      <w:r>
        <w:t xml:space="preserve">es for the two members of staff who work full time for the charity. </w:t>
      </w:r>
    </w:p>
    <w:p w14:paraId="0E69CD8A" w14:textId="77777777" w:rsidR="00D9313C" w:rsidRDefault="00D9313C" w:rsidP="00D9313C">
      <w:pPr>
        <w:pStyle w:val="Bodytext"/>
      </w:pPr>
      <w:r>
        <w:t>Both staff members belong to the NHS Pension Scheme which is an unfunded defined benefit scheme which is accounted for as a defined contribution scheme. The recharge from HHFT includes the employee contributions to that scheme. For more information on the NHS Pension Scheme refer to the HHFT annual report and accounts.</w:t>
      </w:r>
    </w:p>
    <w:p w14:paraId="0BFEE939" w14:textId="3B0CC9C5" w:rsidR="00C747DB" w:rsidRPr="00C747DB" w:rsidRDefault="00C747DB" w:rsidP="00C747DB">
      <w:pPr>
        <w:sectPr w:rsidR="00C747DB" w:rsidRPr="00C747DB" w:rsidSect="00237BC5">
          <w:type w:val="continuous"/>
          <w:pgSz w:w="16840" w:h="11900" w:orient="landscape"/>
          <w:pgMar w:top="1021" w:right="1701" w:bottom="1021" w:left="851" w:header="851" w:footer="851" w:gutter="0"/>
          <w:cols w:num="2" w:space="720"/>
          <w:titlePg/>
          <w:docGrid w:linePitch="360"/>
        </w:sectPr>
      </w:pPr>
      <w:bookmarkStart w:id="57" w:name="_Ref431896069"/>
    </w:p>
    <w:p w14:paraId="416069D6" w14:textId="77777777" w:rsidR="00AC46E3" w:rsidRDefault="00AC46E3" w:rsidP="001B3210">
      <w:pPr>
        <w:pStyle w:val="TableTitle"/>
        <w:keepNext/>
        <w:sectPr w:rsidR="00AC46E3" w:rsidSect="00237BC5">
          <w:type w:val="continuous"/>
          <w:pgSz w:w="16840" w:h="11900" w:orient="landscape"/>
          <w:pgMar w:top="1021" w:right="1701" w:bottom="1021" w:left="851" w:header="851" w:footer="851" w:gutter="0"/>
          <w:cols w:num="2" w:space="720"/>
          <w:titlePg/>
          <w:docGrid w:linePitch="360"/>
        </w:sectPr>
      </w:pPr>
      <w:bookmarkStart w:id="58" w:name="_Ref431896047"/>
      <w:bookmarkEnd w:id="57"/>
    </w:p>
    <w:p w14:paraId="4D45EB20" w14:textId="2832EF16" w:rsidR="00D9313C" w:rsidRDefault="00D9313C" w:rsidP="001B3210">
      <w:pPr>
        <w:pStyle w:val="TableTitle"/>
        <w:keepNext/>
        <w:sectPr w:rsidR="00D9313C" w:rsidSect="00237BC5">
          <w:pgSz w:w="16840" w:h="11900" w:orient="landscape"/>
          <w:pgMar w:top="1021" w:right="1701" w:bottom="1021" w:left="851" w:header="851" w:footer="851" w:gutter="0"/>
          <w:cols w:num="2" w:space="720"/>
          <w:titlePg/>
          <w:docGrid w:linePitch="360"/>
        </w:sectPr>
      </w:pPr>
      <w:r>
        <w:lastRenderedPageBreak/>
        <w:t xml:space="preserve">2 </w:t>
      </w:r>
      <w:r w:rsidRPr="006644A8">
        <w:t>Related party transactions</w:t>
      </w:r>
      <w:bookmarkEnd w:id="58"/>
      <w:r w:rsidRPr="006644A8">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8"/>
      </w:tblGrid>
      <w:tr w:rsidR="00D9313C" w:rsidRPr="006644A8" w14:paraId="74C4EB1B" w14:textId="77777777" w:rsidTr="00EC1B15">
        <w:tc>
          <w:tcPr>
            <w:tcW w:w="5000" w:type="pct"/>
            <w:shd w:val="clear" w:color="auto" w:fill="auto"/>
          </w:tcPr>
          <w:p w14:paraId="0E5A060A" w14:textId="77777777" w:rsidR="00D9313C" w:rsidRDefault="00D9313C" w:rsidP="001B3210">
            <w:pPr>
              <w:pStyle w:val="Bodytext"/>
              <w:keepNext/>
            </w:pPr>
            <w:r w:rsidRPr="006644A8">
              <w:t xml:space="preserve">Paragraph 9.17 of the </w:t>
            </w:r>
            <w:r>
              <w:t>SORP FRS 102</w:t>
            </w:r>
            <w:r w:rsidRPr="006644A8">
              <w:t xml:space="preserve"> requires that all transactions between a charity and a related party must be disclosed subject to exemptions set out in paragraph 9.18.</w:t>
            </w:r>
          </w:p>
          <w:p w14:paraId="2EA67830" w14:textId="77777777" w:rsidR="00D9313C" w:rsidRDefault="00D9313C" w:rsidP="001B3210">
            <w:pPr>
              <w:pStyle w:val="Bodytext"/>
              <w:keepNext/>
            </w:pPr>
            <w:r w:rsidRPr="006644A8">
              <w:t xml:space="preserve">Paragraph 9.21 of the </w:t>
            </w:r>
            <w:r>
              <w:t>SORP FRS 102</w:t>
            </w:r>
            <w:r w:rsidRPr="006644A8">
              <w:t xml:space="preserve"> states that charities must not state that related party transactions were made at open market value or on terms equivalent to those that prevail in arm’s length transactions unless such terms can be substantiated.</w:t>
            </w:r>
            <w:r>
              <w:t xml:space="preserve"> </w:t>
            </w:r>
          </w:p>
          <w:p w14:paraId="435D9903" w14:textId="77777777" w:rsidR="00D9313C" w:rsidRDefault="00D9313C" w:rsidP="001B3210">
            <w:pPr>
              <w:pStyle w:val="Bodytext"/>
              <w:keepNext/>
            </w:pPr>
            <w:r>
              <w:t>The Update Bulletin 1 revised the definition of related parties to include an entity which providers/receives key management personnel to/from a charity. This amendment does not affect this charity.</w:t>
            </w:r>
          </w:p>
          <w:p w14:paraId="78C3DE2E" w14:textId="77777777" w:rsidR="00D9313C" w:rsidRDefault="00D9313C" w:rsidP="001B3210">
            <w:pPr>
              <w:pStyle w:val="Bodytext"/>
              <w:keepNext/>
            </w:pPr>
            <w:r w:rsidRPr="008A6F08">
              <w:t>Where an NHS charity has a corporate trustee, paragraph 26.1 of the SORP FRS 102 states that it is viewed for accounting purposes as a subsidiary because it is controlled by the corporate trustee.</w:t>
            </w:r>
            <w:r>
              <w:t xml:space="preserve"> </w:t>
            </w:r>
            <w:r w:rsidRPr="008A6F08">
              <w:t>Therefore, the disclosure requirements set out in paragraph 26.5 and 26.6 must be met.</w:t>
            </w:r>
            <w:r>
              <w:t xml:space="preserve"> </w:t>
            </w:r>
            <w:r w:rsidRPr="008A6F08">
              <w:t>A corporate trustee will be a related party so the requirements of paragraphs 9.17 and 9.20 must be met.</w:t>
            </w:r>
          </w:p>
          <w:p w14:paraId="0D2F7F9A" w14:textId="77777777" w:rsidR="00D9313C" w:rsidRPr="00950A26" w:rsidRDefault="00D9313C" w:rsidP="001B3210">
            <w:pPr>
              <w:pStyle w:val="Bodytext"/>
              <w:keepNext/>
            </w:pPr>
            <w:r w:rsidRPr="00950A26">
              <w:t>In 2019, the Charity Commission for England and Wales published their review of reporting of related party transactions</w:t>
            </w:r>
            <w:r w:rsidRPr="00950A26">
              <w:rPr>
                <w:rStyle w:val="FootnoteReference"/>
              </w:rPr>
              <w:footnoteReference w:id="26"/>
            </w:r>
            <w:r w:rsidRPr="00950A26">
              <w:t>. They reviewed 262 sets of charity annual reports and accounts to assess the required disclosures in relation to trustees’ remuneration, trustees’ expenses and related party transactions. They found that in a significant number of cases the disclosures in relation to related party transactions were not fully reported. The SORP FRS 102 requires and found that in a number of cases the required disclosures were not complete – in part, this is due to the fact that a statement is required where there are no related party transactions.</w:t>
            </w:r>
          </w:p>
          <w:p w14:paraId="723EF835" w14:textId="77777777" w:rsidR="00D9313C" w:rsidRPr="006644A8" w:rsidRDefault="00D9313C" w:rsidP="001B3210">
            <w:pPr>
              <w:pStyle w:val="Bodytext"/>
              <w:keepNext/>
            </w:pPr>
            <w:r w:rsidRPr="00950A26">
              <w:t>For NHS charities with a corporate trustee, there will always be related party transactions as the NHS charity usually makes grants to the corporate trustee NHS body.</w:t>
            </w:r>
          </w:p>
        </w:tc>
      </w:tr>
    </w:tbl>
    <w:p w14:paraId="417C73B4" w14:textId="77777777" w:rsidR="00D9313C" w:rsidRPr="006644A8" w:rsidRDefault="00D9313C" w:rsidP="001B3210">
      <w:pPr>
        <w:tabs>
          <w:tab w:val="left" w:pos="9072"/>
        </w:tabs>
        <w:ind w:right="249"/>
        <w:rPr>
          <w:rFonts w:asciiTheme="minorHAnsi" w:hAnsiTheme="minorHAnsi" w:cstheme="minorHAnsi"/>
          <w:szCs w:val="22"/>
        </w:rPr>
      </w:pPr>
    </w:p>
    <w:p w14:paraId="5E6F94D5" w14:textId="77777777" w:rsidR="00D9313C" w:rsidRDefault="00D9313C" w:rsidP="001B3210">
      <w:pPr>
        <w:pStyle w:val="Bodytext"/>
        <w:sectPr w:rsidR="00D9313C" w:rsidSect="00237BC5">
          <w:type w:val="continuous"/>
          <w:pgSz w:w="16840" w:h="11900" w:orient="landscape"/>
          <w:pgMar w:top="1021" w:right="1701" w:bottom="1021" w:left="851" w:header="851" w:footer="851" w:gutter="0"/>
          <w:cols w:space="720"/>
          <w:titlePg/>
          <w:docGrid w:linePitch="360"/>
        </w:sectPr>
      </w:pPr>
    </w:p>
    <w:p w14:paraId="79ADA46A" w14:textId="77777777" w:rsidR="00D9313C" w:rsidRPr="007D71F8" w:rsidRDefault="00D9313C" w:rsidP="001B3210">
      <w:pPr>
        <w:pStyle w:val="Bodytext"/>
      </w:pPr>
      <w:r>
        <w:t xml:space="preserve">HHFT is the corporate trustee of the OtM as well as its main grant beneficiary – they are therefore related parties. Grants paid by the </w:t>
      </w:r>
      <w:r w:rsidRPr="007D71F8">
        <w:t xml:space="preserve">charity to HHFT are detailed in note 10. HHFT makes a number of clerical and transaction services available to the charity, in accordance with a service level agreement. These include: </w:t>
      </w:r>
    </w:p>
    <w:p w14:paraId="15896C13" w14:textId="7FEB96E6" w:rsidR="00D9313C" w:rsidRPr="007D71F8" w:rsidRDefault="00D9313C" w:rsidP="00C747DB">
      <w:pPr>
        <w:pStyle w:val="Bullet"/>
      </w:pPr>
      <w:r w:rsidRPr="007D71F8">
        <w:t>fundraising services and office at a cost of £</w:t>
      </w:r>
      <w:r w:rsidR="003E01F5" w:rsidRPr="007D71F8">
        <w:t>236</w:t>
      </w:r>
      <w:r w:rsidRPr="007D71F8">
        <w:t>,000 (£</w:t>
      </w:r>
      <w:r w:rsidR="0055218D" w:rsidRPr="00052572">
        <w:t>203</w:t>
      </w:r>
      <w:r w:rsidRPr="007D71F8">
        <w:t>,000 in 202</w:t>
      </w:r>
      <w:r w:rsidR="00CD6D5F">
        <w:t>2</w:t>
      </w:r>
      <w:r w:rsidR="003E01F5" w:rsidRPr="007D71F8">
        <w:t>/2</w:t>
      </w:r>
      <w:r w:rsidR="00CD6D5F">
        <w:t>3</w:t>
      </w:r>
      <w:r w:rsidRPr="007D71F8">
        <w:t xml:space="preserve">) – see note 8. </w:t>
      </w:r>
    </w:p>
    <w:p w14:paraId="5403C83A" w14:textId="467A6473" w:rsidR="00D9313C" w:rsidRPr="00950A26" w:rsidRDefault="00D9313C" w:rsidP="00C747DB">
      <w:pPr>
        <w:pStyle w:val="Bullet"/>
      </w:pPr>
      <w:r w:rsidRPr="007D71F8">
        <w:t>administrative services at a cost of £</w:t>
      </w:r>
      <w:r w:rsidR="00EB225C" w:rsidRPr="007D71F8">
        <w:t>247</w:t>
      </w:r>
      <w:r w:rsidRPr="007D71F8">
        <w:t>,000 (£</w:t>
      </w:r>
      <w:r w:rsidR="0034005A">
        <w:t>224</w:t>
      </w:r>
      <w:r w:rsidRPr="007D71F8">
        <w:t>,000 in 202</w:t>
      </w:r>
      <w:r w:rsidR="00CD6D5F">
        <w:t>2</w:t>
      </w:r>
      <w:r w:rsidR="003E01F5" w:rsidRPr="007D71F8">
        <w:t>/2</w:t>
      </w:r>
      <w:r w:rsidR="00CD6D5F">
        <w:t>3</w:t>
      </w:r>
      <w:r w:rsidRPr="007D71F8">
        <w:t>) in support of the charity’s grant making activities which</w:t>
      </w:r>
      <w:r w:rsidRPr="006644A8">
        <w:t xml:space="preserve"> are included within support costs - see note </w:t>
      </w:r>
      <w:r>
        <w:t>12</w:t>
      </w:r>
      <w:r w:rsidRPr="006644A8">
        <w:t xml:space="preserve">. </w:t>
      </w:r>
    </w:p>
    <w:p w14:paraId="3025432C" w14:textId="160B1743" w:rsidR="00D9313C" w:rsidRDefault="00D9313C" w:rsidP="00D9313C">
      <w:pPr>
        <w:pStyle w:val="Bodytext"/>
      </w:pPr>
      <w:r w:rsidRPr="006644A8">
        <w:t xml:space="preserve">The charges made by the </w:t>
      </w:r>
      <w:r>
        <w:t>HHFT</w:t>
      </w:r>
      <w:r w:rsidRPr="006644A8">
        <w:t xml:space="preserve"> constitute the costs of the fundraising office.</w:t>
      </w:r>
      <w:r>
        <w:t xml:space="preserve"> </w:t>
      </w:r>
      <w:r w:rsidRPr="006644A8">
        <w:t xml:space="preserve">The amounts paid for administrative services are due under a service level agreement and are set at an amount which allows </w:t>
      </w:r>
      <w:r>
        <w:t>HHFT</w:t>
      </w:r>
      <w:r w:rsidRPr="006644A8">
        <w:t xml:space="preserve"> to recover its costs. </w:t>
      </w:r>
    </w:p>
    <w:p w14:paraId="208EAA41" w14:textId="77777777" w:rsidR="00D9313C" w:rsidRDefault="00D9313C" w:rsidP="00D9313C">
      <w:pPr>
        <w:pStyle w:val="Bodytext"/>
        <w:sectPr w:rsidR="00D9313C" w:rsidSect="00237BC5">
          <w:type w:val="continuous"/>
          <w:pgSz w:w="16840" w:h="11900" w:orient="landscape"/>
          <w:pgMar w:top="1021" w:right="1701" w:bottom="1021" w:left="851" w:header="851" w:footer="851" w:gutter="0"/>
          <w:cols w:num="2" w:space="720"/>
          <w:titlePg/>
          <w:docGrid w:linePitch="360"/>
        </w:sectPr>
      </w:pPr>
      <w:r w:rsidRPr="006644A8">
        <w:t xml:space="preserve">None of the members of the </w:t>
      </w:r>
      <w:r>
        <w:t>HHFT</w:t>
      </w:r>
      <w:r w:rsidRPr="006644A8">
        <w:t xml:space="preserve"> board or parties related to them has undertaken any transactions with the </w:t>
      </w:r>
      <w:r>
        <w:t xml:space="preserve">OtM </w:t>
      </w:r>
      <w:r w:rsidRPr="006644A8">
        <w:t xml:space="preserve">or received any benefit from the charity in payment or kind. </w:t>
      </w:r>
      <w:r>
        <w:t>Board members</w:t>
      </w:r>
      <w:r w:rsidRPr="006644A8">
        <w:t xml:space="preserve"> received no honoraria or emoluments in the year</w:t>
      </w:r>
      <w:r>
        <w:t xml:space="preserve"> and e</w:t>
      </w:r>
      <w:r w:rsidRPr="006644A8">
        <w:t>xpenses paid to t</w:t>
      </w:r>
      <w:r>
        <w:t xml:space="preserve">hem </w:t>
      </w:r>
      <w:r w:rsidRPr="006644A8">
        <w:t>are disclosed in note</w:t>
      </w:r>
      <w:r>
        <w:t xml:space="preserve"> 13.</w:t>
      </w:r>
    </w:p>
    <w:p w14:paraId="5F5201CD" w14:textId="11D52EA9" w:rsidR="00AF35B5" w:rsidRDefault="00AF35B5" w:rsidP="00EC49B6">
      <w:pPr>
        <w:pStyle w:val="TableTitle"/>
      </w:pPr>
    </w:p>
    <w:p w14:paraId="3A6BB5E7" w14:textId="77777777" w:rsidR="00C14291" w:rsidRDefault="00C14291" w:rsidP="00EC49B6">
      <w:pPr>
        <w:pStyle w:val="TableTitle"/>
      </w:pPr>
    </w:p>
    <w:p w14:paraId="1C264D17" w14:textId="200AF47C" w:rsidR="00D9313C" w:rsidRPr="006644A8" w:rsidRDefault="00D9313C" w:rsidP="00EC49B6">
      <w:pPr>
        <w:pStyle w:val="TableTitle"/>
      </w:pPr>
      <w:r w:rsidRPr="00AA13E3">
        <w:lastRenderedPageBreak/>
        <w:t>3 Income from donations and legacies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8"/>
      </w:tblGrid>
      <w:tr w:rsidR="00D9313C" w:rsidRPr="006644A8" w14:paraId="633BE968" w14:textId="77777777" w:rsidTr="00EC1B15">
        <w:tc>
          <w:tcPr>
            <w:tcW w:w="0" w:type="auto"/>
            <w:shd w:val="clear" w:color="auto" w:fill="auto"/>
          </w:tcPr>
          <w:p w14:paraId="04683E28" w14:textId="27D966E8" w:rsidR="00D9313C" w:rsidRDefault="00D9313C" w:rsidP="00EC1B15">
            <w:pPr>
              <w:pStyle w:val="Bodytext"/>
            </w:pPr>
            <w:r w:rsidRPr="006644A8">
              <w:t xml:space="preserve">Paragraph 4.42 of the </w:t>
            </w:r>
            <w:r>
              <w:t>SORP FRS 102</w:t>
            </w:r>
            <w:r w:rsidRPr="006644A8">
              <w:t xml:space="preserve"> requires that the notes to the accounts provide an analysis of the material components of income included within each analysis heading of the SoFA.</w:t>
            </w:r>
            <w:r>
              <w:t xml:space="preserve"> </w:t>
            </w:r>
            <w:r w:rsidRPr="006644A8">
              <w:t xml:space="preserve">This note meets the requirements of the </w:t>
            </w:r>
            <w:r>
              <w:t>SORP FRS 102,</w:t>
            </w:r>
            <w:r w:rsidRPr="006644A8">
              <w:t xml:space="preserve"> and some additional narrative has been included as </w:t>
            </w:r>
            <w:r>
              <w:t>it was</w:t>
            </w:r>
            <w:r w:rsidRPr="006644A8">
              <w:t xml:space="preserve"> felt that this would be helpful to the reader of the accounts. </w:t>
            </w:r>
          </w:p>
          <w:p w14:paraId="5A4D9A49" w14:textId="2A9B3369" w:rsidR="00007645" w:rsidRPr="006644A8" w:rsidRDefault="00007645" w:rsidP="00EC1B15">
            <w:pPr>
              <w:pStyle w:val="Bodytext"/>
              <w:rPr>
                <w:b/>
              </w:rPr>
            </w:pPr>
            <w:r>
              <w:t>Paragraph 4.32 of the SORP FRS 102 says that grants of a general nature should be recognised in the SOFA as income from donations and legacies</w:t>
            </w:r>
          </w:p>
          <w:p w14:paraId="2E252CFE" w14:textId="77777777" w:rsidR="00D9313C" w:rsidRPr="006644A8" w:rsidRDefault="00D9313C" w:rsidP="00EC1B15">
            <w:pPr>
              <w:pStyle w:val="Bodytext"/>
            </w:pPr>
            <w:r w:rsidRPr="006644A8">
              <w:t xml:space="preserve">Paragraph 5.58 of the </w:t>
            </w:r>
            <w:r>
              <w:t>SORP FRS 102</w:t>
            </w:r>
            <w:r w:rsidRPr="006644A8">
              <w:t xml:space="preserve"> requires that a charity in receipt of government grants must make particular disclosures.</w:t>
            </w:r>
            <w:r>
              <w:t xml:space="preserve"> </w:t>
            </w:r>
            <w:r w:rsidRPr="006644A8">
              <w:t>This charity’s grant income was from other charities rather than the government.</w:t>
            </w:r>
          </w:p>
        </w:tc>
      </w:tr>
    </w:tbl>
    <w:p w14:paraId="0C763285" w14:textId="77777777" w:rsidR="00D9313C" w:rsidRPr="006644A8" w:rsidRDefault="00D9313C" w:rsidP="00D9313C">
      <w:pPr>
        <w:tabs>
          <w:tab w:val="left" w:pos="9072"/>
        </w:tabs>
        <w:ind w:right="249"/>
        <w:rPr>
          <w:rFonts w:asciiTheme="minorHAnsi" w:hAnsiTheme="minorHAnsi" w:cstheme="minorHAnsi"/>
          <w:b/>
          <w:szCs w:val="22"/>
        </w:rPr>
      </w:pPr>
    </w:p>
    <w:tbl>
      <w:tblPr>
        <w:tblW w:w="5000" w:type="pct"/>
        <w:tblLook w:val="01E0" w:firstRow="1" w:lastRow="1" w:firstColumn="1" w:lastColumn="1" w:noHBand="0" w:noVBand="0"/>
      </w:tblPr>
      <w:tblGrid>
        <w:gridCol w:w="2904"/>
        <w:gridCol w:w="2193"/>
        <w:gridCol w:w="1829"/>
        <w:gridCol w:w="1872"/>
        <w:gridCol w:w="1832"/>
        <w:gridCol w:w="1832"/>
        <w:gridCol w:w="1826"/>
      </w:tblGrid>
      <w:tr w:rsidR="00D9313C" w:rsidRPr="006644A8" w14:paraId="58461806" w14:textId="77777777" w:rsidTr="00EC1B15">
        <w:tc>
          <w:tcPr>
            <w:tcW w:w="1016" w:type="pct"/>
            <w:shd w:val="clear" w:color="auto" w:fill="auto"/>
          </w:tcPr>
          <w:p w14:paraId="2D7CD5D6" w14:textId="77777777" w:rsidR="00D9313C" w:rsidRPr="006644A8" w:rsidRDefault="00D9313C" w:rsidP="00EC1B15">
            <w:pPr>
              <w:pStyle w:val="Bodytext"/>
              <w:spacing w:after="60"/>
            </w:pPr>
          </w:p>
        </w:tc>
        <w:tc>
          <w:tcPr>
            <w:tcW w:w="1407" w:type="pct"/>
            <w:gridSpan w:val="2"/>
            <w:shd w:val="clear" w:color="auto" w:fill="auto"/>
          </w:tcPr>
          <w:p w14:paraId="29242B17" w14:textId="77777777" w:rsidR="00D9313C" w:rsidRPr="003030F2" w:rsidRDefault="00D9313C" w:rsidP="00EC1B15">
            <w:pPr>
              <w:pStyle w:val="Bodytext"/>
              <w:spacing w:after="60"/>
              <w:jc w:val="center"/>
              <w:rPr>
                <w:b/>
              </w:rPr>
            </w:pPr>
            <w:r w:rsidRPr="003030F2">
              <w:rPr>
                <w:b/>
              </w:rPr>
              <w:t>Unrestricted funds</w:t>
            </w:r>
          </w:p>
        </w:tc>
        <w:tc>
          <w:tcPr>
            <w:tcW w:w="1296" w:type="pct"/>
            <w:gridSpan w:val="2"/>
            <w:shd w:val="clear" w:color="auto" w:fill="auto"/>
          </w:tcPr>
          <w:p w14:paraId="6B95DB9B" w14:textId="77777777" w:rsidR="00D9313C" w:rsidRPr="003030F2" w:rsidRDefault="00D9313C" w:rsidP="00EC1B15">
            <w:pPr>
              <w:pStyle w:val="Bodytext"/>
              <w:spacing w:after="60"/>
              <w:jc w:val="center"/>
              <w:rPr>
                <w:b/>
              </w:rPr>
            </w:pPr>
            <w:r w:rsidRPr="003030F2">
              <w:rPr>
                <w:b/>
              </w:rPr>
              <w:t>Restricted funds</w:t>
            </w:r>
          </w:p>
        </w:tc>
        <w:tc>
          <w:tcPr>
            <w:tcW w:w="1280" w:type="pct"/>
            <w:gridSpan w:val="2"/>
            <w:shd w:val="clear" w:color="auto" w:fill="auto"/>
          </w:tcPr>
          <w:p w14:paraId="6F16C9BC" w14:textId="77777777" w:rsidR="00D9313C" w:rsidRPr="003030F2" w:rsidRDefault="00D9313C" w:rsidP="00EC1B15">
            <w:pPr>
              <w:pStyle w:val="Bodytext"/>
              <w:spacing w:after="60"/>
              <w:jc w:val="center"/>
              <w:rPr>
                <w:b/>
              </w:rPr>
            </w:pPr>
            <w:r w:rsidRPr="003030F2">
              <w:rPr>
                <w:b/>
              </w:rPr>
              <w:t>Total</w:t>
            </w:r>
          </w:p>
        </w:tc>
      </w:tr>
      <w:tr w:rsidR="00C24683" w:rsidRPr="006644A8" w14:paraId="64D5EFB8" w14:textId="77777777" w:rsidTr="00EC1B15">
        <w:tc>
          <w:tcPr>
            <w:tcW w:w="1016" w:type="pct"/>
            <w:shd w:val="clear" w:color="auto" w:fill="auto"/>
          </w:tcPr>
          <w:p w14:paraId="14147938" w14:textId="77777777" w:rsidR="00C24683" w:rsidRPr="006644A8" w:rsidRDefault="00C24683" w:rsidP="00C24683">
            <w:pPr>
              <w:pStyle w:val="Bodytext"/>
              <w:spacing w:after="60"/>
            </w:pPr>
          </w:p>
        </w:tc>
        <w:tc>
          <w:tcPr>
            <w:tcW w:w="767" w:type="pct"/>
            <w:shd w:val="clear" w:color="auto" w:fill="D9D9D9" w:themeFill="background1" w:themeFillShade="D9"/>
            <w:vAlign w:val="center"/>
          </w:tcPr>
          <w:p w14:paraId="3FA4180D" w14:textId="56248A9F" w:rsidR="00C24683" w:rsidRPr="003030F2" w:rsidRDefault="00C24683" w:rsidP="00C24683">
            <w:pPr>
              <w:pStyle w:val="Bodytext"/>
              <w:spacing w:after="60"/>
              <w:jc w:val="right"/>
              <w:rPr>
                <w:b/>
              </w:rPr>
            </w:pPr>
            <w:r w:rsidRPr="003B0B89">
              <w:rPr>
                <w:rFonts w:eastAsia="Times New Roman" w:cs="Arial"/>
                <w:b/>
                <w:bCs/>
                <w:color w:val="424141"/>
                <w:szCs w:val="22"/>
                <w:lang w:eastAsia="en-GB"/>
              </w:rPr>
              <w:t>202</w:t>
            </w:r>
            <w:r w:rsidR="00CD6D5F">
              <w:rPr>
                <w:rFonts w:eastAsia="Times New Roman" w:cs="Arial"/>
                <w:b/>
                <w:bCs/>
                <w:color w:val="424141"/>
                <w:szCs w:val="22"/>
                <w:lang w:eastAsia="en-GB"/>
              </w:rPr>
              <w:t>3</w:t>
            </w:r>
            <w:r w:rsidRPr="003B0B89">
              <w:rPr>
                <w:rFonts w:eastAsia="Times New Roman" w:cs="Arial"/>
                <w:b/>
                <w:bCs/>
                <w:color w:val="424141"/>
                <w:szCs w:val="22"/>
                <w:lang w:eastAsia="en-GB"/>
              </w:rPr>
              <w:t>/2</w:t>
            </w:r>
            <w:r w:rsidR="00CD6D5F">
              <w:rPr>
                <w:rFonts w:eastAsia="Times New Roman" w:cs="Arial"/>
                <w:b/>
                <w:bCs/>
                <w:color w:val="424141"/>
                <w:szCs w:val="22"/>
                <w:lang w:eastAsia="en-GB"/>
              </w:rPr>
              <w:t>4</w:t>
            </w:r>
          </w:p>
        </w:tc>
        <w:tc>
          <w:tcPr>
            <w:tcW w:w="640" w:type="pct"/>
            <w:vAlign w:val="center"/>
          </w:tcPr>
          <w:p w14:paraId="2684A38E" w14:textId="2576C785" w:rsidR="00C24683" w:rsidRPr="002B08DA" w:rsidRDefault="00C24683" w:rsidP="00C24683">
            <w:pPr>
              <w:pStyle w:val="Bodytext"/>
              <w:spacing w:after="60"/>
              <w:jc w:val="right"/>
              <w:rPr>
                <w:b/>
                <w:color w:val="A6A6A6" w:themeColor="background1" w:themeShade="A6"/>
              </w:rPr>
            </w:pPr>
            <w:r w:rsidRPr="003B0B89">
              <w:rPr>
                <w:rFonts w:eastAsia="Times New Roman" w:cs="Arial"/>
                <w:b/>
                <w:bCs/>
                <w:color w:val="A6A6A6"/>
                <w:szCs w:val="22"/>
                <w:lang w:eastAsia="en-GB"/>
              </w:rPr>
              <w:t>202</w:t>
            </w:r>
            <w:r w:rsidR="00E66F60">
              <w:rPr>
                <w:rFonts w:eastAsia="Times New Roman" w:cs="Arial"/>
                <w:b/>
                <w:bCs/>
                <w:color w:val="A6A6A6"/>
                <w:szCs w:val="22"/>
                <w:lang w:eastAsia="en-GB"/>
              </w:rPr>
              <w:t>2</w:t>
            </w:r>
            <w:r w:rsidRPr="003B0B89">
              <w:rPr>
                <w:rFonts w:eastAsia="Times New Roman" w:cs="Arial"/>
                <w:b/>
                <w:bCs/>
                <w:color w:val="A6A6A6"/>
                <w:szCs w:val="22"/>
                <w:lang w:eastAsia="en-GB"/>
              </w:rPr>
              <w:t>/2</w:t>
            </w:r>
            <w:r w:rsidR="00CD6D5F">
              <w:rPr>
                <w:rFonts w:eastAsia="Times New Roman" w:cs="Arial"/>
                <w:b/>
                <w:bCs/>
                <w:color w:val="A6A6A6"/>
                <w:szCs w:val="22"/>
                <w:lang w:eastAsia="en-GB"/>
              </w:rPr>
              <w:t>3</w:t>
            </w:r>
          </w:p>
        </w:tc>
        <w:tc>
          <w:tcPr>
            <w:tcW w:w="655" w:type="pct"/>
            <w:shd w:val="clear" w:color="auto" w:fill="D9D9D9" w:themeFill="background1" w:themeFillShade="D9"/>
            <w:vAlign w:val="center"/>
          </w:tcPr>
          <w:p w14:paraId="4E882368" w14:textId="76EEB208" w:rsidR="00C24683" w:rsidRPr="003030F2" w:rsidRDefault="00C24683" w:rsidP="00C24683">
            <w:pPr>
              <w:pStyle w:val="Bodytext"/>
              <w:spacing w:after="60"/>
              <w:jc w:val="right"/>
              <w:rPr>
                <w:b/>
              </w:rPr>
            </w:pPr>
            <w:r w:rsidRPr="003B0B89">
              <w:rPr>
                <w:rFonts w:eastAsia="Times New Roman" w:cs="Arial"/>
                <w:b/>
                <w:bCs/>
                <w:color w:val="424141"/>
                <w:szCs w:val="22"/>
                <w:lang w:eastAsia="en-GB"/>
              </w:rPr>
              <w:t>202</w:t>
            </w:r>
            <w:r w:rsidR="00E66F60">
              <w:rPr>
                <w:rFonts w:eastAsia="Times New Roman" w:cs="Arial"/>
                <w:b/>
                <w:bCs/>
                <w:color w:val="424141"/>
                <w:szCs w:val="22"/>
                <w:lang w:eastAsia="en-GB"/>
              </w:rPr>
              <w:t>3</w:t>
            </w:r>
            <w:r w:rsidRPr="003B0B89">
              <w:rPr>
                <w:rFonts w:eastAsia="Times New Roman" w:cs="Arial"/>
                <w:b/>
                <w:bCs/>
                <w:color w:val="424141"/>
                <w:szCs w:val="22"/>
                <w:lang w:eastAsia="en-GB"/>
              </w:rPr>
              <w:t>/2</w:t>
            </w:r>
            <w:r w:rsidR="00E66F60">
              <w:rPr>
                <w:rFonts w:eastAsia="Times New Roman" w:cs="Arial"/>
                <w:b/>
                <w:bCs/>
                <w:color w:val="424141"/>
                <w:szCs w:val="22"/>
                <w:lang w:eastAsia="en-GB"/>
              </w:rPr>
              <w:t>4</w:t>
            </w:r>
          </w:p>
        </w:tc>
        <w:tc>
          <w:tcPr>
            <w:tcW w:w="641" w:type="pct"/>
            <w:vAlign w:val="center"/>
          </w:tcPr>
          <w:p w14:paraId="7720173D" w14:textId="59E57C3B" w:rsidR="00C24683" w:rsidRPr="002B08DA" w:rsidRDefault="00C24683" w:rsidP="00C24683">
            <w:pPr>
              <w:pStyle w:val="Bodytext"/>
              <w:spacing w:after="60"/>
              <w:jc w:val="right"/>
              <w:rPr>
                <w:b/>
                <w:color w:val="A6A6A6" w:themeColor="background1" w:themeShade="A6"/>
              </w:rPr>
            </w:pPr>
            <w:r w:rsidRPr="003B0B89">
              <w:rPr>
                <w:rFonts w:eastAsia="Times New Roman" w:cs="Arial"/>
                <w:b/>
                <w:bCs/>
                <w:color w:val="A6A6A6"/>
                <w:szCs w:val="22"/>
                <w:lang w:eastAsia="en-GB"/>
              </w:rPr>
              <w:t>202</w:t>
            </w:r>
            <w:r w:rsidR="00E66F60">
              <w:rPr>
                <w:rFonts w:eastAsia="Times New Roman" w:cs="Arial"/>
                <w:b/>
                <w:bCs/>
                <w:color w:val="A6A6A6"/>
                <w:szCs w:val="22"/>
                <w:lang w:eastAsia="en-GB"/>
              </w:rPr>
              <w:t>2</w:t>
            </w:r>
            <w:r w:rsidRPr="003B0B89">
              <w:rPr>
                <w:rFonts w:eastAsia="Times New Roman" w:cs="Arial"/>
                <w:b/>
                <w:bCs/>
                <w:color w:val="A6A6A6"/>
                <w:szCs w:val="22"/>
                <w:lang w:eastAsia="en-GB"/>
              </w:rPr>
              <w:t>/2</w:t>
            </w:r>
            <w:r w:rsidR="00E66F60">
              <w:rPr>
                <w:rFonts w:eastAsia="Times New Roman" w:cs="Arial"/>
                <w:b/>
                <w:bCs/>
                <w:color w:val="A6A6A6"/>
                <w:szCs w:val="22"/>
                <w:lang w:eastAsia="en-GB"/>
              </w:rPr>
              <w:t>3</w:t>
            </w:r>
          </w:p>
        </w:tc>
        <w:tc>
          <w:tcPr>
            <w:tcW w:w="641" w:type="pct"/>
            <w:shd w:val="clear" w:color="auto" w:fill="D9D9D9" w:themeFill="background1" w:themeFillShade="D9"/>
            <w:vAlign w:val="center"/>
          </w:tcPr>
          <w:p w14:paraId="1B3280FC" w14:textId="39439AB9" w:rsidR="00C24683" w:rsidRPr="003030F2" w:rsidRDefault="00C24683" w:rsidP="00C24683">
            <w:pPr>
              <w:pStyle w:val="Bodytext"/>
              <w:spacing w:after="60"/>
              <w:jc w:val="right"/>
              <w:rPr>
                <w:b/>
              </w:rPr>
            </w:pPr>
            <w:r w:rsidRPr="003B0B89">
              <w:rPr>
                <w:rFonts w:eastAsia="Times New Roman" w:cs="Arial"/>
                <w:b/>
                <w:bCs/>
                <w:color w:val="424141"/>
                <w:szCs w:val="22"/>
                <w:lang w:eastAsia="en-GB"/>
              </w:rPr>
              <w:t>202</w:t>
            </w:r>
            <w:r w:rsidR="00E66F60">
              <w:rPr>
                <w:rFonts w:eastAsia="Times New Roman" w:cs="Arial"/>
                <w:b/>
                <w:bCs/>
                <w:color w:val="424141"/>
                <w:szCs w:val="22"/>
                <w:lang w:eastAsia="en-GB"/>
              </w:rPr>
              <w:t>3</w:t>
            </w:r>
            <w:r w:rsidRPr="003B0B89">
              <w:rPr>
                <w:rFonts w:eastAsia="Times New Roman" w:cs="Arial"/>
                <w:b/>
                <w:bCs/>
                <w:color w:val="424141"/>
                <w:szCs w:val="22"/>
                <w:lang w:eastAsia="en-GB"/>
              </w:rPr>
              <w:t>/2</w:t>
            </w:r>
            <w:r w:rsidR="00E66F60">
              <w:rPr>
                <w:rFonts w:eastAsia="Times New Roman" w:cs="Arial"/>
                <w:b/>
                <w:bCs/>
                <w:color w:val="424141"/>
                <w:szCs w:val="22"/>
                <w:lang w:eastAsia="en-GB"/>
              </w:rPr>
              <w:t>4</w:t>
            </w:r>
          </w:p>
        </w:tc>
        <w:tc>
          <w:tcPr>
            <w:tcW w:w="639" w:type="pct"/>
            <w:shd w:val="clear" w:color="auto" w:fill="auto"/>
            <w:vAlign w:val="center"/>
          </w:tcPr>
          <w:p w14:paraId="21D0DDB3" w14:textId="326A3F1F" w:rsidR="00C24683" w:rsidRPr="002B08DA" w:rsidRDefault="00C24683" w:rsidP="00C24683">
            <w:pPr>
              <w:pStyle w:val="Bodytext"/>
              <w:spacing w:after="60"/>
              <w:jc w:val="right"/>
              <w:rPr>
                <w:b/>
                <w:color w:val="A6A6A6" w:themeColor="background1" w:themeShade="A6"/>
              </w:rPr>
            </w:pPr>
            <w:r w:rsidRPr="003B0B89">
              <w:rPr>
                <w:rFonts w:eastAsia="Times New Roman" w:cs="Arial"/>
                <w:b/>
                <w:bCs/>
                <w:color w:val="A6A6A6"/>
                <w:szCs w:val="22"/>
                <w:lang w:eastAsia="en-GB"/>
              </w:rPr>
              <w:t>202</w:t>
            </w:r>
            <w:r w:rsidR="00E66F60">
              <w:rPr>
                <w:rFonts w:eastAsia="Times New Roman" w:cs="Arial"/>
                <w:b/>
                <w:bCs/>
                <w:color w:val="A6A6A6"/>
                <w:szCs w:val="22"/>
                <w:lang w:eastAsia="en-GB"/>
              </w:rPr>
              <w:t>2</w:t>
            </w:r>
            <w:r w:rsidRPr="003B0B89">
              <w:rPr>
                <w:rFonts w:eastAsia="Times New Roman" w:cs="Arial"/>
                <w:b/>
                <w:bCs/>
                <w:color w:val="A6A6A6"/>
                <w:szCs w:val="22"/>
                <w:lang w:eastAsia="en-GB"/>
              </w:rPr>
              <w:t>/2</w:t>
            </w:r>
            <w:r w:rsidR="00E66F60">
              <w:rPr>
                <w:rFonts w:eastAsia="Times New Roman" w:cs="Arial"/>
                <w:b/>
                <w:bCs/>
                <w:color w:val="A6A6A6"/>
                <w:szCs w:val="22"/>
                <w:lang w:eastAsia="en-GB"/>
              </w:rPr>
              <w:t>3</w:t>
            </w:r>
          </w:p>
        </w:tc>
      </w:tr>
      <w:tr w:rsidR="00F2464D" w:rsidRPr="006644A8" w14:paraId="0C33378A" w14:textId="77777777" w:rsidTr="00EC1B15">
        <w:tc>
          <w:tcPr>
            <w:tcW w:w="1016" w:type="pct"/>
            <w:shd w:val="clear" w:color="auto" w:fill="auto"/>
            <w:vAlign w:val="bottom"/>
          </w:tcPr>
          <w:p w14:paraId="71C9AF54" w14:textId="77777777" w:rsidR="00F2464D" w:rsidRPr="006644A8" w:rsidRDefault="00F2464D" w:rsidP="00F2464D">
            <w:pPr>
              <w:pStyle w:val="Bodytext"/>
              <w:spacing w:after="60"/>
            </w:pPr>
          </w:p>
        </w:tc>
        <w:tc>
          <w:tcPr>
            <w:tcW w:w="767" w:type="pct"/>
            <w:shd w:val="clear" w:color="auto" w:fill="D9D9D9" w:themeFill="background1" w:themeFillShade="D9"/>
            <w:vAlign w:val="center"/>
          </w:tcPr>
          <w:p w14:paraId="61581868" w14:textId="45247756" w:rsidR="00F2464D" w:rsidRDefault="00F2464D" w:rsidP="00F2464D">
            <w:pPr>
              <w:pStyle w:val="Bodytext"/>
              <w:spacing w:after="60"/>
              <w:jc w:val="right"/>
              <w:rPr>
                <w:rFonts w:cs="Arial"/>
                <w:b/>
                <w:bCs/>
                <w:color w:val="424141"/>
                <w:szCs w:val="22"/>
              </w:rPr>
            </w:pPr>
            <w:r>
              <w:rPr>
                <w:rFonts w:cs="Arial"/>
                <w:b/>
                <w:bCs/>
                <w:color w:val="424141"/>
                <w:szCs w:val="22"/>
              </w:rPr>
              <w:t>£000</w:t>
            </w:r>
          </w:p>
        </w:tc>
        <w:tc>
          <w:tcPr>
            <w:tcW w:w="640" w:type="pct"/>
            <w:vAlign w:val="center"/>
          </w:tcPr>
          <w:p w14:paraId="0BAD4765" w14:textId="2302E640" w:rsidR="00F2464D" w:rsidRDefault="00F2464D" w:rsidP="00F2464D">
            <w:pPr>
              <w:pStyle w:val="Bodytext"/>
              <w:spacing w:after="60"/>
              <w:jc w:val="right"/>
              <w:rPr>
                <w:rFonts w:cs="Arial"/>
                <w:b/>
                <w:bCs/>
                <w:color w:val="A6A6A6"/>
                <w:szCs w:val="22"/>
              </w:rPr>
            </w:pPr>
            <w:r>
              <w:rPr>
                <w:rFonts w:cs="Arial"/>
                <w:b/>
                <w:bCs/>
                <w:color w:val="A6A6A6"/>
                <w:szCs w:val="22"/>
              </w:rPr>
              <w:t>£000</w:t>
            </w:r>
          </w:p>
        </w:tc>
        <w:tc>
          <w:tcPr>
            <w:tcW w:w="655" w:type="pct"/>
            <w:shd w:val="clear" w:color="auto" w:fill="D9D9D9" w:themeFill="background1" w:themeFillShade="D9"/>
            <w:vAlign w:val="center"/>
          </w:tcPr>
          <w:p w14:paraId="1198999A" w14:textId="4147EE15" w:rsidR="00F2464D" w:rsidRDefault="00F2464D" w:rsidP="00F2464D">
            <w:pPr>
              <w:pStyle w:val="Bodytext"/>
              <w:spacing w:after="60"/>
              <w:jc w:val="right"/>
              <w:rPr>
                <w:rFonts w:cs="Arial"/>
                <w:b/>
                <w:bCs/>
                <w:color w:val="424141"/>
                <w:szCs w:val="22"/>
              </w:rPr>
            </w:pPr>
            <w:r>
              <w:rPr>
                <w:rFonts w:cs="Arial"/>
                <w:b/>
                <w:bCs/>
                <w:color w:val="424141"/>
                <w:szCs w:val="22"/>
              </w:rPr>
              <w:t xml:space="preserve"> £000 </w:t>
            </w:r>
          </w:p>
        </w:tc>
        <w:tc>
          <w:tcPr>
            <w:tcW w:w="641" w:type="pct"/>
            <w:vAlign w:val="center"/>
          </w:tcPr>
          <w:p w14:paraId="26496D5B" w14:textId="7F856461" w:rsidR="00F2464D" w:rsidRDefault="00F2464D" w:rsidP="00F2464D">
            <w:pPr>
              <w:pStyle w:val="Bodytext"/>
              <w:spacing w:after="60"/>
              <w:jc w:val="right"/>
              <w:rPr>
                <w:rFonts w:cs="Arial"/>
                <w:b/>
                <w:bCs/>
                <w:color w:val="A6A6A6"/>
                <w:szCs w:val="22"/>
              </w:rPr>
            </w:pPr>
            <w:r>
              <w:rPr>
                <w:rFonts w:cs="Arial"/>
                <w:b/>
                <w:bCs/>
                <w:color w:val="A6A6A6"/>
                <w:szCs w:val="22"/>
              </w:rPr>
              <w:t>£000</w:t>
            </w:r>
          </w:p>
        </w:tc>
        <w:tc>
          <w:tcPr>
            <w:tcW w:w="641" w:type="pct"/>
            <w:shd w:val="clear" w:color="auto" w:fill="D9D9D9" w:themeFill="background1" w:themeFillShade="D9"/>
            <w:vAlign w:val="center"/>
          </w:tcPr>
          <w:p w14:paraId="69F50FAD" w14:textId="3B68EBC1" w:rsidR="00F2464D" w:rsidRDefault="00F2464D" w:rsidP="00F2464D">
            <w:pPr>
              <w:pStyle w:val="Bodytext"/>
              <w:spacing w:after="60"/>
              <w:jc w:val="right"/>
              <w:rPr>
                <w:rFonts w:cs="Arial"/>
                <w:b/>
                <w:bCs/>
                <w:color w:val="424141"/>
                <w:szCs w:val="22"/>
              </w:rPr>
            </w:pPr>
            <w:r>
              <w:rPr>
                <w:rFonts w:cs="Arial"/>
                <w:b/>
                <w:bCs/>
                <w:color w:val="424141"/>
                <w:szCs w:val="22"/>
              </w:rPr>
              <w:t>£000</w:t>
            </w:r>
          </w:p>
        </w:tc>
        <w:tc>
          <w:tcPr>
            <w:tcW w:w="639" w:type="pct"/>
            <w:shd w:val="clear" w:color="auto" w:fill="auto"/>
            <w:vAlign w:val="center"/>
          </w:tcPr>
          <w:p w14:paraId="796754F5" w14:textId="4329112C" w:rsidR="00F2464D" w:rsidRDefault="00F2464D" w:rsidP="00F2464D">
            <w:pPr>
              <w:pStyle w:val="Bodytext"/>
              <w:spacing w:after="60"/>
              <w:jc w:val="right"/>
              <w:rPr>
                <w:rFonts w:cs="Arial"/>
                <w:b/>
                <w:bCs/>
                <w:color w:val="A6A6A6"/>
                <w:szCs w:val="22"/>
              </w:rPr>
            </w:pPr>
            <w:r>
              <w:rPr>
                <w:rFonts w:cs="Arial"/>
                <w:b/>
                <w:bCs/>
                <w:color w:val="A6A6A6"/>
                <w:szCs w:val="22"/>
              </w:rPr>
              <w:t>£000</w:t>
            </w:r>
          </w:p>
        </w:tc>
      </w:tr>
      <w:tr w:rsidR="00B117BE" w:rsidRPr="006644A8" w14:paraId="40CD8419" w14:textId="77777777" w:rsidTr="00052572">
        <w:tc>
          <w:tcPr>
            <w:tcW w:w="1016" w:type="pct"/>
            <w:shd w:val="clear" w:color="auto" w:fill="auto"/>
            <w:vAlign w:val="bottom"/>
          </w:tcPr>
          <w:p w14:paraId="7E5A61EC" w14:textId="77777777" w:rsidR="00B117BE" w:rsidRPr="006644A8" w:rsidRDefault="00B117BE" w:rsidP="00B117BE">
            <w:pPr>
              <w:pStyle w:val="Bodytext"/>
              <w:spacing w:after="60"/>
            </w:pPr>
            <w:r w:rsidRPr="006644A8">
              <w:t>Donations from individuals</w:t>
            </w:r>
          </w:p>
        </w:tc>
        <w:tc>
          <w:tcPr>
            <w:tcW w:w="767" w:type="pct"/>
            <w:shd w:val="clear" w:color="auto" w:fill="D9D9D9" w:themeFill="background1" w:themeFillShade="D9"/>
            <w:vAlign w:val="center"/>
          </w:tcPr>
          <w:p w14:paraId="6C6B9324" w14:textId="4986C32C" w:rsidR="00B117BE" w:rsidRPr="00C82F1D" w:rsidRDefault="00B117BE" w:rsidP="00B117BE">
            <w:pPr>
              <w:pStyle w:val="Bodytext"/>
              <w:jc w:val="right"/>
            </w:pPr>
            <w:r>
              <w:rPr>
                <w:rFonts w:cs="Arial"/>
                <w:color w:val="424141"/>
                <w:szCs w:val="22"/>
              </w:rPr>
              <w:t>284</w:t>
            </w:r>
          </w:p>
        </w:tc>
        <w:tc>
          <w:tcPr>
            <w:tcW w:w="640" w:type="pct"/>
            <w:vAlign w:val="center"/>
          </w:tcPr>
          <w:p w14:paraId="75F8C862" w14:textId="51FA56E9" w:rsidR="00B117BE" w:rsidRPr="00C82F1D" w:rsidRDefault="00B117BE" w:rsidP="00B117BE">
            <w:pPr>
              <w:pStyle w:val="Bodytext"/>
              <w:jc w:val="right"/>
              <w:rPr>
                <w:color w:val="A6A6A6" w:themeColor="background1" w:themeShade="A6"/>
              </w:rPr>
            </w:pPr>
            <w:r>
              <w:rPr>
                <w:rFonts w:cs="Arial"/>
                <w:color w:val="A6A6A6"/>
                <w:szCs w:val="22"/>
              </w:rPr>
              <w:t>257</w:t>
            </w:r>
          </w:p>
        </w:tc>
        <w:tc>
          <w:tcPr>
            <w:tcW w:w="655" w:type="pct"/>
            <w:shd w:val="clear" w:color="auto" w:fill="D9D9D9" w:themeFill="background1" w:themeFillShade="D9"/>
            <w:vAlign w:val="center"/>
          </w:tcPr>
          <w:p w14:paraId="642C3EA0" w14:textId="0BE50004" w:rsidR="00B117BE" w:rsidRPr="00C82F1D" w:rsidRDefault="00B117BE" w:rsidP="00B117BE">
            <w:pPr>
              <w:pStyle w:val="Bodytext"/>
              <w:jc w:val="right"/>
            </w:pPr>
            <w:r>
              <w:rPr>
                <w:rFonts w:cs="Arial"/>
                <w:color w:val="424141"/>
                <w:szCs w:val="22"/>
              </w:rPr>
              <w:t>432</w:t>
            </w:r>
          </w:p>
        </w:tc>
        <w:tc>
          <w:tcPr>
            <w:tcW w:w="641" w:type="pct"/>
            <w:vAlign w:val="center"/>
          </w:tcPr>
          <w:p w14:paraId="106B770A" w14:textId="6B3E44FC" w:rsidR="00B117BE" w:rsidRPr="00C82F1D" w:rsidRDefault="00B117BE" w:rsidP="00B117BE">
            <w:pPr>
              <w:pStyle w:val="Bodytext"/>
              <w:jc w:val="right"/>
              <w:rPr>
                <w:color w:val="A6A6A6" w:themeColor="background1" w:themeShade="A6"/>
              </w:rPr>
            </w:pPr>
            <w:r>
              <w:rPr>
                <w:rFonts w:cs="Arial"/>
                <w:color w:val="A6A6A6"/>
                <w:szCs w:val="22"/>
              </w:rPr>
              <w:t>551</w:t>
            </w:r>
          </w:p>
        </w:tc>
        <w:tc>
          <w:tcPr>
            <w:tcW w:w="641" w:type="pct"/>
            <w:shd w:val="clear" w:color="auto" w:fill="D9D9D9" w:themeFill="background1" w:themeFillShade="D9"/>
            <w:vAlign w:val="center"/>
          </w:tcPr>
          <w:p w14:paraId="05C2783A" w14:textId="4EE965D7" w:rsidR="00B117BE" w:rsidRPr="003D5865" w:rsidRDefault="00B117BE" w:rsidP="00B117BE">
            <w:pPr>
              <w:pStyle w:val="Bodytext"/>
              <w:jc w:val="right"/>
            </w:pPr>
            <w:r>
              <w:rPr>
                <w:rFonts w:cs="Arial"/>
                <w:color w:val="424141"/>
                <w:szCs w:val="22"/>
              </w:rPr>
              <w:t>716</w:t>
            </w:r>
          </w:p>
        </w:tc>
        <w:tc>
          <w:tcPr>
            <w:tcW w:w="639" w:type="pct"/>
            <w:shd w:val="clear" w:color="auto" w:fill="auto"/>
            <w:vAlign w:val="center"/>
          </w:tcPr>
          <w:p w14:paraId="108B0863" w14:textId="6AF4D154" w:rsidR="00B117BE" w:rsidRPr="00C82F1D" w:rsidRDefault="00B117BE" w:rsidP="00B117BE">
            <w:pPr>
              <w:pStyle w:val="Bodytext"/>
              <w:jc w:val="right"/>
            </w:pPr>
            <w:r>
              <w:rPr>
                <w:rFonts w:cs="Arial"/>
                <w:color w:val="A6A6A6"/>
                <w:szCs w:val="22"/>
              </w:rPr>
              <w:t>808</w:t>
            </w:r>
          </w:p>
        </w:tc>
      </w:tr>
      <w:tr w:rsidR="00B117BE" w:rsidRPr="006644A8" w14:paraId="5F3EAF63" w14:textId="77777777" w:rsidTr="00052572">
        <w:tc>
          <w:tcPr>
            <w:tcW w:w="1016" w:type="pct"/>
            <w:shd w:val="clear" w:color="auto" w:fill="auto"/>
            <w:vAlign w:val="bottom"/>
          </w:tcPr>
          <w:p w14:paraId="27518D86" w14:textId="77777777" w:rsidR="00B117BE" w:rsidRPr="006644A8" w:rsidRDefault="00B117BE" w:rsidP="00B117BE">
            <w:pPr>
              <w:pStyle w:val="Bodytext"/>
              <w:spacing w:after="60"/>
            </w:pPr>
            <w:r w:rsidRPr="006644A8">
              <w:t>Corporate donations</w:t>
            </w:r>
          </w:p>
        </w:tc>
        <w:tc>
          <w:tcPr>
            <w:tcW w:w="767" w:type="pct"/>
            <w:shd w:val="clear" w:color="auto" w:fill="D9D9D9" w:themeFill="background1" w:themeFillShade="D9"/>
            <w:vAlign w:val="center"/>
          </w:tcPr>
          <w:p w14:paraId="7EAF0A5E" w14:textId="4D0F76C1" w:rsidR="00B117BE" w:rsidRPr="00C82F1D" w:rsidRDefault="00B117BE" w:rsidP="00B117BE">
            <w:pPr>
              <w:pStyle w:val="Bodytext"/>
              <w:jc w:val="right"/>
            </w:pPr>
            <w:r>
              <w:rPr>
                <w:rFonts w:cs="Arial"/>
                <w:color w:val="424141"/>
                <w:szCs w:val="22"/>
              </w:rPr>
              <w:t>147</w:t>
            </w:r>
          </w:p>
        </w:tc>
        <w:tc>
          <w:tcPr>
            <w:tcW w:w="640" w:type="pct"/>
            <w:vAlign w:val="center"/>
          </w:tcPr>
          <w:p w14:paraId="1C2DBD4C" w14:textId="654BB209" w:rsidR="00B117BE" w:rsidRPr="00C82F1D" w:rsidRDefault="00B117BE" w:rsidP="00B117BE">
            <w:pPr>
              <w:pStyle w:val="Bodytext"/>
              <w:jc w:val="right"/>
              <w:rPr>
                <w:color w:val="A6A6A6" w:themeColor="background1" w:themeShade="A6"/>
              </w:rPr>
            </w:pPr>
            <w:r>
              <w:rPr>
                <w:rFonts w:cs="Arial"/>
                <w:color w:val="A6A6A6"/>
                <w:szCs w:val="22"/>
              </w:rPr>
              <w:t>150</w:t>
            </w:r>
          </w:p>
        </w:tc>
        <w:tc>
          <w:tcPr>
            <w:tcW w:w="655" w:type="pct"/>
            <w:shd w:val="clear" w:color="auto" w:fill="D9D9D9" w:themeFill="background1" w:themeFillShade="D9"/>
            <w:vAlign w:val="center"/>
          </w:tcPr>
          <w:p w14:paraId="21C3DDE9" w14:textId="23FA0100" w:rsidR="00B117BE" w:rsidRPr="00C82F1D" w:rsidRDefault="00B117BE" w:rsidP="00B117BE">
            <w:pPr>
              <w:pStyle w:val="Bodytext"/>
              <w:jc w:val="right"/>
            </w:pPr>
            <w:r>
              <w:rPr>
                <w:rFonts w:cs="Arial"/>
                <w:color w:val="424141"/>
                <w:szCs w:val="22"/>
              </w:rPr>
              <w:t>550</w:t>
            </w:r>
          </w:p>
        </w:tc>
        <w:tc>
          <w:tcPr>
            <w:tcW w:w="641" w:type="pct"/>
            <w:vAlign w:val="center"/>
          </w:tcPr>
          <w:p w14:paraId="7224EA31" w14:textId="49052EE5" w:rsidR="00B117BE" w:rsidRPr="00C82F1D" w:rsidRDefault="00B117BE" w:rsidP="00B117BE">
            <w:pPr>
              <w:pStyle w:val="Bodytext"/>
              <w:jc w:val="right"/>
              <w:rPr>
                <w:color w:val="A6A6A6" w:themeColor="background1" w:themeShade="A6"/>
              </w:rPr>
            </w:pPr>
            <w:r>
              <w:rPr>
                <w:rFonts w:cs="Arial"/>
                <w:color w:val="A6A6A6"/>
                <w:szCs w:val="22"/>
              </w:rPr>
              <w:t>451</w:t>
            </w:r>
          </w:p>
        </w:tc>
        <w:tc>
          <w:tcPr>
            <w:tcW w:w="641" w:type="pct"/>
            <w:shd w:val="clear" w:color="auto" w:fill="D9D9D9" w:themeFill="background1" w:themeFillShade="D9"/>
            <w:vAlign w:val="center"/>
          </w:tcPr>
          <w:p w14:paraId="0D393CA2" w14:textId="66E4F57C" w:rsidR="00B117BE" w:rsidRPr="003D5865" w:rsidRDefault="00B117BE" w:rsidP="00B117BE">
            <w:pPr>
              <w:pStyle w:val="Bodytext"/>
              <w:jc w:val="right"/>
            </w:pPr>
            <w:r>
              <w:rPr>
                <w:rFonts w:cs="Arial"/>
                <w:color w:val="424141"/>
                <w:szCs w:val="22"/>
              </w:rPr>
              <w:t>697</w:t>
            </w:r>
          </w:p>
        </w:tc>
        <w:tc>
          <w:tcPr>
            <w:tcW w:w="639" w:type="pct"/>
            <w:shd w:val="clear" w:color="auto" w:fill="auto"/>
            <w:vAlign w:val="center"/>
          </w:tcPr>
          <w:p w14:paraId="67D7DCCE" w14:textId="78AA7E45" w:rsidR="00B117BE" w:rsidRPr="00C82F1D" w:rsidRDefault="00B117BE" w:rsidP="00B117BE">
            <w:pPr>
              <w:pStyle w:val="Bodytext"/>
              <w:jc w:val="right"/>
            </w:pPr>
            <w:r>
              <w:rPr>
                <w:rFonts w:cs="Arial"/>
                <w:color w:val="A6A6A6"/>
                <w:szCs w:val="22"/>
              </w:rPr>
              <w:t>601</w:t>
            </w:r>
          </w:p>
        </w:tc>
      </w:tr>
      <w:tr w:rsidR="00B117BE" w:rsidRPr="006644A8" w14:paraId="714DF098" w14:textId="77777777" w:rsidTr="00052572">
        <w:tc>
          <w:tcPr>
            <w:tcW w:w="1016" w:type="pct"/>
            <w:shd w:val="clear" w:color="auto" w:fill="auto"/>
          </w:tcPr>
          <w:p w14:paraId="02DB6008" w14:textId="77777777" w:rsidR="00B117BE" w:rsidRPr="006644A8" w:rsidRDefault="00B117BE" w:rsidP="00B117BE">
            <w:pPr>
              <w:pStyle w:val="Bodytext"/>
              <w:spacing w:after="60"/>
            </w:pPr>
            <w:r w:rsidRPr="006644A8">
              <w:t>Legacies</w:t>
            </w:r>
          </w:p>
        </w:tc>
        <w:tc>
          <w:tcPr>
            <w:tcW w:w="767" w:type="pct"/>
            <w:shd w:val="clear" w:color="auto" w:fill="D9D9D9" w:themeFill="background1" w:themeFillShade="D9"/>
            <w:vAlign w:val="center"/>
          </w:tcPr>
          <w:p w14:paraId="34FFB812" w14:textId="3FBB104E" w:rsidR="00B117BE" w:rsidRPr="00C82F1D" w:rsidRDefault="00B117BE" w:rsidP="00B117BE">
            <w:pPr>
              <w:pStyle w:val="Bodytext"/>
              <w:jc w:val="right"/>
            </w:pPr>
            <w:r>
              <w:rPr>
                <w:rFonts w:cs="Arial"/>
                <w:color w:val="424141"/>
                <w:szCs w:val="22"/>
              </w:rPr>
              <w:t>280</w:t>
            </w:r>
          </w:p>
        </w:tc>
        <w:tc>
          <w:tcPr>
            <w:tcW w:w="640" w:type="pct"/>
            <w:vAlign w:val="center"/>
          </w:tcPr>
          <w:p w14:paraId="514567FA" w14:textId="066D6844" w:rsidR="00B117BE" w:rsidRPr="00C82F1D" w:rsidRDefault="00B117BE" w:rsidP="00B117BE">
            <w:pPr>
              <w:pStyle w:val="Bodytext"/>
              <w:jc w:val="right"/>
              <w:rPr>
                <w:color w:val="A6A6A6" w:themeColor="background1" w:themeShade="A6"/>
              </w:rPr>
            </w:pPr>
            <w:r>
              <w:rPr>
                <w:rFonts w:cs="Arial"/>
                <w:color w:val="A6A6A6"/>
                <w:szCs w:val="22"/>
              </w:rPr>
              <w:t>250</w:t>
            </w:r>
          </w:p>
        </w:tc>
        <w:tc>
          <w:tcPr>
            <w:tcW w:w="655" w:type="pct"/>
            <w:shd w:val="clear" w:color="auto" w:fill="D9D9D9" w:themeFill="background1" w:themeFillShade="D9"/>
            <w:vAlign w:val="center"/>
          </w:tcPr>
          <w:p w14:paraId="6EB2BFB4" w14:textId="50B29054" w:rsidR="00B117BE" w:rsidRPr="00C82F1D" w:rsidRDefault="00B117BE" w:rsidP="00B117BE">
            <w:pPr>
              <w:pStyle w:val="Bodytext"/>
              <w:jc w:val="right"/>
            </w:pPr>
            <w:r>
              <w:rPr>
                <w:rFonts w:cs="Arial"/>
                <w:color w:val="424141"/>
                <w:szCs w:val="22"/>
              </w:rPr>
              <w:t> </w:t>
            </w:r>
          </w:p>
        </w:tc>
        <w:tc>
          <w:tcPr>
            <w:tcW w:w="641" w:type="pct"/>
            <w:vAlign w:val="center"/>
          </w:tcPr>
          <w:p w14:paraId="5A714D15" w14:textId="6D57C885" w:rsidR="00B117BE" w:rsidRPr="00C82F1D" w:rsidRDefault="00B117BE" w:rsidP="00B117BE">
            <w:pPr>
              <w:pStyle w:val="Bodytext"/>
              <w:jc w:val="right"/>
              <w:rPr>
                <w:color w:val="A6A6A6" w:themeColor="background1" w:themeShade="A6"/>
              </w:rPr>
            </w:pPr>
            <w:r>
              <w:rPr>
                <w:rFonts w:cs="Arial"/>
                <w:color w:val="A6A6A6"/>
                <w:szCs w:val="22"/>
              </w:rPr>
              <w:t> </w:t>
            </w:r>
          </w:p>
        </w:tc>
        <w:tc>
          <w:tcPr>
            <w:tcW w:w="641" w:type="pct"/>
            <w:shd w:val="clear" w:color="auto" w:fill="D9D9D9" w:themeFill="background1" w:themeFillShade="D9"/>
            <w:vAlign w:val="center"/>
          </w:tcPr>
          <w:p w14:paraId="47A6FFA9" w14:textId="2E45A9B5" w:rsidR="00B117BE" w:rsidRPr="003D5865" w:rsidRDefault="00B117BE" w:rsidP="00B117BE">
            <w:pPr>
              <w:pStyle w:val="Bodytext"/>
              <w:jc w:val="right"/>
            </w:pPr>
            <w:r>
              <w:rPr>
                <w:rFonts w:cs="Arial"/>
                <w:color w:val="424141"/>
                <w:szCs w:val="22"/>
              </w:rPr>
              <w:t>280</w:t>
            </w:r>
          </w:p>
        </w:tc>
        <w:tc>
          <w:tcPr>
            <w:tcW w:w="639" w:type="pct"/>
            <w:shd w:val="clear" w:color="auto" w:fill="auto"/>
            <w:vAlign w:val="center"/>
          </w:tcPr>
          <w:p w14:paraId="6CAAD8D9" w14:textId="418C56A7" w:rsidR="00B117BE" w:rsidRPr="00C82F1D" w:rsidRDefault="00B117BE" w:rsidP="00B117BE">
            <w:pPr>
              <w:pStyle w:val="Bodytext"/>
              <w:jc w:val="right"/>
            </w:pPr>
            <w:r>
              <w:rPr>
                <w:rFonts w:cs="Arial"/>
                <w:color w:val="A6A6A6"/>
                <w:szCs w:val="22"/>
              </w:rPr>
              <w:t>250</w:t>
            </w:r>
          </w:p>
        </w:tc>
      </w:tr>
      <w:tr w:rsidR="00B117BE" w:rsidRPr="006644A8" w14:paraId="069EE9BA" w14:textId="77777777" w:rsidTr="00052572">
        <w:tc>
          <w:tcPr>
            <w:tcW w:w="1016" w:type="pct"/>
            <w:shd w:val="clear" w:color="auto" w:fill="auto"/>
          </w:tcPr>
          <w:p w14:paraId="5613E97C" w14:textId="77777777" w:rsidR="00B117BE" w:rsidRPr="006644A8" w:rsidRDefault="00B117BE" w:rsidP="00B117BE">
            <w:pPr>
              <w:pStyle w:val="Bodytext"/>
              <w:spacing w:after="60"/>
            </w:pPr>
            <w:r w:rsidRPr="006644A8">
              <w:t>Grants</w:t>
            </w:r>
          </w:p>
        </w:tc>
        <w:tc>
          <w:tcPr>
            <w:tcW w:w="767" w:type="pct"/>
            <w:tcBorders>
              <w:bottom w:val="single" w:sz="4" w:space="0" w:color="auto"/>
            </w:tcBorders>
            <w:shd w:val="clear" w:color="auto" w:fill="D9D9D9" w:themeFill="background1" w:themeFillShade="D9"/>
            <w:vAlign w:val="center"/>
          </w:tcPr>
          <w:p w14:paraId="54F11409" w14:textId="11261265" w:rsidR="00B117BE" w:rsidRPr="00C82F1D" w:rsidRDefault="00B117BE" w:rsidP="00B117BE">
            <w:pPr>
              <w:pStyle w:val="Bodytext"/>
              <w:jc w:val="right"/>
            </w:pPr>
            <w:r>
              <w:rPr>
                <w:rFonts w:cs="Arial"/>
                <w:color w:val="424141"/>
                <w:szCs w:val="22"/>
              </w:rPr>
              <w:t>1</w:t>
            </w:r>
            <w:r w:rsidR="00D61BA2">
              <w:rPr>
                <w:rFonts w:cs="Arial"/>
                <w:color w:val="424141"/>
                <w:szCs w:val="22"/>
              </w:rPr>
              <w:t>0</w:t>
            </w:r>
            <w:r>
              <w:rPr>
                <w:rFonts w:cs="Arial"/>
                <w:color w:val="424141"/>
                <w:szCs w:val="22"/>
              </w:rPr>
              <w:t>8</w:t>
            </w:r>
          </w:p>
        </w:tc>
        <w:tc>
          <w:tcPr>
            <w:tcW w:w="640" w:type="pct"/>
            <w:tcBorders>
              <w:bottom w:val="single" w:sz="4" w:space="0" w:color="auto"/>
            </w:tcBorders>
            <w:vAlign w:val="center"/>
          </w:tcPr>
          <w:p w14:paraId="3F9A7CE1" w14:textId="512131CE" w:rsidR="00B117BE" w:rsidRPr="00C82F1D" w:rsidRDefault="00B117BE" w:rsidP="00B117BE">
            <w:pPr>
              <w:pStyle w:val="Bodytext"/>
              <w:jc w:val="right"/>
              <w:rPr>
                <w:color w:val="A6A6A6" w:themeColor="background1" w:themeShade="A6"/>
              </w:rPr>
            </w:pPr>
            <w:r>
              <w:rPr>
                <w:rFonts w:cs="Arial"/>
                <w:color w:val="A6A6A6"/>
                <w:szCs w:val="22"/>
              </w:rPr>
              <w:t>155</w:t>
            </w:r>
          </w:p>
        </w:tc>
        <w:tc>
          <w:tcPr>
            <w:tcW w:w="655" w:type="pct"/>
            <w:tcBorders>
              <w:bottom w:val="single" w:sz="4" w:space="0" w:color="auto"/>
            </w:tcBorders>
            <w:shd w:val="clear" w:color="auto" w:fill="D9D9D9" w:themeFill="background1" w:themeFillShade="D9"/>
            <w:vAlign w:val="center"/>
          </w:tcPr>
          <w:p w14:paraId="24B594E3" w14:textId="06FC05DB" w:rsidR="00B117BE" w:rsidRPr="00C82F1D" w:rsidRDefault="00B117BE" w:rsidP="00B117BE">
            <w:pPr>
              <w:pStyle w:val="Bodytext"/>
              <w:jc w:val="right"/>
            </w:pPr>
            <w:r>
              <w:rPr>
                <w:rFonts w:cs="Arial"/>
                <w:color w:val="424141"/>
                <w:szCs w:val="22"/>
              </w:rPr>
              <w:t> </w:t>
            </w:r>
          </w:p>
        </w:tc>
        <w:tc>
          <w:tcPr>
            <w:tcW w:w="641" w:type="pct"/>
            <w:tcBorders>
              <w:bottom w:val="single" w:sz="4" w:space="0" w:color="auto"/>
            </w:tcBorders>
            <w:vAlign w:val="center"/>
          </w:tcPr>
          <w:p w14:paraId="651D9770" w14:textId="01809F14" w:rsidR="00B117BE" w:rsidRPr="00C82F1D" w:rsidRDefault="00B117BE" w:rsidP="00B117BE">
            <w:pPr>
              <w:pStyle w:val="Bodytext"/>
              <w:jc w:val="right"/>
              <w:rPr>
                <w:color w:val="A6A6A6" w:themeColor="background1" w:themeShade="A6"/>
              </w:rPr>
            </w:pPr>
            <w:r>
              <w:rPr>
                <w:rFonts w:cs="Arial"/>
                <w:color w:val="A6A6A6"/>
                <w:szCs w:val="22"/>
              </w:rPr>
              <w:t>100</w:t>
            </w:r>
          </w:p>
        </w:tc>
        <w:tc>
          <w:tcPr>
            <w:tcW w:w="641" w:type="pct"/>
            <w:tcBorders>
              <w:bottom w:val="single" w:sz="4" w:space="0" w:color="auto"/>
            </w:tcBorders>
            <w:shd w:val="clear" w:color="auto" w:fill="D9D9D9" w:themeFill="background1" w:themeFillShade="D9"/>
            <w:vAlign w:val="center"/>
          </w:tcPr>
          <w:p w14:paraId="3B478EC3" w14:textId="7C9C748B" w:rsidR="00B117BE" w:rsidRPr="003D5865" w:rsidRDefault="00B117BE" w:rsidP="00B117BE">
            <w:pPr>
              <w:pStyle w:val="Bodytext"/>
              <w:jc w:val="right"/>
            </w:pPr>
            <w:r>
              <w:rPr>
                <w:rFonts w:cs="Arial"/>
                <w:color w:val="424141"/>
                <w:szCs w:val="22"/>
              </w:rPr>
              <w:t>1</w:t>
            </w:r>
            <w:r w:rsidR="00007645">
              <w:rPr>
                <w:rFonts w:cs="Arial"/>
                <w:color w:val="424141"/>
                <w:szCs w:val="22"/>
              </w:rPr>
              <w:t>0</w:t>
            </w:r>
            <w:r>
              <w:rPr>
                <w:rFonts w:cs="Arial"/>
                <w:color w:val="424141"/>
                <w:szCs w:val="22"/>
              </w:rPr>
              <w:t xml:space="preserve">8 </w:t>
            </w:r>
          </w:p>
        </w:tc>
        <w:tc>
          <w:tcPr>
            <w:tcW w:w="639" w:type="pct"/>
            <w:tcBorders>
              <w:bottom w:val="single" w:sz="4" w:space="0" w:color="auto"/>
            </w:tcBorders>
            <w:shd w:val="clear" w:color="auto" w:fill="auto"/>
            <w:vAlign w:val="center"/>
          </w:tcPr>
          <w:p w14:paraId="433C97F8" w14:textId="0ABF73A5" w:rsidR="00B117BE" w:rsidRPr="00C82F1D" w:rsidRDefault="00B117BE" w:rsidP="00B117BE">
            <w:pPr>
              <w:pStyle w:val="Bodytext"/>
              <w:jc w:val="right"/>
            </w:pPr>
            <w:r>
              <w:rPr>
                <w:rFonts w:cs="Arial"/>
                <w:color w:val="A6A6A6"/>
                <w:szCs w:val="22"/>
              </w:rPr>
              <w:t>255</w:t>
            </w:r>
          </w:p>
        </w:tc>
      </w:tr>
      <w:tr w:rsidR="00B117BE" w:rsidRPr="005D68E9" w14:paraId="26F3B767" w14:textId="77777777" w:rsidTr="00052572">
        <w:tc>
          <w:tcPr>
            <w:tcW w:w="1016" w:type="pct"/>
            <w:shd w:val="clear" w:color="auto" w:fill="auto"/>
          </w:tcPr>
          <w:p w14:paraId="197935E0" w14:textId="77777777" w:rsidR="00B117BE" w:rsidRPr="003030F2" w:rsidRDefault="00B117BE" w:rsidP="00B117BE">
            <w:pPr>
              <w:pStyle w:val="Bodytext"/>
              <w:spacing w:after="60"/>
              <w:rPr>
                <w:b/>
              </w:rPr>
            </w:pPr>
            <w:r w:rsidRPr="003030F2">
              <w:rPr>
                <w:b/>
              </w:rPr>
              <w:t>Total</w:t>
            </w:r>
          </w:p>
        </w:tc>
        <w:tc>
          <w:tcPr>
            <w:tcW w:w="767" w:type="pct"/>
            <w:tcBorders>
              <w:top w:val="single" w:sz="4" w:space="0" w:color="auto"/>
              <w:bottom w:val="double" w:sz="4" w:space="0" w:color="auto"/>
            </w:tcBorders>
            <w:shd w:val="clear" w:color="auto" w:fill="D9D9D9" w:themeFill="background1" w:themeFillShade="D9"/>
            <w:vAlign w:val="center"/>
          </w:tcPr>
          <w:p w14:paraId="5A1499C8" w14:textId="1930001E" w:rsidR="00B117BE" w:rsidRPr="003030F2" w:rsidRDefault="00B117BE" w:rsidP="00B117BE">
            <w:pPr>
              <w:pStyle w:val="Bodytext"/>
              <w:spacing w:after="60"/>
              <w:jc w:val="right"/>
              <w:rPr>
                <w:b/>
              </w:rPr>
            </w:pPr>
            <w:r>
              <w:rPr>
                <w:rFonts w:cs="Arial"/>
                <w:b/>
                <w:bCs/>
                <w:color w:val="424141"/>
                <w:szCs w:val="22"/>
              </w:rPr>
              <w:t>8</w:t>
            </w:r>
            <w:r w:rsidR="00D61BA2">
              <w:rPr>
                <w:rFonts w:cs="Arial"/>
                <w:b/>
                <w:bCs/>
                <w:color w:val="424141"/>
                <w:szCs w:val="22"/>
              </w:rPr>
              <w:t>1</w:t>
            </w:r>
            <w:r>
              <w:rPr>
                <w:rFonts w:cs="Arial"/>
                <w:b/>
                <w:bCs/>
                <w:color w:val="424141"/>
                <w:szCs w:val="22"/>
              </w:rPr>
              <w:t>9</w:t>
            </w:r>
          </w:p>
        </w:tc>
        <w:tc>
          <w:tcPr>
            <w:tcW w:w="640" w:type="pct"/>
            <w:tcBorders>
              <w:top w:val="single" w:sz="4" w:space="0" w:color="auto"/>
              <w:bottom w:val="double" w:sz="4" w:space="0" w:color="auto"/>
            </w:tcBorders>
            <w:vAlign w:val="center"/>
          </w:tcPr>
          <w:p w14:paraId="635C6B77" w14:textId="01F6E966" w:rsidR="00B117BE" w:rsidRPr="00C82F1D" w:rsidRDefault="00B117BE" w:rsidP="00B117BE">
            <w:pPr>
              <w:pStyle w:val="Bodytext"/>
              <w:spacing w:after="60"/>
              <w:jc w:val="right"/>
              <w:rPr>
                <w:b/>
                <w:color w:val="A6A6A6" w:themeColor="background1" w:themeShade="A6"/>
              </w:rPr>
            </w:pPr>
            <w:r>
              <w:rPr>
                <w:rFonts w:cs="Arial"/>
                <w:b/>
                <w:bCs/>
                <w:color w:val="A6A6A6"/>
                <w:szCs w:val="22"/>
              </w:rPr>
              <w:t>812</w:t>
            </w:r>
          </w:p>
        </w:tc>
        <w:tc>
          <w:tcPr>
            <w:tcW w:w="655" w:type="pct"/>
            <w:tcBorders>
              <w:top w:val="single" w:sz="4" w:space="0" w:color="auto"/>
              <w:bottom w:val="double" w:sz="4" w:space="0" w:color="auto"/>
            </w:tcBorders>
            <w:shd w:val="clear" w:color="auto" w:fill="D9D9D9" w:themeFill="background1" w:themeFillShade="D9"/>
            <w:vAlign w:val="center"/>
          </w:tcPr>
          <w:p w14:paraId="6B939DF4" w14:textId="7864A5E0" w:rsidR="00B117BE" w:rsidRPr="003030F2" w:rsidRDefault="00B117BE" w:rsidP="00B117BE">
            <w:pPr>
              <w:pStyle w:val="Bodytext"/>
              <w:spacing w:after="60"/>
              <w:jc w:val="right"/>
              <w:rPr>
                <w:b/>
              </w:rPr>
            </w:pPr>
            <w:r>
              <w:rPr>
                <w:rFonts w:cs="Arial"/>
                <w:b/>
                <w:bCs/>
                <w:color w:val="424141"/>
                <w:szCs w:val="22"/>
              </w:rPr>
              <w:t>982</w:t>
            </w:r>
          </w:p>
        </w:tc>
        <w:tc>
          <w:tcPr>
            <w:tcW w:w="641" w:type="pct"/>
            <w:tcBorders>
              <w:top w:val="single" w:sz="4" w:space="0" w:color="auto"/>
              <w:bottom w:val="double" w:sz="4" w:space="0" w:color="auto"/>
            </w:tcBorders>
            <w:vAlign w:val="center"/>
          </w:tcPr>
          <w:p w14:paraId="191F7ECC" w14:textId="7BEF3CA4" w:rsidR="00B117BE" w:rsidRPr="00C82F1D" w:rsidRDefault="00B117BE" w:rsidP="00B117BE">
            <w:pPr>
              <w:pStyle w:val="Bodytext"/>
              <w:spacing w:after="60"/>
              <w:jc w:val="right"/>
              <w:rPr>
                <w:b/>
                <w:color w:val="A6A6A6" w:themeColor="background1" w:themeShade="A6"/>
              </w:rPr>
            </w:pPr>
            <w:r>
              <w:rPr>
                <w:rFonts w:cs="Arial"/>
                <w:b/>
                <w:bCs/>
                <w:color w:val="A6A6A6"/>
                <w:szCs w:val="22"/>
              </w:rPr>
              <w:t>1</w:t>
            </w:r>
            <w:r w:rsidR="009952AD">
              <w:rPr>
                <w:rFonts w:cs="Arial"/>
                <w:b/>
                <w:bCs/>
                <w:color w:val="A6A6A6"/>
                <w:szCs w:val="22"/>
              </w:rPr>
              <w:t>,</w:t>
            </w:r>
            <w:r>
              <w:rPr>
                <w:rFonts w:cs="Arial"/>
                <w:b/>
                <w:bCs/>
                <w:color w:val="A6A6A6"/>
                <w:szCs w:val="22"/>
              </w:rPr>
              <w:t>102</w:t>
            </w:r>
          </w:p>
        </w:tc>
        <w:tc>
          <w:tcPr>
            <w:tcW w:w="641" w:type="pct"/>
            <w:tcBorders>
              <w:top w:val="single" w:sz="4" w:space="0" w:color="auto"/>
              <w:bottom w:val="double" w:sz="4" w:space="0" w:color="auto"/>
            </w:tcBorders>
            <w:shd w:val="clear" w:color="auto" w:fill="D9D9D9" w:themeFill="background1" w:themeFillShade="D9"/>
            <w:vAlign w:val="center"/>
          </w:tcPr>
          <w:p w14:paraId="685013FA" w14:textId="6181500B" w:rsidR="00B117BE" w:rsidRPr="003D5865" w:rsidRDefault="00B117BE" w:rsidP="00B117BE">
            <w:pPr>
              <w:pStyle w:val="Bodytext"/>
              <w:jc w:val="right"/>
            </w:pPr>
            <w:r>
              <w:rPr>
                <w:rFonts w:cs="Arial"/>
                <w:b/>
                <w:bCs/>
                <w:color w:val="424141"/>
                <w:szCs w:val="22"/>
              </w:rPr>
              <w:t>1,8</w:t>
            </w:r>
            <w:r w:rsidR="00D61BA2">
              <w:rPr>
                <w:rFonts w:cs="Arial"/>
                <w:b/>
                <w:bCs/>
                <w:color w:val="424141"/>
                <w:szCs w:val="22"/>
              </w:rPr>
              <w:t>0</w:t>
            </w:r>
            <w:r>
              <w:rPr>
                <w:rFonts w:cs="Arial"/>
                <w:b/>
                <w:bCs/>
                <w:color w:val="424141"/>
                <w:szCs w:val="22"/>
              </w:rPr>
              <w:t>1</w:t>
            </w:r>
          </w:p>
        </w:tc>
        <w:tc>
          <w:tcPr>
            <w:tcW w:w="639" w:type="pct"/>
            <w:tcBorders>
              <w:top w:val="single" w:sz="4" w:space="0" w:color="auto"/>
              <w:bottom w:val="double" w:sz="4" w:space="0" w:color="auto"/>
            </w:tcBorders>
            <w:shd w:val="clear" w:color="auto" w:fill="auto"/>
            <w:vAlign w:val="center"/>
          </w:tcPr>
          <w:p w14:paraId="631B3CAD" w14:textId="6A9106EF" w:rsidR="00B117BE" w:rsidRPr="002B08DA" w:rsidRDefault="00B117BE" w:rsidP="00B117BE">
            <w:pPr>
              <w:pStyle w:val="Bodytext"/>
              <w:spacing w:after="60"/>
              <w:jc w:val="right"/>
              <w:rPr>
                <w:b/>
                <w:color w:val="A6A6A6" w:themeColor="background1" w:themeShade="A6"/>
              </w:rPr>
            </w:pPr>
            <w:r>
              <w:rPr>
                <w:rFonts w:cs="Arial"/>
                <w:b/>
                <w:bCs/>
                <w:color w:val="A6A6A6"/>
                <w:szCs w:val="22"/>
              </w:rPr>
              <w:t>1,914</w:t>
            </w:r>
          </w:p>
        </w:tc>
      </w:tr>
    </w:tbl>
    <w:p w14:paraId="6ECFBC3D" w14:textId="77777777" w:rsidR="00D9313C" w:rsidRPr="006644A8" w:rsidRDefault="00D9313C" w:rsidP="00D9313C">
      <w:pPr>
        <w:tabs>
          <w:tab w:val="left" w:pos="9072"/>
        </w:tabs>
        <w:ind w:right="249"/>
        <w:rPr>
          <w:rFonts w:asciiTheme="minorHAnsi" w:hAnsiTheme="minorHAnsi" w:cstheme="minorHAnsi"/>
          <w:szCs w:val="22"/>
        </w:rPr>
      </w:pPr>
    </w:p>
    <w:p w14:paraId="3275577D" w14:textId="77777777" w:rsidR="00D9313C" w:rsidRDefault="00D9313C" w:rsidP="00D9313C">
      <w:pPr>
        <w:pStyle w:val="Bodytext"/>
        <w:sectPr w:rsidR="00D9313C" w:rsidSect="00237BC5">
          <w:type w:val="continuous"/>
          <w:pgSz w:w="16840" w:h="11900" w:orient="landscape"/>
          <w:pgMar w:top="1021" w:right="1701" w:bottom="1021" w:left="851" w:header="851" w:footer="851" w:gutter="0"/>
          <w:cols w:space="720"/>
          <w:titlePg/>
          <w:docGrid w:linePitch="360"/>
        </w:sectPr>
      </w:pPr>
    </w:p>
    <w:p w14:paraId="6F3F7751" w14:textId="492A9E00" w:rsidR="00D9313C" w:rsidRPr="006644A8" w:rsidRDefault="00D9313C" w:rsidP="00D9313C">
      <w:pPr>
        <w:pStyle w:val="Bodytext"/>
      </w:pPr>
      <w:r w:rsidRPr="006644A8">
        <w:t>Donations from individuals are gifts from members of the public, relatives of patients and staff.</w:t>
      </w:r>
      <w:r>
        <w:t xml:space="preserve"> </w:t>
      </w:r>
      <w:r w:rsidRPr="006644A8">
        <w:t>This income is</w:t>
      </w:r>
      <w:r>
        <w:t xml:space="preserve"> usually</w:t>
      </w:r>
      <w:r w:rsidRPr="006644A8">
        <w:t xml:space="preserve"> collected through our collection boxes around the </w:t>
      </w:r>
      <w:r>
        <w:t>Healthville</w:t>
      </w:r>
      <w:r w:rsidRPr="006644A8">
        <w:t xml:space="preserve"> Hospital as well </w:t>
      </w:r>
      <w:r w:rsidRPr="006644A8">
        <w:t xml:space="preserve">as our annual collection at the May meeting at </w:t>
      </w:r>
      <w:r>
        <w:t>Healthville</w:t>
      </w:r>
      <w:r w:rsidRPr="006644A8">
        <w:t xml:space="preserve"> Racecourse.</w:t>
      </w:r>
      <w:r>
        <w:t xml:space="preserve"> </w:t>
      </w:r>
    </w:p>
    <w:p w14:paraId="70D15988" w14:textId="77777777" w:rsidR="00D9313C" w:rsidRDefault="00D9313C" w:rsidP="00D9313C">
      <w:pPr>
        <w:pStyle w:val="Heading3"/>
        <w:sectPr w:rsidR="00D9313C" w:rsidSect="00237BC5">
          <w:type w:val="continuous"/>
          <w:pgSz w:w="16840" w:h="11900" w:orient="landscape"/>
          <w:pgMar w:top="1021" w:right="1701" w:bottom="1021" w:left="851" w:header="851" w:footer="851" w:gutter="0"/>
          <w:cols w:num="2" w:space="720"/>
          <w:titlePg/>
          <w:docGrid w:linePitch="360"/>
        </w:sectPr>
      </w:pPr>
    </w:p>
    <w:p w14:paraId="718275A9" w14:textId="77777777" w:rsidR="00D9313C" w:rsidRPr="006644A8" w:rsidRDefault="00D9313C" w:rsidP="0027415E">
      <w:pPr>
        <w:pStyle w:val="TableTitle"/>
        <w:keepNext/>
      </w:pPr>
      <w:r>
        <w:lastRenderedPageBreak/>
        <w:t xml:space="preserve">4 </w:t>
      </w:r>
      <w:r w:rsidRPr="006644A8">
        <w:t xml:space="preserve">Analysis </w:t>
      </w:r>
      <w:r>
        <w:t xml:space="preserve">of </w:t>
      </w:r>
      <w:r w:rsidRPr="006644A8">
        <w:t xml:space="preserve">income from </w:t>
      </w:r>
      <w:r>
        <w:t>charitable activities</w:t>
      </w:r>
    </w:p>
    <w:tbl>
      <w:tblPr>
        <w:tblW w:w="500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2192"/>
        <w:gridCol w:w="1829"/>
        <w:gridCol w:w="1872"/>
        <w:gridCol w:w="1832"/>
        <w:gridCol w:w="1832"/>
        <w:gridCol w:w="1826"/>
      </w:tblGrid>
      <w:tr w:rsidR="00D9313C" w:rsidRPr="006644A8" w14:paraId="11E5EDBC" w14:textId="77777777" w:rsidTr="007F1988">
        <w:tc>
          <w:tcPr>
            <w:tcW w:w="5000" w:type="pct"/>
            <w:gridSpan w:val="7"/>
            <w:shd w:val="clear" w:color="auto" w:fill="auto"/>
          </w:tcPr>
          <w:p w14:paraId="45B3BE0F" w14:textId="77777777" w:rsidR="00D9313C" w:rsidRDefault="00D9313C" w:rsidP="0027415E">
            <w:pPr>
              <w:pStyle w:val="Bodytext"/>
              <w:keepNext/>
            </w:pPr>
            <w:r w:rsidRPr="006644A8">
              <w:t xml:space="preserve">Paragraph 4.42 of the </w:t>
            </w:r>
            <w:r>
              <w:t>SORP FRS 102</w:t>
            </w:r>
            <w:r w:rsidRPr="006644A8">
              <w:t xml:space="preserve"> requires that the notes to the accounts provide an analysis of the material components of income included within each analysis heading of the SoFA. </w:t>
            </w:r>
          </w:p>
          <w:p w14:paraId="63CEDC4A" w14:textId="5C1B39F2" w:rsidR="00007645" w:rsidRPr="00950A26" w:rsidRDefault="002D60F8" w:rsidP="0027415E">
            <w:pPr>
              <w:pStyle w:val="Bodytext"/>
              <w:keepNext/>
              <w:rPr>
                <w:b/>
                <w:bCs/>
                <w:i/>
                <w:iCs/>
              </w:rPr>
            </w:pPr>
            <w:r>
              <w:t>Paragraphs 4.32 and 4.34 state that grants that are conditional on delivering certain levels or volumes of a service or supply of charitable goods are performance related grants. These should be disclosed as income from charitable activities in the SOFA</w:t>
            </w:r>
            <w:r w:rsidR="00A5177C">
              <w:t xml:space="preserve">. The HFMA’s briefing </w:t>
            </w:r>
            <w:r w:rsidR="00A5177C">
              <w:rPr>
                <w:i/>
                <w:iCs/>
              </w:rPr>
              <w:t>Income recognition for NHS charities</w:t>
            </w:r>
            <w:r w:rsidR="000427A6">
              <w:rPr>
                <w:rStyle w:val="FootnoteReference"/>
                <w:i/>
                <w:iCs/>
              </w:rPr>
              <w:footnoteReference w:id="27"/>
            </w:r>
            <w:r>
              <w:t>.</w:t>
            </w:r>
            <w:r w:rsidR="000427A6">
              <w:t>provides further guidance on recognising grant income.</w:t>
            </w:r>
          </w:p>
        </w:tc>
      </w:tr>
      <w:tr w:rsidR="00D9313C" w:rsidRPr="005D68E9" w14:paraId="6A1F495F" w14:textId="77777777" w:rsidTr="007F1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1017" w:type="pct"/>
            <w:shd w:val="clear" w:color="auto" w:fill="auto"/>
            <w:vAlign w:val="bottom"/>
          </w:tcPr>
          <w:p w14:paraId="2ABA544F" w14:textId="77777777" w:rsidR="00D9313C" w:rsidRPr="003030F2" w:rsidRDefault="00D9313C" w:rsidP="0027415E">
            <w:pPr>
              <w:pStyle w:val="Bodytext"/>
              <w:keepNext/>
              <w:spacing w:after="60"/>
              <w:rPr>
                <w:b/>
              </w:rPr>
            </w:pPr>
          </w:p>
        </w:tc>
        <w:tc>
          <w:tcPr>
            <w:tcW w:w="1407" w:type="pct"/>
            <w:gridSpan w:val="2"/>
            <w:shd w:val="clear" w:color="auto" w:fill="auto"/>
            <w:vAlign w:val="bottom"/>
          </w:tcPr>
          <w:p w14:paraId="4941313E" w14:textId="77777777" w:rsidR="00D9313C" w:rsidRPr="003030F2" w:rsidRDefault="00D9313C" w:rsidP="000F6C2D">
            <w:pPr>
              <w:pStyle w:val="Bodytext"/>
              <w:keepNext/>
              <w:spacing w:after="60"/>
              <w:jc w:val="center"/>
              <w:rPr>
                <w:b/>
              </w:rPr>
            </w:pPr>
            <w:r w:rsidRPr="003030F2">
              <w:rPr>
                <w:b/>
              </w:rPr>
              <w:t>Unrestricted funds</w:t>
            </w:r>
          </w:p>
        </w:tc>
        <w:tc>
          <w:tcPr>
            <w:tcW w:w="1296" w:type="pct"/>
            <w:gridSpan w:val="2"/>
            <w:shd w:val="clear" w:color="auto" w:fill="auto"/>
            <w:vAlign w:val="bottom"/>
          </w:tcPr>
          <w:p w14:paraId="650AE97E" w14:textId="77777777" w:rsidR="00D9313C" w:rsidRPr="003030F2" w:rsidRDefault="00D9313C" w:rsidP="000F6C2D">
            <w:pPr>
              <w:pStyle w:val="Bodytext"/>
              <w:keepNext/>
              <w:spacing w:after="60"/>
              <w:jc w:val="center"/>
              <w:rPr>
                <w:b/>
              </w:rPr>
            </w:pPr>
            <w:r w:rsidRPr="003030F2">
              <w:rPr>
                <w:b/>
              </w:rPr>
              <w:t>Restricted funds</w:t>
            </w:r>
          </w:p>
        </w:tc>
        <w:tc>
          <w:tcPr>
            <w:tcW w:w="1280" w:type="pct"/>
            <w:gridSpan w:val="2"/>
            <w:shd w:val="clear" w:color="auto" w:fill="auto"/>
            <w:vAlign w:val="bottom"/>
          </w:tcPr>
          <w:p w14:paraId="6EAC7C09" w14:textId="77777777" w:rsidR="00D9313C" w:rsidRPr="003030F2" w:rsidRDefault="00D9313C" w:rsidP="000F6C2D">
            <w:pPr>
              <w:pStyle w:val="Bodytext"/>
              <w:keepNext/>
              <w:spacing w:after="60"/>
              <w:jc w:val="center"/>
              <w:rPr>
                <w:b/>
              </w:rPr>
            </w:pPr>
            <w:r w:rsidRPr="003030F2">
              <w:rPr>
                <w:b/>
              </w:rPr>
              <w:t>Total</w:t>
            </w:r>
          </w:p>
        </w:tc>
      </w:tr>
      <w:tr w:rsidR="007F1988" w:rsidRPr="005D68E9" w14:paraId="096C2741" w14:textId="77777777" w:rsidTr="007F1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1017" w:type="pct"/>
            <w:shd w:val="clear" w:color="auto" w:fill="auto"/>
            <w:vAlign w:val="bottom"/>
          </w:tcPr>
          <w:p w14:paraId="4D4EB520" w14:textId="77777777" w:rsidR="007F1988" w:rsidRPr="003030F2" w:rsidRDefault="007F1988" w:rsidP="007F1988">
            <w:pPr>
              <w:pStyle w:val="Bodytext"/>
              <w:keepNext/>
              <w:spacing w:after="60"/>
              <w:rPr>
                <w:b/>
              </w:rPr>
            </w:pPr>
          </w:p>
        </w:tc>
        <w:tc>
          <w:tcPr>
            <w:tcW w:w="767" w:type="pct"/>
            <w:shd w:val="clear" w:color="auto" w:fill="D9D9D9" w:themeFill="background1" w:themeFillShade="D9"/>
          </w:tcPr>
          <w:p w14:paraId="5F8770E1" w14:textId="73147134" w:rsidR="007F1988" w:rsidRDefault="007F1988" w:rsidP="007F1988">
            <w:pPr>
              <w:pStyle w:val="Bodytext"/>
              <w:keepNext/>
              <w:spacing w:after="60"/>
              <w:jc w:val="right"/>
              <w:rPr>
                <w:b/>
              </w:rPr>
            </w:pPr>
            <w:r>
              <w:rPr>
                <w:b/>
              </w:rPr>
              <w:t>202</w:t>
            </w:r>
            <w:r w:rsidR="00E66F60">
              <w:rPr>
                <w:b/>
              </w:rPr>
              <w:t>3</w:t>
            </w:r>
            <w:r>
              <w:rPr>
                <w:b/>
              </w:rPr>
              <w:t>/2</w:t>
            </w:r>
            <w:r w:rsidR="00E66F60">
              <w:rPr>
                <w:b/>
              </w:rPr>
              <w:t>4</w:t>
            </w:r>
          </w:p>
          <w:p w14:paraId="6A0242EC" w14:textId="77777777" w:rsidR="007F1988" w:rsidRPr="003030F2" w:rsidRDefault="007F1988" w:rsidP="007F1988">
            <w:pPr>
              <w:pStyle w:val="Bodytext"/>
              <w:keepNext/>
              <w:spacing w:after="60"/>
              <w:jc w:val="right"/>
              <w:rPr>
                <w:b/>
              </w:rPr>
            </w:pPr>
            <w:r>
              <w:rPr>
                <w:b/>
              </w:rPr>
              <w:t>£000</w:t>
            </w:r>
          </w:p>
        </w:tc>
        <w:tc>
          <w:tcPr>
            <w:tcW w:w="640" w:type="pct"/>
          </w:tcPr>
          <w:p w14:paraId="73CE5A1B" w14:textId="01B6994D" w:rsidR="007F1988" w:rsidRPr="002B08DA" w:rsidRDefault="007F1988" w:rsidP="007F1988">
            <w:pPr>
              <w:pStyle w:val="Bodytext"/>
              <w:keepNext/>
              <w:spacing w:after="60"/>
              <w:jc w:val="right"/>
              <w:rPr>
                <w:b/>
                <w:color w:val="A6A6A6" w:themeColor="background1" w:themeShade="A6"/>
              </w:rPr>
            </w:pPr>
            <w:r>
              <w:rPr>
                <w:b/>
                <w:color w:val="A6A6A6" w:themeColor="background1" w:themeShade="A6"/>
              </w:rPr>
              <w:t>202</w:t>
            </w:r>
            <w:r w:rsidR="00E66F60">
              <w:rPr>
                <w:b/>
                <w:color w:val="A6A6A6" w:themeColor="background1" w:themeShade="A6"/>
              </w:rPr>
              <w:t>2</w:t>
            </w:r>
            <w:r>
              <w:rPr>
                <w:b/>
                <w:color w:val="A6A6A6" w:themeColor="background1" w:themeShade="A6"/>
              </w:rPr>
              <w:t>/2</w:t>
            </w:r>
            <w:r w:rsidR="00E66F60">
              <w:rPr>
                <w:b/>
                <w:color w:val="A6A6A6" w:themeColor="background1" w:themeShade="A6"/>
              </w:rPr>
              <w:t>3</w:t>
            </w:r>
          </w:p>
          <w:p w14:paraId="4E63C01C" w14:textId="77777777" w:rsidR="007F1988" w:rsidRPr="002B08DA" w:rsidRDefault="007F1988" w:rsidP="007F1988">
            <w:pPr>
              <w:pStyle w:val="Bodytext"/>
              <w:keepNext/>
              <w:spacing w:after="60"/>
              <w:jc w:val="right"/>
              <w:rPr>
                <w:b/>
                <w:color w:val="A6A6A6" w:themeColor="background1" w:themeShade="A6"/>
              </w:rPr>
            </w:pPr>
            <w:r w:rsidRPr="002B08DA">
              <w:rPr>
                <w:b/>
                <w:color w:val="A6A6A6" w:themeColor="background1" w:themeShade="A6"/>
              </w:rPr>
              <w:t>£000</w:t>
            </w:r>
          </w:p>
        </w:tc>
        <w:tc>
          <w:tcPr>
            <w:tcW w:w="655" w:type="pct"/>
            <w:shd w:val="clear" w:color="auto" w:fill="D9D9D9" w:themeFill="background1" w:themeFillShade="D9"/>
          </w:tcPr>
          <w:p w14:paraId="7CED4992" w14:textId="75BF7AB8" w:rsidR="007F1988" w:rsidRDefault="007F1988" w:rsidP="007F1988">
            <w:pPr>
              <w:pStyle w:val="Bodytext"/>
              <w:keepNext/>
              <w:spacing w:after="60"/>
              <w:jc w:val="right"/>
              <w:rPr>
                <w:b/>
              </w:rPr>
            </w:pPr>
            <w:r>
              <w:rPr>
                <w:b/>
              </w:rPr>
              <w:t>202</w:t>
            </w:r>
            <w:r w:rsidR="00E66F60">
              <w:rPr>
                <w:b/>
              </w:rPr>
              <w:t>3</w:t>
            </w:r>
            <w:r>
              <w:rPr>
                <w:b/>
              </w:rPr>
              <w:t>/2</w:t>
            </w:r>
            <w:r w:rsidR="00E66F60">
              <w:rPr>
                <w:b/>
              </w:rPr>
              <w:t>4</w:t>
            </w:r>
          </w:p>
          <w:p w14:paraId="68606909" w14:textId="28B4D9F1" w:rsidR="007F1988" w:rsidRPr="003030F2" w:rsidRDefault="007F1988" w:rsidP="007F1988">
            <w:pPr>
              <w:pStyle w:val="Bodytext"/>
              <w:keepNext/>
              <w:spacing w:after="60"/>
              <w:jc w:val="right"/>
              <w:rPr>
                <w:b/>
              </w:rPr>
            </w:pPr>
            <w:r>
              <w:rPr>
                <w:b/>
              </w:rPr>
              <w:t>£000</w:t>
            </w:r>
          </w:p>
        </w:tc>
        <w:tc>
          <w:tcPr>
            <w:tcW w:w="641" w:type="pct"/>
          </w:tcPr>
          <w:p w14:paraId="681A815D" w14:textId="09C9AF20" w:rsidR="007F1988" w:rsidRPr="002B08DA" w:rsidRDefault="007F1988" w:rsidP="007F1988">
            <w:pPr>
              <w:pStyle w:val="Bodytext"/>
              <w:keepNext/>
              <w:spacing w:after="60"/>
              <w:jc w:val="right"/>
              <w:rPr>
                <w:b/>
                <w:color w:val="A6A6A6" w:themeColor="background1" w:themeShade="A6"/>
              </w:rPr>
            </w:pPr>
            <w:r>
              <w:rPr>
                <w:b/>
                <w:color w:val="A6A6A6" w:themeColor="background1" w:themeShade="A6"/>
              </w:rPr>
              <w:t>202</w:t>
            </w:r>
            <w:r w:rsidR="00E66F60">
              <w:rPr>
                <w:b/>
                <w:color w:val="A6A6A6" w:themeColor="background1" w:themeShade="A6"/>
              </w:rPr>
              <w:t>2</w:t>
            </w:r>
            <w:r>
              <w:rPr>
                <w:b/>
                <w:color w:val="A6A6A6" w:themeColor="background1" w:themeShade="A6"/>
              </w:rPr>
              <w:t>/2</w:t>
            </w:r>
            <w:r w:rsidR="00E66F60">
              <w:rPr>
                <w:b/>
                <w:color w:val="A6A6A6" w:themeColor="background1" w:themeShade="A6"/>
              </w:rPr>
              <w:t>3</w:t>
            </w:r>
          </w:p>
          <w:p w14:paraId="07F982AF" w14:textId="6FDD1AD1" w:rsidR="007F1988" w:rsidRPr="002B08DA" w:rsidRDefault="007F1988" w:rsidP="007F1988">
            <w:pPr>
              <w:pStyle w:val="Bodytext"/>
              <w:keepNext/>
              <w:spacing w:after="60"/>
              <w:jc w:val="right"/>
              <w:rPr>
                <w:b/>
                <w:color w:val="A6A6A6" w:themeColor="background1" w:themeShade="A6"/>
              </w:rPr>
            </w:pPr>
            <w:r w:rsidRPr="002B08DA">
              <w:rPr>
                <w:b/>
                <w:color w:val="A6A6A6" w:themeColor="background1" w:themeShade="A6"/>
              </w:rPr>
              <w:t>£000</w:t>
            </w:r>
          </w:p>
        </w:tc>
        <w:tc>
          <w:tcPr>
            <w:tcW w:w="641" w:type="pct"/>
            <w:shd w:val="clear" w:color="auto" w:fill="D9D9D9" w:themeFill="background1" w:themeFillShade="D9"/>
          </w:tcPr>
          <w:p w14:paraId="17C3E7BE" w14:textId="13F6262B" w:rsidR="007F1988" w:rsidRDefault="007F1988" w:rsidP="007F1988">
            <w:pPr>
              <w:pStyle w:val="Bodytext"/>
              <w:keepNext/>
              <w:spacing w:after="60"/>
              <w:jc w:val="right"/>
              <w:rPr>
                <w:b/>
              </w:rPr>
            </w:pPr>
            <w:r>
              <w:rPr>
                <w:b/>
              </w:rPr>
              <w:t>202</w:t>
            </w:r>
            <w:r w:rsidR="00E66F60">
              <w:rPr>
                <w:b/>
              </w:rPr>
              <w:t>3</w:t>
            </w:r>
            <w:r>
              <w:rPr>
                <w:b/>
              </w:rPr>
              <w:t>/2</w:t>
            </w:r>
            <w:r w:rsidR="00E66F60">
              <w:rPr>
                <w:b/>
              </w:rPr>
              <w:t>4</w:t>
            </w:r>
          </w:p>
          <w:p w14:paraId="382D4DC5" w14:textId="7E4752E0" w:rsidR="007F1988" w:rsidRPr="003030F2" w:rsidRDefault="007F1988" w:rsidP="007F1988">
            <w:pPr>
              <w:pStyle w:val="Bodytext"/>
              <w:keepNext/>
              <w:spacing w:after="60"/>
              <w:jc w:val="right"/>
              <w:rPr>
                <w:b/>
              </w:rPr>
            </w:pPr>
            <w:r>
              <w:rPr>
                <w:b/>
              </w:rPr>
              <w:t>£000</w:t>
            </w:r>
          </w:p>
        </w:tc>
        <w:tc>
          <w:tcPr>
            <w:tcW w:w="639" w:type="pct"/>
            <w:shd w:val="clear" w:color="auto" w:fill="auto"/>
          </w:tcPr>
          <w:p w14:paraId="4C025FE9" w14:textId="5AE71684" w:rsidR="007F1988" w:rsidRPr="002B08DA" w:rsidRDefault="007F1988" w:rsidP="007F1988">
            <w:pPr>
              <w:pStyle w:val="Bodytext"/>
              <w:keepNext/>
              <w:spacing w:after="60"/>
              <w:jc w:val="right"/>
              <w:rPr>
                <w:b/>
                <w:color w:val="A6A6A6" w:themeColor="background1" w:themeShade="A6"/>
              </w:rPr>
            </w:pPr>
            <w:r>
              <w:rPr>
                <w:b/>
                <w:color w:val="A6A6A6" w:themeColor="background1" w:themeShade="A6"/>
              </w:rPr>
              <w:t>202</w:t>
            </w:r>
            <w:r w:rsidR="00E66F60">
              <w:rPr>
                <w:b/>
                <w:color w:val="A6A6A6" w:themeColor="background1" w:themeShade="A6"/>
              </w:rPr>
              <w:t>2</w:t>
            </w:r>
            <w:r>
              <w:rPr>
                <w:b/>
                <w:color w:val="A6A6A6" w:themeColor="background1" w:themeShade="A6"/>
              </w:rPr>
              <w:t>/2</w:t>
            </w:r>
            <w:r w:rsidR="00E66F60">
              <w:rPr>
                <w:b/>
                <w:color w:val="A6A6A6" w:themeColor="background1" w:themeShade="A6"/>
              </w:rPr>
              <w:t>3</w:t>
            </w:r>
          </w:p>
          <w:p w14:paraId="445B9B93" w14:textId="506FCD82" w:rsidR="007F1988" w:rsidRPr="002B08DA" w:rsidRDefault="007F1988" w:rsidP="007F1988">
            <w:pPr>
              <w:pStyle w:val="Bodytext"/>
              <w:keepNext/>
              <w:spacing w:after="60"/>
              <w:jc w:val="right"/>
              <w:rPr>
                <w:b/>
                <w:color w:val="A6A6A6" w:themeColor="background1" w:themeShade="A6"/>
              </w:rPr>
            </w:pPr>
            <w:r w:rsidRPr="002B08DA">
              <w:rPr>
                <w:b/>
                <w:color w:val="A6A6A6" w:themeColor="background1" w:themeShade="A6"/>
              </w:rPr>
              <w:t>£000</w:t>
            </w:r>
          </w:p>
        </w:tc>
      </w:tr>
      <w:tr w:rsidR="00E111A6" w:rsidRPr="006644A8" w14:paraId="7FCBB3AC" w14:textId="77777777" w:rsidTr="007F1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1017" w:type="pct"/>
            <w:shd w:val="clear" w:color="auto" w:fill="auto"/>
            <w:vAlign w:val="bottom"/>
          </w:tcPr>
          <w:p w14:paraId="152A9BB8" w14:textId="318F2256" w:rsidR="00E111A6" w:rsidRPr="00E111A6" w:rsidRDefault="00464696" w:rsidP="00E111A6">
            <w:pPr>
              <w:pStyle w:val="Bodytext"/>
              <w:keepNext/>
              <w:spacing w:after="60"/>
            </w:pPr>
            <w:r w:rsidRPr="00464696">
              <w:t>Wellcome Grant</w:t>
            </w:r>
          </w:p>
        </w:tc>
        <w:tc>
          <w:tcPr>
            <w:tcW w:w="767" w:type="pct"/>
            <w:shd w:val="clear" w:color="auto" w:fill="D9D9D9" w:themeFill="background1" w:themeFillShade="D9"/>
            <w:vAlign w:val="center"/>
          </w:tcPr>
          <w:p w14:paraId="1EA490AD" w14:textId="3185EC99" w:rsidR="00E111A6" w:rsidRPr="006644A8" w:rsidRDefault="00E111A6" w:rsidP="00E111A6">
            <w:pPr>
              <w:pStyle w:val="Bodytext"/>
              <w:keepNext/>
              <w:spacing w:after="60"/>
              <w:jc w:val="right"/>
            </w:pPr>
            <w:r>
              <w:rPr>
                <w:rFonts w:cs="Arial"/>
                <w:color w:val="424141"/>
                <w:szCs w:val="22"/>
              </w:rPr>
              <w:t> </w:t>
            </w:r>
          </w:p>
        </w:tc>
        <w:tc>
          <w:tcPr>
            <w:tcW w:w="640" w:type="pct"/>
            <w:vAlign w:val="center"/>
          </w:tcPr>
          <w:p w14:paraId="2A4F047B" w14:textId="6AE00D91" w:rsidR="00E111A6" w:rsidRPr="002B08DA" w:rsidRDefault="00E111A6" w:rsidP="00E111A6">
            <w:pPr>
              <w:pStyle w:val="Bodytext"/>
              <w:keepNext/>
              <w:spacing w:after="60"/>
              <w:jc w:val="right"/>
              <w:rPr>
                <w:color w:val="A6A6A6" w:themeColor="background1" w:themeShade="A6"/>
              </w:rPr>
            </w:pPr>
            <w:r>
              <w:rPr>
                <w:rFonts w:cs="Arial"/>
                <w:color w:val="A6A6A6"/>
                <w:szCs w:val="22"/>
              </w:rPr>
              <w:t> </w:t>
            </w:r>
          </w:p>
        </w:tc>
        <w:tc>
          <w:tcPr>
            <w:tcW w:w="655" w:type="pct"/>
            <w:shd w:val="clear" w:color="auto" w:fill="D9D9D9" w:themeFill="background1" w:themeFillShade="D9"/>
            <w:vAlign w:val="center"/>
          </w:tcPr>
          <w:p w14:paraId="346BAF09" w14:textId="020BCCED" w:rsidR="00E111A6" w:rsidRPr="006644A8" w:rsidRDefault="002A0EFF" w:rsidP="00E111A6">
            <w:pPr>
              <w:pStyle w:val="Bodytext"/>
              <w:keepNext/>
              <w:spacing w:after="60"/>
              <w:jc w:val="right"/>
            </w:pPr>
            <w:r>
              <w:rPr>
                <w:rFonts w:cs="Arial"/>
                <w:color w:val="A6A6A6"/>
                <w:szCs w:val="22"/>
              </w:rPr>
              <w:t>20</w:t>
            </w:r>
            <w:r w:rsidR="00E111A6">
              <w:rPr>
                <w:rFonts w:cs="Arial"/>
                <w:color w:val="A6A6A6"/>
                <w:szCs w:val="22"/>
              </w:rPr>
              <w:t> </w:t>
            </w:r>
          </w:p>
        </w:tc>
        <w:tc>
          <w:tcPr>
            <w:tcW w:w="641" w:type="pct"/>
            <w:vAlign w:val="center"/>
          </w:tcPr>
          <w:p w14:paraId="2226C9A2" w14:textId="204B05C5" w:rsidR="00E111A6" w:rsidRPr="002B08DA" w:rsidRDefault="00E111A6" w:rsidP="00E111A6">
            <w:pPr>
              <w:pStyle w:val="Bodytext"/>
              <w:keepNext/>
              <w:spacing w:after="60"/>
              <w:jc w:val="right"/>
              <w:rPr>
                <w:color w:val="A6A6A6" w:themeColor="background1" w:themeShade="A6"/>
              </w:rPr>
            </w:pPr>
          </w:p>
        </w:tc>
        <w:tc>
          <w:tcPr>
            <w:tcW w:w="641" w:type="pct"/>
            <w:shd w:val="clear" w:color="auto" w:fill="D9D9D9" w:themeFill="background1" w:themeFillShade="D9"/>
            <w:vAlign w:val="center"/>
          </w:tcPr>
          <w:p w14:paraId="45120BC4" w14:textId="4FAC1B9B" w:rsidR="00E111A6" w:rsidRPr="006644A8" w:rsidRDefault="002A0EFF" w:rsidP="00E111A6">
            <w:pPr>
              <w:pStyle w:val="Bodytext"/>
              <w:keepNext/>
              <w:spacing w:after="60"/>
              <w:jc w:val="right"/>
            </w:pPr>
            <w:r>
              <w:t>20</w:t>
            </w:r>
          </w:p>
        </w:tc>
        <w:tc>
          <w:tcPr>
            <w:tcW w:w="639" w:type="pct"/>
            <w:shd w:val="clear" w:color="auto" w:fill="auto"/>
            <w:vAlign w:val="center"/>
          </w:tcPr>
          <w:p w14:paraId="605A35B8" w14:textId="38E89D59" w:rsidR="00E111A6" w:rsidRPr="002B08DA" w:rsidRDefault="00E111A6" w:rsidP="00E111A6">
            <w:pPr>
              <w:pStyle w:val="Bodytext"/>
              <w:keepNext/>
              <w:spacing w:after="60"/>
              <w:jc w:val="right"/>
              <w:rPr>
                <w:color w:val="A6A6A6" w:themeColor="background1" w:themeShade="A6"/>
              </w:rPr>
            </w:pPr>
          </w:p>
        </w:tc>
      </w:tr>
      <w:tr w:rsidR="00E111A6" w:rsidRPr="006644A8" w14:paraId="423B25DE" w14:textId="77777777" w:rsidTr="007F1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1017" w:type="pct"/>
            <w:shd w:val="clear" w:color="auto" w:fill="auto"/>
            <w:vAlign w:val="bottom"/>
          </w:tcPr>
          <w:p w14:paraId="44B8D9E6" w14:textId="77777777" w:rsidR="00E111A6" w:rsidRPr="00E111A6" w:rsidDel="00F9035A" w:rsidRDefault="00E111A6" w:rsidP="00E111A6">
            <w:pPr>
              <w:pStyle w:val="Bodytext"/>
              <w:keepNext/>
              <w:spacing w:after="60"/>
            </w:pPr>
            <w:r w:rsidRPr="00E111A6">
              <w:t>Stage 3 grant from NHS Charities Together</w:t>
            </w:r>
          </w:p>
        </w:tc>
        <w:tc>
          <w:tcPr>
            <w:tcW w:w="767" w:type="pct"/>
            <w:shd w:val="clear" w:color="auto" w:fill="D9D9D9" w:themeFill="background1" w:themeFillShade="D9"/>
            <w:vAlign w:val="center"/>
          </w:tcPr>
          <w:p w14:paraId="028C35AF" w14:textId="4EE924A4" w:rsidR="00E111A6" w:rsidRPr="006644A8" w:rsidRDefault="00E111A6" w:rsidP="00E111A6">
            <w:pPr>
              <w:pStyle w:val="Bodytext"/>
              <w:keepNext/>
              <w:spacing w:after="60"/>
              <w:jc w:val="right"/>
            </w:pPr>
            <w:r>
              <w:rPr>
                <w:rFonts w:cs="Arial"/>
                <w:color w:val="424141"/>
                <w:szCs w:val="22"/>
              </w:rPr>
              <w:t> </w:t>
            </w:r>
          </w:p>
        </w:tc>
        <w:tc>
          <w:tcPr>
            <w:tcW w:w="640" w:type="pct"/>
            <w:vAlign w:val="center"/>
          </w:tcPr>
          <w:p w14:paraId="57F427FB" w14:textId="612F8217" w:rsidR="00E111A6" w:rsidRPr="002B08DA" w:rsidRDefault="00E111A6" w:rsidP="00E111A6">
            <w:pPr>
              <w:pStyle w:val="Bodytext"/>
              <w:keepNext/>
              <w:spacing w:after="60"/>
              <w:jc w:val="right"/>
              <w:rPr>
                <w:color w:val="A6A6A6" w:themeColor="background1" w:themeShade="A6"/>
              </w:rPr>
            </w:pPr>
            <w:r>
              <w:rPr>
                <w:rFonts w:cs="Arial"/>
                <w:color w:val="A6A6A6"/>
                <w:szCs w:val="22"/>
              </w:rPr>
              <w:t> </w:t>
            </w:r>
          </w:p>
        </w:tc>
        <w:tc>
          <w:tcPr>
            <w:tcW w:w="655" w:type="pct"/>
            <w:shd w:val="clear" w:color="auto" w:fill="D9D9D9" w:themeFill="background1" w:themeFillShade="D9"/>
            <w:vAlign w:val="center"/>
          </w:tcPr>
          <w:p w14:paraId="4CAEA4DF" w14:textId="769E9660" w:rsidR="00E111A6" w:rsidRPr="006644A8" w:rsidDel="00F9035A" w:rsidRDefault="00E111A6" w:rsidP="00E111A6">
            <w:pPr>
              <w:pStyle w:val="Bodytext"/>
              <w:keepNext/>
              <w:spacing w:after="60"/>
              <w:jc w:val="right"/>
            </w:pPr>
          </w:p>
        </w:tc>
        <w:tc>
          <w:tcPr>
            <w:tcW w:w="641" w:type="pct"/>
            <w:vAlign w:val="center"/>
          </w:tcPr>
          <w:p w14:paraId="62F7E3F0" w14:textId="3CFBE1E7" w:rsidR="00E111A6" w:rsidRPr="002B08DA" w:rsidRDefault="00E111A6" w:rsidP="00E111A6">
            <w:pPr>
              <w:pStyle w:val="Bodytext"/>
              <w:keepNext/>
              <w:spacing w:after="60"/>
              <w:jc w:val="right"/>
              <w:rPr>
                <w:color w:val="A6A6A6" w:themeColor="background1" w:themeShade="A6"/>
              </w:rPr>
            </w:pPr>
            <w:r>
              <w:rPr>
                <w:rFonts w:cs="Arial"/>
                <w:color w:val="A6A6A6"/>
                <w:szCs w:val="22"/>
              </w:rPr>
              <w:t>20</w:t>
            </w:r>
          </w:p>
        </w:tc>
        <w:tc>
          <w:tcPr>
            <w:tcW w:w="641" w:type="pct"/>
            <w:shd w:val="clear" w:color="auto" w:fill="D9D9D9" w:themeFill="background1" w:themeFillShade="D9"/>
            <w:vAlign w:val="center"/>
          </w:tcPr>
          <w:p w14:paraId="5AF061BA" w14:textId="26162CAB" w:rsidR="00E111A6" w:rsidRPr="006644A8" w:rsidDel="00F9035A" w:rsidRDefault="00E111A6" w:rsidP="00E111A6">
            <w:pPr>
              <w:pStyle w:val="Bodytext"/>
              <w:keepNext/>
              <w:spacing w:after="60"/>
              <w:jc w:val="right"/>
            </w:pPr>
          </w:p>
        </w:tc>
        <w:tc>
          <w:tcPr>
            <w:tcW w:w="639" w:type="pct"/>
            <w:shd w:val="clear" w:color="auto" w:fill="auto"/>
            <w:vAlign w:val="center"/>
          </w:tcPr>
          <w:p w14:paraId="52E1F9DB" w14:textId="3BBC561E" w:rsidR="00E111A6" w:rsidRPr="002B08DA" w:rsidRDefault="00E111A6" w:rsidP="00E111A6">
            <w:pPr>
              <w:pStyle w:val="Bodytext"/>
              <w:keepNext/>
              <w:spacing w:after="60"/>
              <w:jc w:val="right"/>
              <w:rPr>
                <w:color w:val="A6A6A6" w:themeColor="background1" w:themeShade="A6"/>
              </w:rPr>
            </w:pPr>
            <w:r>
              <w:rPr>
                <w:rFonts w:cs="Arial"/>
                <w:color w:val="A6A6A6"/>
                <w:szCs w:val="22"/>
              </w:rPr>
              <w:t>20</w:t>
            </w:r>
          </w:p>
        </w:tc>
      </w:tr>
      <w:tr w:rsidR="00E111A6" w:rsidRPr="006644A8" w14:paraId="195041A1" w14:textId="77777777" w:rsidTr="007F1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1017" w:type="pct"/>
            <w:shd w:val="clear" w:color="auto" w:fill="auto"/>
            <w:vAlign w:val="bottom"/>
          </w:tcPr>
          <w:p w14:paraId="72289148" w14:textId="77777777" w:rsidR="00E111A6" w:rsidRPr="00E111A6" w:rsidRDefault="00E111A6" w:rsidP="00E111A6">
            <w:pPr>
              <w:pStyle w:val="Bodytext"/>
              <w:keepNext/>
              <w:spacing w:after="60"/>
            </w:pPr>
            <w:r w:rsidRPr="00E111A6">
              <w:t xml:space="preserve">Other </w:t>
            </w:r>
          </w:p>
        </w:tc>
        <w:tc>
          <w:tcPr>
            <w:tcW w:w="767" w:type="pct"/>
            <w:shd w:val="clear" w:color="auto" w:fill="D9D9D9" w:themeFill="background1" w:themeFillShade="D9"/>
            <w:vAlign w:val="center"/>
          </w:tcPr>
          <w:p w14:paraId="195A7CFB" w14:textId="43408701" w:rsidR="00E111A6" w:rsidRPr="006644A8" w:rsidRDefault="00E111A6" w:rsidP="00E111A6">
            <w:pPr>
              <w:pStyle w:val="Bodytext"/>
              <w:keepNext/>
              <w:spacing w:after="60"/>
              <w:jc w:val="right"/>
            </w:pPr>
            <w:r>
              <w:rPr>
                <w:rFonts w:cs="Arial"/>
                <w:color w:val="424141"/>
                <w:szCs w:val="22"/>
              </w:rPr>
              <w:t>10</w:t>
            </w:r>
          </w:p>
        </w:tc>
        <w:tc>
          <w:tcPr>
            <w:tcW w:w="640" w:type="pct"/>
            <w:vAlign w:val="center"/>
          </w:tcPr>
          <w:p w14:paraId="3F796C8B" w14:textId="1D87FD7E" w:rsidR="00E111A6" w:rsidRPr="002B08DA" w:rsidRDefault="00E111A6" w:rsidP="00E111A6">
            <w:pPr>
              <w:pStyle w:val="Bodytext"/>
              <w:keepNext/>
              <w:spacing w:after="60"/>
              <w:jc w:val="right"/>
              <w:rPr>
                <w:color w:val="A6A6A6" w:themeColor="background1" w:themeShade="A6"/>
              </w:rPr>
            </w:pPr>
            <w:r>
              <w:rPr>
                <w:rFonts w:cs="Arial"/>
                <w:color w:val="A6A6A6"/>
                <w:szCs w:val="22"/>
              </w:rPr>
              <w:t>3</w:t>
            </w:r>
          </w:p>
        </w:tc>
        <w:tc>
          <w:tcPr>
            <w:tcW w:w="655" w:type="pct"/>
            <w:shd w:val="clear" w:color="auto" w:fill="D9D9D9" w:themeFill="background1" w:themeFillShade="D9"/>
            <w:vAlign w:val="center"/>
          </w:tcPr>
          <w:p w14:paraId="3045F5A7" w14:textId="2ECFBF04" w:rsidR="00E111A6" w:rsidRPr="006644A8" w:rsidRDefault="002A0EFF" w:rsidP="00E111A6">
            <w:pPr>
              <w:pStyle w:val="Bodytext"/>
              <w:keepNext/>
              <w:spacing w:after="60"/>
              <w:jc w:val="right"/>
            </w:pPr>
            <w:r>
              <w:rPr>
                <w:rFonts w:cs="Arial"/>
                <w:color w:val="424141"/>
                <w:szCs w:val="22"/>
              </w:rPr>
              <w:t>10</w:t>
            </w:r>
            <w:r w:rsidR="00E111A6">
              <w:rPr>
                <w:rFonts w:cs="Arial"/>
                <w:color w:val="424141"/>
                <w:szCs w:val="22"/>
              </w:rPr>
              <w:t> </w:t>
            </w:r>
          </w:p>
        </w:tc>
        <w:tc>
          <w:tcPr>
            <w:tcW w:w="641" w:type="pct"/>
            <w:vAlign w:val="center"/>
          </w:tcPr>
          <w:p w14:paraId="06EDC364" w14:textId="01610AB7" w:rsidR="00E111A6" w:rsidRPr="002B08DA" w:rsidRDefault="00E111A6" w:rsidP="00E111A6">
            <w:pPr>
              <w:pStyle w:val="Bodytext"/>
              <w:keepNext/>
              <w:spacing w:after="60"/>
              <w:jc w:val="right"/>
              <w:rPr>
                <w:color w:val="A6A6A6" w:themeColor="background1" w:themeShade="A6"/>
              </w:rPr>
            </w:pPr>
            <w:r>
              <w:rPr>
                <w:rFonts w:cs="Arial"/>
                <w:color w:val="A6A6A6"/>
                <w:szCs w:val="22"/>
              </w:rPr>
              <w:t>9</w:t>
            </w:r>
          </w:p>
        </w:tc>
        <w:tc>
          <w:tcPr>
            <w:tcW w:w="641" w:type="pct"/>
            <w:shd w:val="clear" w:color="auto" w:fill="D9D9D9" w:themeFill="background1" w:themeFillShade="D9"/>
            <w:vAlign w:val="center"/>
          </w:tcPr>
          <w:p w14:paraId="6A6D7DE3" w14:textId="51E24F00" w:rsidR="00E111A6" w:rsidRPr="006644A8" w:rsidRDefault="004348FA" w:rsidP="00E111A6">
            <w:pPr>
              <w:pStyle w:val="Bodytext"/>
              <w:keepNext/>
              <w:spacing w:after="60"/>
              <w:jc w:val="right"/>
            </w:pPr>
            <w:r>
              <w:rPr>
                <w:rFonts w:cs="Arial"/>
                <w:color w:val="424141"/>
                <w:szCs w:val="22"/>
              </w:rPr>
              <w:t>2</w:t>
            </w:r>
            <w:r w:rsidR="00E111A6">
              <w:rPr>
                <w:rFonts w:cs="Arial"/>
                <w:color w:val="424141"/>
                <w:szCs w:val="22"/>
              </w:rPr>
              <w:t xml:space="preserve">0 </w:t>
            </w:r>
          </w:p>
        </w:tc>
        <w:tc>
          <w:tcPr>
            <w:tcW w:w="639" w:type="pct"/>
            <w:shd w:val="clear" w:color="auto" w:fill="auto"/>
            <w:vAlign w:val="center"/>
          </w:tcPr>
          <w:p w14:paraId="05834DE7" w14:textId="1C6D6BA1" w:rsidR="00E111A6" w:rsidRPr="002B08DA" w:rsidRDefault="00E111A6" w:rsidP="00E111A6">
            <w:pPr>
              <w:pStyle w:val="Bodytext"/>
              <w:keepNext/>
              <w:spacing w:after="60"/>
              <w:jc w:val="right"/>
              <w:rPr>
                <w:color w:val="A6A6A6" w:themeColor="background1" w:themeShade="A6"/>
              </w:rPr>
            </w:pPr>
            <w:r>
              <w:rPr>
                <w:rFonts w:cs="Arial"/>
                <w:color w:val="A6A6A6"/>
                <w:szCs w:val="22"/>
              </w:rPr>
              <w:t>12</w:t>
            </w:r>
          </w:p>
        </w:tc>
      </w:tr>
      <w:tr w:rsidR="00E111A6" w:rsidRPr="005D68E9" w14:paraId="0DF6BF9A" w14:textId="77777777" w:rsidTr="007F1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1017" w:type="pct"/>
            <w:shd w:val="clear" w:color="auto" w:fill="auto"/>
            <w:vAlign w:val="bottom"/>
          </w:tcPr>
          <w:p w14:paraId="36F2857F" w14:textId="77777777" w:rsidR="00E111A6" w:rsidRPr="003030F2" w:rsidRDefault="00E111A6" w:rsidP="00E111A6">
            <w:pPr>
              <w:pStyle w:val="Bodytext"/>
              <w:keepNext/>
              <w:spacing w:after="60"/>
              <w:rPr>
                <w:b/>
              </w:rPr>
            </w:pPr>
            <w:r w:rsidRPr="003030F2">
              <w:rPr>
                <w:b/>
              </w:rPr>
              <w:t>Total</w:t>
            </w:r>
          </w:p>
        </w:tc>
        <w:tc>
          <w:tcPr>
            <w:tcW w:w="767" w:type="pct"/>
            <w:tcBorders>
              <w:top w:val="single" w:sz="4" w:space="0" w:color="auto"/>
              <w:bottom w:val="double" w:sz="4" w:space="0" w:color="auto"/>
            </w:tcBorders>
            <w:shd w:val="clear" w:color="auto" w:fill="D9D9D9" w:themeFill="background1" w:themeFillShade="D9"/>
            <w:vAlign w:val="center"/>
          </w:tcPr>
          <w:p w14:paraId="10F821F8" w14:textId="2CC6BBC4" w:rsidR="00E111A6" w:rsidRPr="003030F2" w:rsidRDefault="00E111A6" w:rsidP="00E111A6">
            <w:pPr>
              <w:pStyle w:val="Bodytext"/>
              <w:keepNext/>
              <w:spacing w:after="60"/>
              <w:jc w:val="right"/>
              <w:rPr>
                <w:b/>
              </w:rPr>
            </w:pPr>
            <w:r>
              <w:rPr>
                <w:rFonts w:cs="Arial"/>
                <w:b/>
                <w:bCs/>
                <w:color w:val="424141"/>
                <w:szCs w:val="22"/>
              </w:rPr>
              <w:t>10</w:t>
            </w:r>
          </w:p>
        </w:tc>
        <w:tc>
          <w:tcPr>
            <w:tcW w:w="640" w:type="pct"/>
            <w:tcBorders>
              <w:top w:val="single" w:sz="4" w:space="0" w:color="auto"/>
              <w:bottom w:val="double" w:sz="4" w:space="0" w:color="auto"/>
            </w:tcBorders>
            <w:vAlign w:val="center"/>
          </w:tcPr>
          <w:p w14:paraId="1A3BEFDA" w14:textId="5F1E2934" w:rsidR="00E111A6" w:rsidRPr="002B08DA" w:rsidRDefault="00E111A6" w:rsidP="00E111A6">
            <w:pPr>
              <w:pStyle w:val="Bodytext"/>
              <w:keepNext/>
              <w:spacing w:after="60"/>
              <w:jc w:val="right"/>
              <w:rPr>
                <w:b/>
                <w:color w:val="A6A6A6" w:themeColor="background1" w:themeShade="A6"/>
              </w:rPr>
            </w:pPr>
            <w:r>
              <w:rPr>
                <w:rFonts w:cs="Arial"/>
                <w:b/>
                <w:bCs/>
                <w:color w:val="A6A6A6"/>
                <w:szCs w:val="22"/>
              </w:rPr>
              <w:t>3</w:t>
            </w:r>
          </w:p>
        </w:tc>
        <w:tc>
          <w:tcPr>
            <w:tcW w:w="655" w:type="pct"/>
            <w:tcBorders>
              <w:top w:val="single" w:sz="4" w:space="0" w:color="auto"/>
              <w:bottom w:val="double" w:sz="4" w:space="0" w:color="auto"/>
            </w:tcBorders>
            <w:shd w:val="clear" w:color="auto" w:fill="D9D9D9" w:themeFill="background1" w:themeFillShade="D9"/>
            <w:vAlign w:val="center"/>
          </w:tcPr>
          <w:p w14:paraId="086D3FFC" w14:textId="5323BACA" w:rsidR="00E111A6" w:rsidRPr="003030F2" w:rsidRDefault="00EB49D8" w:rsidP="00E111A6">
            <w:pPr>
              <w:pStyle w:val="Bodytext"/>
              <w:keepNext/>
              <w:spacing w:after="60"/>
              <w:jc w:val="right"/>
              <w:rPr>
                <w:b/>
              </w:rPr>
            </w:pPr>
            <w:r>
              <w:rPr>
                <w:b/>
              </w:rPr>
              <w:t>30</w:t>
            </w:r>
          </w:p>
        </w:tc>
        <w:tc>
          <w:tcPr>
            <w:tcW w:w="641" w:type="pct"/>
            <w:tcBorders>
              <w:top w:val="single" w:sz="4" w:space="0" w:color="auto"/>
              <w:bottom w:val="double" w:sz="4" w:space="0" w:color="auto"/>
            </w:tcBorders>
            <w:vAlign w:val="center"/>
          </w:tcPr>
          <w:p w14:paraId="623C6C74" w14:textId="0C8A85C8" w:rsidR="00E111A6" w:rsidRPr="002B08DA" w:rsidRDefault="00E111A6" w:rsidP="00E111A6">
            <w:pPr>
              <w:pStyle w:val="Bodytext"/>
              <w:keepNext/>
              <w:spacing w:after="60"/>
              <w:jc w:val="right"/>
              <w:rPr>
                <w:b/>
                <w:color w:val="A6A6A6" w:themeColor="background1" w:themeShade="A6"/>
              </w:rPr>
            </w:pPr>
            <w:r>
              <w:rPr>
                <w:rFonts w:cs="Arial"/>
                <w:b/>
                <w:bCs/>
                <w:color w:val="A6A6A6"/>
                <w:szCs w:val="22"/>
              </w:rPr>
              <w:t>29</w:t>
            </w:r>
          </w:p>
        </w:tc>
        <w:tc>
          <w:tcPr>
            <w:tcW w:w="641" w:type="pct"/>
            <w:tcBorders>
              <w:top w:val="single" w:sz="4" w:space="0" w:color="auto"/>
              <w:bottom w:val="double" w:sz="4" w:space="0" w:color="auto"/>
            </w:tcBorders>
            <w:shd w:val="clear" w:color="auto" w:fill="D9D9D9" w:themeFill="background1" w:themeFillShade="D9"/>
            <w:vAlign w:val="center"/>
          </w:tcPr>
          <w:p w14:paraId="43198A0A" w14:textId="38E8AB56" w:rsidR="00E111A6" w:rsidRPr="003030F2" w:rsidRDefault="00DE4BC1" w:rsidP="00E111A6">
            <w:pPr>
              <w:pStyle w:val="Bodytext"/>
              <w:keepNext/>
              <w:spacing w:after="60"/>
              <w:jc w:val="right"/>
              <w:rPr>
                <w:b/>
              </w:rPr>
            </w:pPr>
            <w:r>
              <w:rPr>
                <w:rFonts w:cs="Arial"/>
                <w:b/>
                <w:bCs/>
                <w:color w:val="424141"/>
                <w:szCs w:val="22"/>
              </w:rPr>
              <w:t>4</w:t>
            </w:r>
            <w:r w:rsidR="00E111A6">
              <w:rPr>
                <w:rFonts w:cs="Arial"/>
                <w:b/>
                <w:bCs/>
                <w:color w:val="424141"/>
                <w:szCs w:val="22"/>
              </w:rPr>
              <w:t>0</w:t>
            </w:r>
          </w:p>
        </w:tc>
        <w:tc>
          <w:tcPr>
            <w:tcW w:w="639" w:type="pct"/>
            <w:tcBorders>
              <w:top w:val="single" w:sz="4" w:space="0" w:color="auto"/>
              <w:bottom w:val="double" w:sz="4" w:space="0" w:color="auto"/>
            </w:tcBorders>
            <w:shd w:val="clear" w:color="auto" w:fill="auto"/>
            <w:vAlign w:val="center"/>
          </w:tcPr>
          <w:p w14:paraId="45D16AB0" w14:textId="288941F4" w:rsidR="00E111A6" w:rsidRPr="002B08DA" w:rsidRDefault="00E111A6" w:rsidP="00E111A6">
            <w:pPr>
              <w:pStyle w:val="Bodytext"/>
              <w:keepNext/>
              <w:spacing w:after="60"/>
              <w:jc w:val="right"/>
              <w:rPr>
                <w:b/>
                <w:color w:val="A6A6A6" w:themeColor="background1" w:themeShade="A6"/>
              </w:rPr>
            </w:pPr>
            <w:r>
              <w:rPr>
                <w:rFonts w:cs="Arial"/>
                <w:b/>
                <w:bCs/>
                <w:color w:val="A6A6A6"/>
                <w:szCs w:val="22"/>
              </w:rPr>
              <w:t>32</w:t>
            </w:r>
          </w:p>
        </w:tc>
      </w:tr>
    </w:tbl>
    <w:p w14:paraId="5C68B8B9" w14:textId="77777777" w:rsidR="008172E1" w:rsidRDefault="008172E1" w:rsidP="00B832CE">
      <w:pPr>
        <w:pStyle w:val="TableTitle"/>
      </w:pPr>
    </w:p>
    <w:p w14:paraId="69AFFF8B" w14:textId="748639EA" w:rsidR="00D9313C" w:rsidRPr="006644A8" w:rsidRDefault="00D9313C" w:rsidP="00B832CE">
      <w:pPr>
        <w:pStyle w:val="TableTitle"/>
      </w:pPr>
      <w:r>
        <w:t xml:space="preserve">5 </w:t>
      </w:r>
      <w:r w:rsidRPr="006644A8">
        <w:t xml:space="preserve">Analysis </w:t>
      </w:r>
      <w:r>
        <w:t xml:space="preserve">of </w:t>
      </w:r>
      <w:r w:rsidRPr="006644A8">
        <w:t>income from other trading activities</w:t>
      </w:r>
    </w:p>
    <w:tbl>
      <w:tblPr>
        <w:tblW w:w="500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2192"/>
        <w:gridCol w:w="1829"/>
        <w:gridCol w:w="1872"/>
        <w:gridCol w:w="1832"/>
        <w:gridCol w:w="1832"/>
        <w:gridCol w:w="1826"/>
      </w:tblGrid>
      <w:tr w:rsidR="00D9313C" w:rsidRPr="006644A8" w14:paraId="114F4477" w14:textId="77777777" w:rsidTr="00140E07">
        <w:tc>
          <w:tcPr>
            <w:tcW w:w="5000" w:type="pct"/>
            <w:gridSpan w:val="7"/>
            <w:shd w:val="clear" w:color="auto" w:fill="auto"/>
          </w:tcPr>
          <w:p w14:paraId="1FEB58D5" w14:textId="77777777" w:rsidR="00D9313C" w:rsidRPr="006644A8" w:rsidRDefault="00D9313C" w:rsidP="00EC1B15">
            <w:pPr>
              <w:pStyle w:val="Bodytext"/>
            </w:pPr>
            <w:r w:rsidRPr="006644A8">
              <w:t xml:space="preserve">Paragraph 4.42 of the </w:t>
            </w:r>
            <w:r>
              <w:t>SORP FRS 102</w:t>
            </w:r>
            <w:r w:rsidRPr="006644A8">
              <w:t xml:space="preserve"> requires that the notes to the accounts provide an analysis of the material components of income included within each analysis heading of the SoFA. </w:t>
            </w:r>
          </w:p>
          <w:p w14:paraId="22BB94FC" w14:textId="77777777" w:rsidR="00D9313C" w:rsidRPr="006644A8" w:rsidRDefault="00D9313C" w:rsidP="00EC1B15">
            <w:pPr>
              <w:pStyle w:val="Bodytext"/>
            </w:pPr>
            <w:r>
              <w:t xml:space="preserve">There is no </w:t>
            </w:r>
            <w:r w:rsidRPr="006644A8">
              <w:t>note for income from charitable activities as the amount of income is not material.</w:t>
            </w:r>
            <w:r>
              <w:t xml:space="preserve"> For this reason, there is no narrative included in this note. Where the amounts are material, narrative should be added.</w:t>
            </w:r>
          </w:p>
        </w:tc>
      </w:tr>
      <w:tr w:rsidR="00D9313C" w:rsidRPr="005D68E9" w14:paraId="42D93F4B" w14:textId="77777777" w:rsidTr="00140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17" w:type="pct"/>
            <w:shd w:val="clear" w:color="auto" w:fill="auto"/>
            <w:vAlign w:val="bottom"/>
          </w:tcPr>
          <w:p w14:paraId="59BF70CF" w14:textId="77777777" w:rsidR="00D9313C" w:rsidRPr="003030F2" w:rsidRDefault="00D9313C" w:rsidP="00EC1B15">
            <w:pPr>
              <w:pStyle w:val="Bodytext"/>
              <w:spacing w:after="60"/>
              <w:rPr>
                <w:b/>
              </w:rPr>
            </w:pPr>
          </w:p>
        </w:tc>
        <w:tc>
          <w:tcPr>
            <w:tcW w:w="1407" w:type="pct"/>
            <w:gridSpan w:val="2"/>
            <w:shd w:val="clear" w:color="auto" w:fill="auto"/>
            <w:vAlign w:val="bottom"/>
          </w:tcPr>
          <w:p w14:paraId="20578C45" w14:textId="77777777" w:rsidR="00D9313C" w:rsidRPr="003030F2" w:rsidRDefault="00D9313C" w:rsidP="00EC1B15">
            <w:pPr>
              <w:pStyle w:val="Bodytext"/>
              <w:spacing w:after="60"/>
              <w:jc w:val="right"/>
              <w:rPr>
                <w:b/>
              </w:rPr>
            </w:pPr>
            <w:r w:rsidRPr="003030F2">
              <w:rPr>
                <w:b/>
              </w:rPr>
              <w:t>Unrestricted funds</w:t>
            </w:r>
          </w:p>
        </w:tc>
        <w:tc>
          <w:tcPr>
            <w:tcW w:w="1296" w:type="pct"/>
            <w:gridSpan w:val="2"/>
            <w:shd w:val="clear" w:color="auto" w:fill="auto"/>
            <w:vAlign w:val="bottom"/>
          </w:tcPr>
          <w:p w14:paraId="59ACE917" w14:textId="77777777" w:rsidR="00D9313C" w:rsidRPr="003030F2" w:rsidRDefault="00D9313C" w:rsidP="00EC1B15">
            <w:pPr>
              <w:pStyle w:val="Bodytext"/>
              <w:spacing w:after="60"/>
              <w:jc w:val="right"/>
              <w:rPr>
                <w:b/>
              </w:rPr>
            </w:pPr>
            <w:r w:rsidRPr="003030F2">
              <w:rPr>
                <w:b/>
              </w:rPr>
              <w:t>Restricted funds</w:t>
            </w:r>
          </w:p>
        </w:tc>
        <w:tc>
          <w:tcPr>
            <w:tcW w:w="1280" w:type="pct"/>
            <w:gridSpan w:val="2"/>
            <w:shd w:val="clear" w:color="auto" w:fill="auto"/>
            <w:vAlign w:val="bottom"/>
          </w:tcPr>
          <w:p w14:paraId="5976EFC5" w14:textId="77777777" w:rsidR="00D9313C" w:rsidRPr="003030F2" w:rsidRDefault="00D9313C" w:rsidP="00EC1B15">
            <w:pPr>
              <w:pStyle w:val="Bodytext"/>
              <w:spacing w:after="60"/>
              <w:jc w:val="right"/>
              <w:rPr>
                <w:b/>
              </w:rPr>
            </w:pPr>
            <w:r w:rsidRPr="003030F2">
              <w:rPr>
                <w:b/>
              </w:rPr>
              <w:t>Total</w:t>
            </w:r>
          </w:p>
        </w:tc>
      </w:tr>
      <w:tr w:rsidR="00140E07" w:rsidRPr="005D68E9" w14:paraId="6D3E4876" w14:textId="77777777" w:rsidTr="00140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1017" w:type="pct"/>
            <w:shd w:val="clear" w:color="auto" w:fill="auto"/>
            <w:vAlign w:val="bottom"/>
          </w:tcPr>
          <w:p w14:paraId="4739B886" w14:textId="77777777" w:rsidR="00140E07" w:rsidRPr="003030F2" w:rsidRDefault="00140E07" w:rsidP="00140E07">
            <w:pPr>
              <w:pStyle w:val="Bodytext"/>
              <w:keepNext/>
              <w:spacing w:after="60"/>
              <w:rPr>
                <w:b/>
              </w:rPr>
            </w:pPr>
          </w:p>
        </w:tc>
        <w:tc>
          <w:tcPr>
            <w:tcW w:w="767" w:type="pct"/>
            <w:shd w:val="clear" w:color="auto" w:fill="D9D9D9" w:themeFill="background1" w:themeFillShade="D9"/>
          </w:tcPr>
          <w:p w14:paraId="1131E89E" w14:textId="4E86F439" w:rsidR="00140E07" w:rsidRDefault="00140E07" w:rsidP="00140E07">
            <w:pPr>
              <w:pStyle w:val="Bodytext"/>
              <w:keepNext/>
              <w:spacing w:after="60"/>
              <w:jc w:val="right"/>
              <w:rPr>
                <w:b/>
              </w:rPr>
            </w:pPr>
            <w:r>
              <w:rPr>
                <w:b/>
              </w:rPr>
              <w:t>202</w:t>
            </w:r>
            <w:r w:rsidR="00E66F60">
              <w:rPr>
                <w:b/>
              </w:rPr>
              <w:t>3</w:t>
            </w:r>
            <w:r>
              <w:rPr>
                <w:b/>
              </w:rPr>
              <w:t>/2</w:t>
            </w:r>
            <w:r w:rsidR="00E66F60">
              <w:rPr>
                <w:b/>
              </w:rPr>
              <w:t>4</w:t>
            </w:r>
          </w:p>
          <w:p w14:paraId="2C101CEB" w14:textId="41A154D3" w:rsidR="00140E07" w:rsidRPr="003030F2" w:rsidRDefault="00140E07" w:rsidP="00140E07">
            <w:pPr>
              <w:pStyle w:val="Bodytext"/>
              <w:keepNext/>
              <w:spacing w:after="60"/>
              <w:jc w:val="right"/>
              <w:rPr>
                <w:b/>
              </w:rPr>
            </w:pPr>
            <w:r>
              <w:rPr>
                <w:b/>
              </w:rPr>
              <w:t>£000</w:t>
            </w:r>
          </w:p>
        </w:tc>
        <w:tc>
          <w:tcPr>
            <w:tcW w:w="640" w:type="pct"/>
          </w:tcPr>
          <w:p w14:paraId="6CAFF98E" w14:textId="061A0F5F" w:rsidR="00140E07" w:rsidRPr="002B08DA" w:rsidRDefault="00140E07" w:rsidP="00140E07">
            <w:pPr>
              <w:pStyle w:val="Bodytext"/>
              <w:keepNext/>
              <w:spacing w:after="60"/>
              <w:jc w:val="right"/>
              <w:rPr>
                <w:b/>
                <w:color w:val="A6A6A6" w:themeColor="background1" w:themeShade="A6"/>
              </w:rPr>
            </w:pPr>
            <w:r>
              <w:rPr>
                <w:b/>
                <w:color w:val="A6A6A6" w:themeColor="background1" w:themeShade="A6"/>
              </w:rPr>
              <w:t>202</w:t>
            </w:r>
            <w:r w:rsidR="00E66F60">
              <w:rPr>
                <w:b/>
                <w:color w:val="A6A6A6" w:themeColor="background1" w:themeShade="A6"/>
              </w:rPr>
              <w:t>2</w:t>
            </w:r>
            <w:r>
              <w:rPr>
                <w:b/>
                <w:color w:val="A6A6A6" w:themeColor="background1" w:themeShade="A6"/>
              </w:rPr>
              <w:t>/2</w:t>
            </w:r>
            <w:r w:rsidR="00E66F60">
              <w:rPr>
                <w:b/>
                <w:color w:val="A6A6A6" w:themeColor="background1" w:themeShade="A6"/>
              </w:rPr>
              <w:t>3</w:t>
            </w:r>
          </w:p>
          <w:p w14:paraId="7E495EF6" w14:textId="60F07D72" w:rsidR="00140E07" w:rsidRPr="002B08DA" w:rsidRDefault="00140E07" w:rsidP="00140E07">
            <w:pPr>
              <w:pStyle w:val="Bodytext"/>
              <w:keepNext/>
              <w:spacing w:after="60"/>
              <w:jc w:val="right"/>
              <w:rPr>
                <w:b/>
                <w:color w:val="A6A6A6" w:themeColor="background1" w:themeShade="A6"/>
              </w:rPr>
            </w:pPr>
            <w:r w:rsidRPr="002B08DA">
              <w:rPr>
                <w:b/>
                <w:color w:val="A6A6A6" w:themeColor="background1" w:themeShade="A6"/>
              </w:rPr>
              <w:t>£000</w:t>
            </w:r>
          </w:p>
        </w:tc>
        <w:tc>
          <w:tcPr>
            <w:tcW w:w="655" w:type="pct"/>
            <w:shd w:val="clear" w:color="auto" w:fill="D9D9D9" w:themeFill="background1" w:themeFillShade="D9"/>
          </w:tcPr>
          <w:p w14:paraId="70619662" w14:textId="34775EBA" w:rsidR="00140E07" w:rsidRDefault="00140E07" w:rsidP="00140E07">
            <w:pPr>
              <w:pStyle w:val="Bodytext"/>
              <w:keepNext/>
              <w:spacing w:after="60"/>
              <w:jc w:val="right"/>
              <w:rPr>
                <w:b/>
              </w:rPr>
            </w:pPr>
            <w:r>
              <w:rPr>
                <w:b/>
              </w:rPr>
              <w:t>202</w:t>
            </w:r>
            <w:r w:rsidR="00E66F60">
              <w:rPr>
                <w:b/>
              </w:rPr>
              <w:t>3</w:t>
            </w:r>
            <w:r>
              <w:rPr>
                <w:b/>
              </w:rPr>
              <w:t>/2</w:t>
            </w:r>
            <w:r w:rsidR="00E66F60">
              <w:rPr>
                <w:b/>
              </w:rPr>
              <w:t>4</w:t>
            </w:r>
          </w:p>
          <w:p w14:paraId="5445F566" w14:textId="05757C46" w:rsidR="00140E07" w:rsidRPr="003030F2" w:rsidRDefault="00140E07" w:rsidP="00140E07">
            <w:pPr>
              <w:pStyle w:val="Bodytext"/>
              <w:keepNext/>
              <w:spacing w:after="60"/>
              <w:jc w:val="right"/>
              <w:rPr>
                <w:b/>
              </w:rPr>
            </w:pPr>
            <w:r>
              <w:rPr>
                <w:b/>
              </w:rPr>
              <w:t>£000</w:t>
            </w:r>
          </w:p>
        </w:tc>
        <w:tc>
          <w:tcPr>
            <w:tcW w:w="641" w:type="pct"/>
          </w:tcPr>
          <w:p w14:paraId="6E34E648" w14:textId="32434379" w:rsidR="00140E07" w:rsidRPr="002B08DA" w:rsidRDefault="00140E07" w:rsidP="00140E07">
            <w:pPr>
              <w:pStyle w:val="Bodytext"/>
              <w:keepNext/>
              <w:spacing w:after="60"/>
              <w:jc w:val="right"/>
              <w:rPr>
                <w:b/>
                <w:color w:val="A6A6A6" w:themeColor="background1" w:themeShade="A6"/>
              </w:rPr>
            </w:pPr>
            <w:r>
              <w:rPr>
                <w:b/>
                <w:color w:val="A6A6A6" w:themeColor="background1" w:themeShade="A6"/>
              </w:rPr>
              <w:t>202</w:t>
            </w:r>
            <w:r w:rsidR="00E66F60">
              <w:rPr>
                <w:b/>
                <w:color w:val="A6A6A6" w:themeColor="background1" w:themeShade="A6"/>
              </w:rPr>
              <w:t>2</w:t>
            </w:r>
            <w:r>
              <w:rPr>
                <w:b/>
                <w:color w:val="A6A6A6" w:themeColor="background1" w:themeShade="A6"/>
              </w:rPr>
              <w:t>/2</w:t>
            </w:r>
            <w:r w:rsidR="00E66F60">
              <w:rPr>
                <w:b/>
                <w:color w:val="A6A6A6" w:themeColor="background1" w:themeShade="A6"/>
              </w:rPr>
              <w:t>3</w:t>
            </w:r>
          </w:p>
          <w:p w14:paraId="3C02C838" w14:textId="626DD108" w:rsidR="00140E07" w:rsidRPr="002B08DA" w:rsidRDefault="00140E07" w:rsidP="00140E07">
            <w:pPr>
              <w:pStyle w:val="Bodytext"/>
              <w:keepNext/>
              <w:spacing w:after="60"/>
              <w:jc w:val="right"/>
              <w:rPr>
                <w:b/>
                <w:color w:val="A6A6A6" w:themeColor="background1" w:themeShade="A6"/>
              </w:rPr>
            </w:pPr>
            <w:r w:rsidRPr="002B08DA">
              <w:rPr>
                <w:b/>
                <w:color w:val="A6A6A6" w:themeColor="background1" w:themeShade="A6"/>
              </w:rPr>
              <w:t>£000</w:t>
            </w:r>
          </w:p>
        </w:tc>
        <w:tc>
          <w:tcPr>
            <w:tcW w:w="641" w:type="pct"/>
            <w:shd w:val="clear" w:color="auto" w:fill="D9D9D9" w:themeFill="background1" w:themeFillShade="D9"/>
          </w:tcPr>
          <w:p w14:paraId="435955BE" w14:textId="00660006" w:rsidR="00140E07" w:rsidRDefault="00140E07" w:rsidP="00140E07">
            <w:pPr>
              <w:pStyle w:val="Bodytext"/>
              <w:keepNext/>
              <w:spacing w:after="60"/>
              <w:jc w:val="right"/>
              <w:rPr>
                <w:b/>
              </w:rPr>
            </w:pPr>
            <w:r>
              <w:rPr>
                <w:b/>
              </w:rPr>
              <w:t>202</w:t>
            </w:r>
            <w:r w:rsidR="00E66F60">
              <w:rPr>
                <w:b/>
              </w:rPr>
              <w:t>3</w:t>
            </w:r>
            <w:r>
              <w:rPr>
                <w:b/>
              </w:rPr>
              <w:t>/2</w:t>
            </w:r>
            <w:r w:rsidR="00E66F60">
              <w:rPr>
                <w:b/>
              </w:rPr>
              <w:t>4</w:t>
            </w:r>
          </w:p>
          <w:p w14:paraId="7C551090" w14:textId="1A067ECC" w:rsidR="00140E07" w:rsidRPr="003030F2" w:rsidRDefault="00140E07" w:rsidP="00140E07">
            <w:pPr>
              <w:pStyle w:val="Bodytext"/>
              <w:keepNext/>
              <w:spacing w:after="60"/>
              <w:jc w:val="right"/>
              <w:rPr>
                <w:b/>
              </w:rPr>
            </w:pPr>
            <w:r>
              <w:rPr>
                <w:b/>
              </w:rPr>
              <w:t>£000</w:t>
            </w:r>
          </w:p>
        </w:tc>
        <w:tc>
          <w:tcPr>
            <w:tcW w:w="639" w:type="pct"/>
            <w:shd w:val="clear" w:color="auto" w:fill="auto"/>
          </w:tcPr>
          <w:p w14:paraId="3BEADEA5" w14:textId="049D87DF" w:rsidR="00140E07" w:rsidRPr="002B08DA" w:rsidRDefault="00140E07" w:rsidP="00140E07">
            <w:pPr>
              <w:pStyle w:val="Bodytext"/>
              <w:keepNext/>
              <w:spacing w:after="60"/>
              <w:jc w:val="right"/>
              <w:rPr>
                <w:b/>
                <w:color w:val="A6A6A6" w:themeColor="background1" w:themeShade="A6"/>
              </w:rPr>
            </w:pPr>
            <w:r>
              <w:rPr>
                <w:b/>
                <w:color w:val="A6A6A6" w:themeColor="background1" w:themeShade="A6"/>
              </w:rPr>
              <w:t>202</w:t>
            </w:r>
            <w:r w:rsidR="000D7898">
              <w:rPr>
                <w:b/>
                <w:color w:val="A6A6A6" w:themeColor="background1" w:themeShade="A6"/>
              </w:rPr>
              <w:t>2</w:t>
            </w:r>
            <w:r>
              <w:rPr>
                <w:b/>
                <w:color w:val="A6A6A6" w:themeColor="background1" w:themeShade="A6"/>
              </w:rPr>
              <w:t>/2</w:t>
            </w:r>
            <w:r w:rsidR="000D7898">
              <w:rPr>
                <w:b/>
                <w:color w:val="A6A6A6" w:themeColor="background1" w:themeShade="A6"/>
              </w:rPr>
              <w:t>3</w:t>
            </w:r>
          </w:p>
          <w:p w14:paraId="733C5964" w14:textId="4C92F587" w:rsidR="00140E07" w:rsidRPr="002B08DA" w:rsidRDefault="00140E07" w:rsidP="00140E07">
            <w:pPr>
              <w:pStyle w:val="Bodytext"/>
              <w:keepNext/>
              <w:spacing w:after="60"/>
              <w:jc w:val="right"/>
              <w:rPr>
                <w:b/>
                <w:color w:val="A6A6A6" w:themeColor="background1" w:themeShade="A6"/>
              </w:rPr>
            </w:pPr>
            <w:r w:rsidRPr="002B08DA">
              <w:rPr>
                <w:b/>
                <w:color w:val="A6A6A6" w:themeColor="background1" w:themeShade="A6"/>
              </w:rPr>
              <w:t>£000</w:t>
            </w:r>
          </w:p>
        </w:tc>
      </w:tr>
      <w:tr w:rsidR="00D8358E" w:rsidRPr="006644A8" w14:paraId="747D36CB" w14:textId="77777777" w:rsidTr="007512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17" w:type="pct"/>
            <w:shd w:val="clear" w:color="auto" w:fill="auto"/>
            <w:vAlign w:val="bottom"/>
          </w:tcPr>
          <w:p w14:paraId="1543A85C" w14:textId="77777777" w:rsidR="00D8358E" w:rsidRPr="006644A8" w:rsidRDefault="00D8358E" w:rsidP="00D8358E">
            <w:pPr>
              <w:pStyle w:val="Bodytext"/>
              <w:spacing w:after="60"/>
            </w:pPr>
            <w:r w:rsidRPr="006644A8">
              <w:t>Other events organised by the fundraising team</w:t>
            </w:r>
          </w:p>
        </w:tc>
        <w:tc>
          <w:tcPr>
            <w:tcW w:w="767" w:type="pct"/>
            <w:shd w:val="clear" w:color="auto" w:fill="D9D9D9" w:themeFill="background1" w:themeFillShade="D9"/>
            <w:vAlign w:val="center"/>
          </w:tcPr>
          <w:p w14:paraId="5F9E850C" w14:textId="3CE219C7" w:rsidR="00D8358E" w:rsidRPr="006644A8" w:rsidRDefault="00D8358E" w:rsidP="00D8358E">
            <w:pPr>
              <w:pStyle w:val="Bodytext"/>
              <w:spacing w:after="60"/>
              <w:jc w:val="right"/>
            </w:pPr>
            <w:r>
              <w:rPr>
                <w:rFonts w:cs="Arial"/>
                <w:color w:val="424141"/>
                <w:szCs w:val="22"/>
              </w:rPr>
              <w:t>50</w:t>
            </w:r>
          </w:p>
        </w:tc>
        <w:tc>
          <w:tcPr>
            <w:tcW w:w="640" w:type="pct"/>
            <w:vAlign w:val="center"/>
          </w:tcPr>
          <w:p w14:paraId="5F62FCF7" w14:textId="4903CA0C" w:rsidR="00D8358E" w:rsidRPr="002B08DA" w:rsidRDefault="00D8358E" w:rsidP="00D8358E">
            <w:pPr>
              <w:pStyle w:val="Bodytext"/>
              <w:spacing w:after="60"/>
              <w:jc w:val="right"/>
              <w:rPr>
                <w:color w:val="A6A6A6" w:themeColor="background1" w:themeShade="A6"/>
              </w:rPr>
            </w:pPr>
            <w:r>
              <w:rPr>
                <w:rFonts w:cs="Arial"/>
                <w:color w:val="A6A6A6"/>
                <w:szCs w:val="22"/>
              </w:rPr>
              <w:t>35</w:t>
            </w:r>
          </w:p>
        </w:tc>
        <w:tc>
          <w:tcPr>
            <w:tcW w:w="655" w:type="pct"/>
            <w:shd w:val="clear" w:color="auto" w:fill="D9D9D9" w:themeFill="background1" w:themeFillShade="D9"/>
            <w:vAlign w:val="center"/>
          </w:tcPr>
          <w:p w14:paraId="738F873D" w14:textId="316B17A3" w:rsidR="00D8358E" w:rsidRPr="006644A8" w:rsidRDefault="00D8358E" w:rsidP="00D8358E">
            <w:pPr>
              <w:pStyle w:val="Bodytext"/>
              <w:spacing w:after="60"/>
              <w:jc w:val="right"/>
            </w:pPr>
            <w:r>
              <w:rPr>
                <w:rFonts w:cs="Arial"/>
                <w:color w:val="424141"/>
                <w:szCs w:val="22"/>
              </w:rPr>
              <w:t>203</w:t>
            </w:r>
          </w:p>
        </w:tc>
        <w:tc>
          <w:tcPr>
            <w:tcW w:w="641" w:type="pct"/>
            <w:vAlign w:val="center"/>
          </w:tcPr>
          <w:p w14:paraId="6444247F" w14:textId="7476838E" w:rsidR="00D8358E" w:rsidRPr="002B08DA" w:rsidRDefault="00D8358E" w:rsidP="00D8358E">
            <w:pPr>
              <w:pStyle w:val="Bodytext"/>
              <w:spacing w:after="60"/>
              <w:jc w:val="right"/>
              <w:rPr>
                <w:color w:val="A6A6A6" w:themeColor="background1" w:themeShade="A6"/>
              </w:rPr>
            </w:pPr>
            <w:r>
              <w:rPr>
                <w:rFonts w:cs="Arial"/>
                <w:color w:val="A6A6A6"/>
                <w:szCs w:val="22"/>
              </w:rPr>
              <w:t>180</w:t>
            </w:r>
          </w:p>
        </w:tc>
        <w:tc>
          <w:tcPr>
            <w:tcW w:w="641" w:type="pct"/>
            <w:shd w:val="clear" w:color="auto" w:fill="D9D9D9" w:themeFill="background1" w:themeFillShade="D9"/>
            <w:vAlign w:val="center"/>
          </w:tcPr>
          <w:p w14:paraId="2539075C" w14:textId="01A1D966" w:rsidR="00D8358E" w:rsidRPr="006644A8" w:rsidRDefault="00D8358E" w:rsidP="00D8358E">
            <w:pPr>
              <w:pStyle w:val="Bodytext"/>
              <w:spacing w:after="60"/>
              <w:jc w:val="right"/>
            </w:pPr>
            <w:r>
              <w:rPr>
                <w:rFonts w:cs="Arial"/>
                <w:color w:val="424141"/>
                <w:szCs w:val="22"/>
              </w:rPr>
              <w:t>253</w:t>
            </w:r>
          </w:p>
        </w:tc>
        <w:tc>
          <w:tcPr>
            <w:tcW w:w="639" w:type="pct"/>
            <w:shd w:val="clear" w:color="auto" w:fill="auto"/>
            <w:vAlign w:val="center"/>
          </w:tcPr>
          <w:p w14:paraId="17DC2B7E" w14:textId="391DC671" w:rsidR="00D8358E" w:rsidRPr="002B08DA" w:rsidRDefault="00D8358E" w:rsidP="00D8358E">
            <w:pPr>
              <w:pStyle w:val="Bodytext"/>
              <w:spacing w:after="60"/>
              <w:jc w:val="right"/>
              <w:rPr>
                <w:color w:val="A6A6A6" w:themeColor="background1" w:themeShade="A6"/>
              </w:rPr>
            </w:pPr>
            <w:r>
              <w:rPr>
                <w:rFonts w:cs="Arial"/>
                <w:color w:val="A6A6A6"/>
                <w:szCs w:val="22"/>
              </w:rPr>
              <w:t>215</w:t>
            </w:r>
          </w:p>
        </w:tc>
      </w:tr>
      <w:tr w:rsidR="00D8358E" w:rsidRPr="006644A8" w14:paraId="6E576C15" w14:textId="77777777" w:rsidTr="001E4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17" w:type="pct"/>
            <w:shd w:val="clear" w:color="auto" w:fill="auto"/>
            <w:vAlign w:val="bottom"/>
          </w:tcPr>
          <w:p w14:paraId="02AC0887" w14:textId="77777777" w:rsidR="00D8358E" w:rsidRPr="006644A8" w:rsidRDefault="00D8358E" w:rsidP="00D8358E">
            <w:pPr>
              <w:pStyle w:val="Bodytext"/>
              <w:spacing w:after="60"/>
            </w:pPr>
            <w:r w:rsidRPr="006644A8">
              <w:t>Events organised by volunteers</w:t>
            </w:r>
          </w:p>
        </w:tc>
        <w:tc>
          <w:tcPr>
            <w:tcW w:w="767" w:type="pct"/>
            <w:tcBorders>
              <w:bottom w:val="single" w:sz="4" w:space="0" w:color="auto"/>
            </w:tcBorders>
            <w:shd w:val="clear" w:color="auto" w:fill="D9D9D9" w:themeFill="background1" w:themeFillShade="D9"/>
            <w:vAlign w:val="center"/>
          </w:tcPr>
          <w:p w14:paraId="1CCFE369" w14:textId="4652B338" w:rsidR="00D8358E" w:rsidRPr="006644A8" w:rsidRDefault="00D8358E" w:rsidP="00D8358E">
            <w:pPr>
              <w:pStyle w:val="Bodytext"/>
              <w:spacing w:after="60"/>
              <w:jc w:val="right"/>
            </w:pPr>
            <w:r>
              <w:rPr>
                <w:rFonts w:cs="Arial"/>
                <w:color w:val="424141"/>
                <w:szCs w:val="22"/>
              </w:rPr>
              <w:t>10</w:t>
            </w:r>
          </w:p>
        </w:tc>
        <w:tc>
          <w:tcPr>
            <w:tcW w:w="640" w:type="pct"/>
            <w:tcBorders>
              <w:bottom w:val="single" w:sz="4" w:space="0" w:color="auto"/>
            </w:tcBorders>
            <w:vAlign w:val="center"/>
          </w:tcPr>
          <w:p w14:paraId="6E53E7BE" w14:textId="6DB24C4C" w:rsidR="00D8358E" w:rsidRPr="002B08DA" w:rsidRDefault="00D8358E" w:rsidP="00D8358E">
            <w:pPr>
              <w:pStyle w:val="Bodytext"/>
              <w:spacing w:after="60"/>
              <w:jc w:val="right"/>
              <w:rPr>
                <w:color w:val="A6A6A6" w:themeColor="background1" w:themeShade="A6"/>
              </w:rPr>
            </w:pPr>
            <w:r>
              <w:rPr>
                <w:rFonts w:cs="Arial"/>
                <w:color w:val="A6A6A6"/>
                <w:szCs w:val="22"/>
              </w:rPr>
              <w:t>28</w:t>
            </w:r>
          </w:p>
        </w:tc>
        <w:tc>
          <w:tcPr>
            <w:tcW w:w="655" w:type="pct"/>
            <w:tcBorders>
              <w:bottom w:val="single" w:sz="4" w:space="0" w:color="auto"/>
            </w:tcBorders>
            <w:shd w:val="clear" w:color="auto" w:fill="D9D9D9" w:themeFill="background1" w:themeFillShade="D9"/>
            <w:vAlign w:val="center"/>
          </w:tcPr>
          <w:p w14:paraId="23EE6880" w14:textId="6C260175" w:rsidR="00D8358E" w:rsidRPr="006644A8" w:rsidRDefault="00D8358E" w:rsidP="00D8358E">
            <w:pPr>
              <w:pStyle w:val="Bodytext"/>
              <w:spacing w:after="60"/>
              <w:jc w:val="right"/>
            </w:pPr>
            <w:r>
              <w:rPr>
                <w:rFonts w:cs="Arial"/>
                <w:color w:val="424141"/>
                <w:szCs w:val="22"/>
              </w:rPr>
              <w:t>298</w:t>
            </w:r>
          </w:p>
        </w:tc>
        <w:tc>
          <w:tcPr>
            <w:tcW w:w="641" w:type="pct"/>
            <w:tcBorders>
              <w:bottom w:val="single" w:sz="4" w:space="0" w:color="auto"/>
            </w:tcBorders>
            <w:vAlign w:val="center"/>
          </w:tcPr>
          <w:p w14:paraId="0C2BAF60" w14:textId="0912DD78" w:rsidR="00D8358E" w:rsidRPr="002B08DA" w:rsidRDefault="00D8358E" w:rsidP="00D8358E">
            <w:pPr>
              <w:pStyle w:val="Bodytext"/>
              <w:spacing w:after="60"/>
              <w:jc w:val="right"/>
              <w:rPr>
                <w:color w:val="A6A6A6" w:themeColor="background1" w:themeShade="A6"/>
              </w:rPr>
            </w:pPr>
            <w:r>
              <w:rPr>
                <w:rFonts w:cs="Arial"/>
                <w:color w:val="A6A6A6"/>
                <w:szCs w:val="22"/>
              </w:rPr>
              <w:t>200</w:t>
            </w:r>
          </w:p>
        </w:tc>
        <w:tc>
          <w:tcPr>
            <w:tcW w:w="641" w:type="pct"/>
            <w:tcBorders>
              <w:bottom w:val="single" w:sz="4" w:space="0" w:color="auto"/>
            </w:tcBorders>
            <w:shd w:val="clear" w:color="auto" w:fill="D9D9D9" w:themeFill="background1" w:themeFillShade="D9"/>
            <w:vAlign w:val="center"/>
          </w:tcPr>
          <w:p w14:paraId="02F3A42F" w14:textId="33C6F0BA" w:rsidR="00D8358E" w:rsidRPr="006644A8" w:rsidRDefault="00D8358E" w:rsidP="00D8358E">
            <w:pPr>
              <w:pStyle w:val="Bodytext"/>
              <w:spacing w:after="60"/>
              <w:jc w:val="right"/>
            </w:pPr>
            <w:r>
              <w:rPr>
                <w:rFonts w:cs="Arial"/>
                <w:color w:val="424141"/>
                <w:szCs w:val="22"/>
              </w:rPr>
              <w:t xml:space="preserve">308 </w:t>
            </w:r>
          </w:p>
        </w:tc>
        <w:tc>
          <w:tcPr>
            <w:tcW w:w="639" w:type="pct"/>
            <w:tcBorders>
              <w:bottom w:val="single" w:sz="4" w:space="0" w:color="auto"/>
            </w:tcBorders>
            <w:shd w:val="clear" w:color="auto" w:fill="auto"/>
            <w:vAlign w:val="center"/>
          </w:tcPr>
          <w:p w14:paraId="57EE5C4A" w14:textId="720DE8E2" w:rsidR="00D8358E" w:rsidRPr="002B08DA" w:rsidRDefault="00D8358E" w:rsidP="00D8358E">
            <w:pPr>
              <w:pStyle w:val="Bodytext"/>
              <w:spacing w:after="60"/>
              <w:jc w:val="right"/>
              <w:rPr>
                <w:color w:val="A6A6A6" w:themeColor="background1" w:themeShade="A6"/>
              </w:rPr>
            </w:pPr>
            <w:r>
              <w:rPr>
                <w:rFonts w:cs="Arial"/>
                <w:color w:val="A6A6A6"/>
                <w:szCs w:val="22"/>
              </w:rPr>
              <w:t>228</w:t>
            </w:r>
          </w:p>
        </w:tc>
      </w:tr>
      <w:tr w:rsidR="00D8358E" w:rsidRPr="005D68E9" w14:paraId="28E3112E" w14:textId="77777777" w:rsidTr="001E4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17" w:type="pct"/>
            <w:shd w:val="clear" w:color="auto" w:fill="auto"/>
            <w:vAlign w:val="bottom"/>
          </w:tcPr>
          <w:p w14:paraId="2ADA535F" w14:textId="77777777" w:rsidR="00D8358E" w:rsidRPr="003030F2" w:rsidRDefault="00D8358E" w:rsidP="00D8358E">
            <w:pPr>
              <w:pStyle w:val="Bodytext"/>
              <w:spacing w:after="60"/>
              <w:rPr>
                <w:b/>
              </w:rPr>
            </w:pPr>
            <w:r w:rsidRPr="003030F2">
              <w:rPr>
                <w:b/>
              </w:rPr>
              <w:t>Total</w:t>
            </w:r>
          </w:p>
        </w:tc>
        <w:tc>
          <w:tcPr>
            <w:tcW w:w="767" w:type="pct"/>
            <w:tcBorders>
              <w:top w:val="single" w:sz="4" w:space="0" w:color="auto"/>
              <w:bottom w:val="double" w:sz="4" w:space="0" w:color="auto"/>
            </w:tcBorders>
            <w:shd w:val="clear" w:color="auto" w:fill="D9D9D9" w:themeFill="background1" w:themeFillShade="D9"/>
            <w:vAlign w:val="center"/>
          </w:tcPr>
          <w:p w14:paraId="14BD332A" w14:textId="1AAC13B9" w:rsidR="00D8358E" w:rsidRPr="003030F2" w:rsidRDefault="00D8358E" w:rsidP="00D8358E">
            <w:pPr>
              <w:pStyle w:val="Bodytext"/>
              <w:spacing w:after="60"/>
              <w:jc w:val="right"/>
              <w:rPr>
                <w:b/>
              </w:rPr>
            </w:pPr>
            <w:r>
              <w:rPr>
                <w:rFonts w:cs="Arial"/>
                <w:b/>
                <w:bCs/>
                <w:color w:val="424141"/>
                <w:szCs w:val="22"/>
              </w:rPr>
              <w:t>60</w:t>
            </w:r>
          </w:p>
        </w:tc>
        <w:tc>
          <w:tcPr>
            <w:tcW w:w="640" w:type="pct"/>
            <w:tcBorders>
              <w:top w:val="single" w:sz="4" w:space="0" w:color="auto"/>
              <w:bottom w:val="double" w:sz="4" w:space="0" w:color="auto"/>
            </w:tcBorders>
            <w:vAlign w:val="center"/>
          </w:tcPr>
          <w:p w14:paraId="396088F5" w14:textId="567D7028" w:rsidR="00D8358E" w:rsidRPr="002B08DA" w:rsidRDefault="00D8358E" w:rsidP="00D8358E">
            <w:pPr>
              <w:pStyle w:val="Bodytext"/>
              <w:spacing w:after="60"/>
              <w:jc w:val="right"/>
              <w:rPr>
                <w:b/>
                <w:color w:val="A6A6A6" w:themeColor="background1" w:themeShade="A6"/>
              </w:rPr>
            </w:pPr>
            <w:r>
              <w:rPr>
                <w:rFonts w:cs="Arial"/>
                <w:b/>
                <w:bCs/>
                <w:color w:val="A6A6A6"/>
                <w:szCs w:val="22"/>
              </w:rPr>
              <w:t>63</w:t>
            </w:r>
          </w:p>
        </w:tc>
        <w:tc>
          <w:tcPr>
            <w:tcW w:w="655" w:type="pct"/>
            <w:tcBorders>
              <w:top w:val="single" w:sz="4" w:space="0" w:color="auto"/>
              <w:bottom w:val="double" w:sz="4" w:space="0" w:color="auto"/>
            </w:tcBorders>
            <w:shd w:val="clear" w:color="auto" w:fill="D9D9D9" w:themeFill="background1" w:themeFillShade="D9"/>
            <w:vAlign w:val="center"/>
          </w:tcPr>
          <w:p w14:paraId="4772E968" w14:textId="2544811B" w:rsidR="00D8358E" w:rsidRPr="003030F2" w:rsidRDefault="00D8358E" w:rsidP="00D8358E">
            <w:pPr>
              <w:pStyle w:val="Bodytext"/>
              <w:spacing w:after="60"/>
              <w:jc w:val="right"/>
              <w:rPr>
                <w:b/>
              </w:rPr>
            </w:pPr>
            <w:r>
              <w:rPr>
                <w:rFonts w:cs="Arial"/>
                <w:b/>
                <w:bCs/>
                <w:color w:val="424141"/>
                <w:szCs w:val="22"/>
              </w:rPr>
              <w:t>501</w:t>
            </w:r>
          </w:p>
        </w:tc>
        <w:tc>
          <w:tcPr>
            <w:tcW w:w="641" w:type="pct"/>
            <w:tcBorders>
              <w:top w:val="single" w:sz="4" w:space="0" w:color="auto"/>
              <w:bottom w:val="double" w:sz="4" w:space="0" w:color="auto"/>
            </w:tcBorders>
            <w:vAlign w:val="center"/>
          </w:tcPr>
          <w:p w14:paraId="1E7122C9" w14:textId="5019A2BA" w:rsidR="00D8358E" w:rsidRPr="002B08DA" w:rsidRDefault="00D8358E" w:rsidP="00D8358E">
            <w:pPr>
              <w:pStyle w:val="Bodytext"/>
              <w:spacing w:after="60"/>
              <w:jc w:val="right"/>
              <w:rPr>
                <w:b/>
                <w:color w:val="A6A6A6" w:themeColor="background1" w:themeShade="A6"/>
              </w:rPr>
            </w:pPr>
            <w:r>
              <w:rPr>
                <w:rFonts w:cs="Arial"/>
                <w:b/>
                <w:bCs/>
                <w:color w:val="A6A6A6"/>
                <w:szCs w:val="22"/>
              </w:rPr>
              <w:t>380</w:t>
            </w:r>
          </w:p>
        </w:tc>
        <w:tc>
          <w:tcPr>
            <w:tcW w:w="641" w:type="pct"/>
            <w:tcBorders>
              <w:top w:val="single" w:sz="4" w:space="0" w:color="auto"/>
              <w:bottom w:val="double" w:sz="4" w:space="0" w:color="auto"/>
            </w:tcBorders>
            <w:shd w:val="clear" w:color="auto" w:fill="D9D9D9" w:themeFill="background1" w:themeFillShade="D9"/>
            <w:vAlign w:val="center"/>
          </w:tcPr>
          <w:p w14:paraId="755030FD" w14:textId="0284A313" w:rsidR="00D8358E" w:rsidRPr="003030F2" w:rsidRDefault="00D8358E" w:rsidP="00D8358E">
            <w:pPr>
              <w:pStyle w:val="Bodytext"/>
              <w:spacing w:after="60"/>
              <w:jc w:val="right"/>
              <w:rPr>
                <w:b/>
              </w:rPr>
            </w:pPr>
            <w:r>
              <w:rPr>
                <w:rFonts w:cs="Arial"/>
                <w:b/>
                <w:bCs/>
                <w:color w:val="424141"/>
                <w:szCs w:val="22"/>
              </w:rPr>
              <w:t>561</w:t>
            </w:r>
          </w:p>
        </w:tc>
        <w:tc>
          <w:tcPr>
            <w:tcW w:w="639" w:type="pct"/>
            <w:tcBorders>
              <w:top w:val="single" w:sz="4" w:space="0" w:color="auto"/>
              <w:bottom w:val="double" w:sz="4" w:space="0" w:color="auto"/>
            </w:tcBorders>
            <w:shd w:val="clear" w:color="auto" w:fill="auto"/>
            <w:vAlign w:val="center"/>
          </w:tcPr>
          <w:p w14:paraId="20744E0D" w14:textId="3570B9CA" w:rsidR="00D8358E" w:rsidRPr="002B08DA" w:rsidRDefault="00D8358E" w:rsidP="00D8358E">
            <w:pPr>
              <w:pStyle w:val="Bodytext"/>
              <w:spacing w:after="60"/>
              <w:jc w:val="right"/>
              <w:rPr>
                <w:b/>
                <w:color w:val="A6A6A6" w:themeColor="background1" w:themeShade="A6"/>
              </w:rPr>
            </w:pPr>
            <w:r>
              <w:rPr>
                <w:rFonts w:cs="Arial"/>
                <w:b/>
                <w:bCs/>
                <w:color w:val="A6A6A6"/>
                <w:szCs w:val="22"/>
              </w:rPr>
              <w:t>443</w:t>
            </w:r>
          </w:p>
        </w:tc>
      </w:tr>
    </w:tbl>
    <w:p w14:paraId="4A4F094D" w14:textId="77777777" w:rsidR="00D9313C" w:rsidRPr="006644A8" w:rsidRDefault="00D9313C" w:rsidP="002B62E6">
      <w:pPr>
        <w:pStyle w:val="TableTitle"/>
        <w:keepNext/>
      </w:pPr>
      <w:r>
        <w:lastRenderedPageBreak/>
        <w:t xml:space="preserve">6 </w:t>
      </w:r>
      <w:r w:rsidRPr="006644A8">
        <w:t>Role of volunteers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8"/>
      </w:tblGrid>
      <w:tr w:rsidR="00D9313C" w:rsidRPr="006644A8" w14:paraId="7CE848A6" w14:textId="77777777" w:rsidTr="00EC1B15">
        <w:tc>
          <w:tcPr>
            <w:tcW w:w="5000" w:type="pct"/>
            <w:shd w:val="clear" w:color="auto" w:fill="auto"/>
          </w:tcPr>
          <w:p w14:paraId="5524B95F" w14:textId="77777777" w:rsidR="00D9313C" w:rsidRPr="006644A8" w:rsidRDefault="00D9313C" w:rsidP="002B62E6">
            <w:pPr>
              <w:pStyle w:val="Bodytext"/>
              <w:keepNext/>
            </w:pPr>
            <w:r w:rsidRPr="006644A8">
              <w:t xml:space="preserve">Paragraphs 6.19 and 6.31 of the </w:t>
            </w:r>
            <w:r>
              <w:t>SORP FRS 102</w:t>
            </w:r>
            <w:r w:rsidRPr="006644A8">
              <w:t xml:space="preserve"> say that charities must include a description of the role played by general volunteers and provide an indication of the nature of their contribution in a note to the accounts.</w:t>
            </w:r>
            <w:r>
              <w:t xml:space="preserve"> </w:t>
            </w:r>
          </w:p>
        </w:tc>
      </w:tr>
    </w:tbl>
    <w:p w14:paraId="76381205" w14:textId="77777777" w:rsidR="00D9313C" w:rsidRPr="006644A8" w:rsidRDefault="00D9313C" w:rsidP="002B62E6">
      <w:pPr>
        <w:keepNext/>
        <w:tabs>
          <w:tab w:val="left" w:pos="9072"/>
        </w:tabs>
        <w:ind w:right="249"/>
        <w:rPr>
          <w:rFonts w:asciiTheme="minorHAnsi" w:hAnsiTheme="minorHAnsi" w:cstheme="minorHAnsi"/>
          <w:szCs w:val="22"/>
        </w:rPr>
      </w:pPr>
    </w:p>
    <w:p w14:paraId="6018449F" w14:textId="77777777" w:rsidR="00D9313C" w:rsidRDefault="00D9313C" w:rsidP="002B62E6">
      <w:pPr>
        <w:pStyle w:val="Bodytext"/>
        <w:keepNext/>
        <w:sectPr w:rsidR="00D9313C" w:rsidSect="00237BC5">
          <w:type w:val="continuous"/>
          <w:pgSz w:w="16840" w:h="11900" w:orient="landscape"/>
          <w:pgMar w:top="1021" w:right="1701" w:bottom="1021" w:left="851" w:header="851" w:footer="851" w:gutter="0"/>
          <w:cols w:space="720"/>
          <w:titlePg/>
          <w:docGrid w:linePitch="360"/>
        </w:sectPr>
      </w:pPr>
    </w:p>
    <w:p w14:paraId="1E0D7CE1" w14:textId="77777777" w:rsidR="00D9313C" w:rsidRPr="006644A8" w:rsidRDefault="00D9313C" w:rsidP="00D9313C">
      <w:pPr>
        <w:pStyle w:val="Bodytext"/>
      </w:pPr>
      <w:r w:rsidRPr="006644A8">
        <w:t xml:space="preserve">Like all charities, the </w:t>
      </w:r>
      <w:r>
        <w:t>OtM</w:t>
      </w:r>
      <w:r w:rsidRPr="006644A8">
        <w:t xml:space="preserve"> is reliant on a team of volunteers for our smooth running.</w:t>
      </w:r>
      <w:r>
        <w:t xml:space="preserve"> </w:t>
      </w:r>
      <w:r w:rsidRPr="006644A8">
        <w:t xml:space="preserve">Our volunteers perform </w:t>
      </w:r>
      <w:r>
        <w:t>two</w:t>
      </w:r>
      <w:r w:rsidRPr="006644A8">
        <w:t xml:space="preserve"> roles:</w:t>
      </w:r>
    </w:p>
    <w:p w14:paraId="067C738C" w14:textId="77777777" w:rsidR="00D9313C" w:rsidRPr="002B62E6" w:rsidRDefault="00D9313C" w:rsidP="002B62E6">
      <w:pPr>
        <w:pStyle w:val="Bullet"/>
      </w:pPr>
      <w:r>
        <w:t>f</w:t>
      </w:r>
      <w:r w:rsidRPr="006644A8">
        <w:t xml:space="preserve">und advisors – there are about </w:t>
      </w:r>
      <w:r w:rsidRPr="002B62E6">
        <w:t xml:space="preserve">200 HHFT staff who support the charitable funds committee when deciding how the charity’s designated funds should be spent. These funds are designated (or earmarked) by the charitable funds committee to be spent for a particular purpose or in a particular ward or department. Each fund advisor has delegated powers to use the designated funds in accordance with the committee’s wishes. The committee determines what each fund can be </w:t>
      </w:r>
      <w:r w:rsidRPr="002B62E6">
        <w:t xml:space="preserve">spent on and the amount that can be spent in a year. Annually, each fund advisor is required to report on how the fund has been used and the difference it has made to the medical care and treatment of patients. </w:t>
      </w:r>
    </w:p>
    <w:p w14:paraId="3B207D6A" w14:textId="210C9CC2" w:rsidR="00D9313C" w:rsidRPr="006644A8" w:rsidRDefault="00D9313C" w:rsidP="00052572">
      <w:pPr>
        <w:pStyle w:val="Bullet"/>
      </w:pPr>
      <w:r w:rsidRPr="002B62E6">
        <w:t>fundraisers – there are about 50 local volunteers who usually actively fundraise for the OtM by running events such as coffee mornings, open gardens, sports tournaments and an under 11’s egg and spoon race</w:t>
      </w:r>
      <w:r w:rsidR="005D1A41">
        <w:t xml:space="preserve">. </w:t>
      </w:r>
      <w:r w:rsidRPr="006644A8">
        <w:t>In accordance with the SORP, due to the absence of any reliable measurement basis, the contribution of these volunteers is not recognised in the accounts.</w:t>
      </w:r>
    </w:p>
    <w:p w14:paraId="68782DBD" w14:textId="77777777" w:rsidR="00D9313C" w:rsidRDefault="00D9313C" w:rsidP="00D9313C">
      <w:pPr>
        <w:pStyle w:val="Heading3"/>
        <w:sectPr w:rsidR="00D9313C" w:rsidSect="00237BC5">
          <w:type w:val="continuous"/>
          <w:pgSz w:w="16840" w:h="11900" w:orient="landscape"/>
          <w:pgMar w:top="1021" w:right="1701" w:bottom="1021" w:left="851" w:header="851" w:footer="851" w:gutter="0"/>
          <w:cols w:num="2" w:space="720"/>
          <w:titlePg/>
          <w:docGrid w:linePitch="360"/>
        </w:sectPr>
      </w:pPr>
    </w:p>
    <w:p w14:paraId="657F8A84" w14:textId="77777777" w:rsidR="00D9313C" w:rsidRPr="006644A8" w:rsidRDefault="00D9313C" w:rsidP="002F65D0">
      <w:pPr>
        <w:pStyle w:val="TableTitle"/>
      </w:pPr>
      <w:r>
        <w:t xml:space="preserve">7 </w:t>
      </w:r>
      <w:r w:rsidRPr="006644A8">
        <w:t>Gross investment income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8"/>
      </w:tblGrid>
      <w:tr w:rsidR="00D9313C" w:rsidRPr="006644A8" w14:paraId="576FD4AF" w14:textId="77777777" w:rsidTr="00EC1B15">
        <w:tc>
          <w:tcPr>
            <w:tcW w:w="5000" w:type="pct"/>
            <w:shd w:val="clear" w:color="auto" w:fill="auto"/>
          </w:tcPr>
          <w:p w14:paraId="2371950D" w14:textId="62FD88BF" w:rsidR="00D9313C" w:rsidRPr="00FD1870" w:rsidRDefault="00D9313C" w:rsidP="00730092">
            <w:pPr>
              <w:pStyle w:val="Bodytext"/>
              <w:rPr>
                <w:b/>
                <w:bCs/>
                <w:i/>
                <w:iCs/>
              </w:rPr>
            </w:pPr>
            <w:r>
              <w:t>P</w:t>
            </w:r>
            <w:r w:rsidRPr="006644A8">
              <w:t xml:space="preserve">aragraph 11.35 of the </w:t>
            </w:r>
            <w:r>
              <w:t>SORP FRS 102 lists the disclosure requirements in relation to financial instruments. This note meets the requirement to disclose income for financial assets.</w:t>
            </w:r>
          </w:p>
        </w:tc>
      </w:tr>
    </w:tbl>
    <w:p w14:paraId="783F29EB" w14:textId="77777777" w:rsidR="00D9313C" w:rsidRPr="006644A8" w:rsidRDefault="00D9313C" w:rsidP="002F65D0">
      <w:pPr>
        <w:tabs>
          <w:tab w:val="left" w:pos="9072"/>
        </w:tabs>
        <w:ind w:right="249"/>
        <w:rPr>
          <w:rFonts w:asciiTheme="minorHAnsi" w:hAnsiTheme="minorHAnsi" w:cstheme="minorHAnsi"/>
          <w:b/>
          <w:szCs w:val="22"/>
        </w:rPr>
      </w:pPr>
    </w:p>
    <w:tbl>
      <w:tblPr>
        <w:tblW w:w="5000" w:type="pct"/>
        <w:tblLook w:val="01E0" w:firstRow="1" w:lastRow="1" w:firstColumn="1" w:lastColumn="1" w:noHBand="0" w:noVBand="0"/>
      </w:tblPr>
      <w:tblGrid>
        <w:gridCol w:w="2843"/>
        <w:gridCol w:w="2192"/>
        <w:gridCol w:w="1597"/>
        <w:gridCol w:w="1872"/>
        <w:gridCol w:w="1929"/>
        <w:gridCol w:w="1929"/>
        <w:gridCol w:w="1926"/>
      </w:tblGrid>
      <w:tr w:rsidR="00D9313C" w:rsidRPr="005D68E9" w14:paraId="36F9584F" w14:textId="77777777" w:rsidTr="00EC1B15">
        <w:tc>
          <w:tcPr>
            <w:tcW w:w="995" w:type="pct"/>
            <w:shd w:val="clear" w:color="auto" w:fill="auto"/>
            <w:vAlign w:val="bottom"/>
          </w:tcPr>
          <w:p w14:paraId="2A380F3D" w14:textId="77777777" w:rsidR="00D9313C" w:rsidRPr="003030F2" w:rsidRDefault="00D9313C" w:rsidP="002F65D0">
            <w:pPr>
              <w:pStyle w:val="Bodytext"/>
              <w:rPr>
                <w:b/>
              </w:rPr>
            </w:pPr>
          </w:p>
        </w:tc>
        <w:tc>
          <w:tcPr>
            <w:tcW w:w="1326" w:type="pct"/>
            <w:gridSpan w:val="2"/>
            <w:vAlign w:val="bottom"/>
          </w:tcPr>
          <w:p w14:paraId="43AD5C2B" w14:textId="77777777" w:rsidR="00D9313C" w:rsidRPr="003030F2" w:rsidRDefault="00D9313C" w:rsidP="002F65D0">
            <w:pPr>
              <w:pStyle w:val="Bodytext"/>
              <w:jc w:val="center"/>
              <w:rPr>
                <w:b/>
              </w:rPr>
            </w:pPr>
            <w:r w:rsidRPr="003030F2">
              <w:rPr>
                <w:b/>
              </w:rPr>
              <w:t>Unrestricted funds</w:t>
            </w:r>
          </w:p>
        </w:tc>
        <w:tc>
          <w:tcPr>
            <w:tcW w:w="1330" w:type="pct"/>
            <w:gridSpan w:val="2"/>
            <w:vAlign w:val="bottom"/>
          </w:tcPr>
          <w:p w14:paraId="6CB5C29F" w14:textId="77777777" w:rsidR="00D9313C" w:rsidRPr="003030F2" w:rsidRDefault="00D9313C" w:rsidP="002F65D0">
            <w:pPr>
              <w:pStyle w:val="Bodytext"/>
              <w:jc w:val="center"/>
              <w:rPr>
                <w:b/>
              </w:rPr>
            </w:pPr>
            <w:r w:rsidRPr="003030F2">
              <w:rPr>
                <w:b/>
              </w:rPr>
              <w:t>Restricted funds</w:t>
            </w:r>
          </w:p>
        </w:tc>
        <w:tc>
          <w:tcPr>
            <w:tcW w:w="1349" w:type="pct"/>
            <w:gridSpan w:val="2"/>
            <w:shd w:val="clear" w:color="auto" w:fill="auto"/>
            <w:vAlign w:val="bottom"/>
          </w:tcPr>
          <w:p w14:paraId="13F84846" w14:textId="77777777" w:rsidR="00D9313C" w:rsidRPr="003030F2" w:rsidRDefault="00D9313C" w:rsidP="002F65D0">
            <w:pPr>
              <w:pStyle w:val="Bodytext"/>
              <w:jc w:val="center"/>
              <w:rPr>
                <w:b/>
              </w:rPr>
            </w:pPr>
            <w:r w:rsidRPr="003030F2">
              <w:rPr>
                <w:b/>
              </w:rPr>
              <w:t>Total</w:t>
            </w:r>
          </w:p>
        </w:tc>
      </w:tr>
      <w:tr w:rsidR="00140E07" w:rsidRPr="005D68E9" w14:paraId="4EB34A3C" w14:textId="77777777" w:rsidTr="00EC1B15">
        <w:tc>
          <w:tcPr>
            <w:tcW w:w="995" w:type="pct"/>
            <w:shd w:val="clear" w:color="auto" w:fill="auto"/>
            <w:vAlign w:val="bottom"/>
          </w:tcPr>
          <w:p w14:paraId="16BD8EFE" w14:textId="77777777" w:rsidR="00140E07" w:rsidRPr="003030F2" w:rsidRDefault="00140E07" w:rsidP="00140E07">
            <w:pPr>
              <w:pStyle w:val="Bodytext"/>
              <w:rPr>
                <w:b/>
              </w:rPr>
            </w:pPr>
          </w:p>
        </w:tc>
        <w:tc>
          <w:tcPr>
            <w:tcW w:w="767" w:type="pct"/>
            <w:shd w:val="clear" w:color="auto" w:fill="D9D9D9" w:themeFill="background1" w:themeFillShade="D9"/>
          </w:tcPr>
          <w:p w14:paraId="4AE9A9F2" w14:textId="21153F27" w:rsidR="00140E07" w:rsidRDefault="00140E07" w:rsidP="00140E07">
            <w:pPr>
              <w:pStyle w:val="Bodytext"/>
              <w:keepNext/>
              <w:spacing w:after="60"/>
              <w:jc w:val="right"/>
              <w:rPr>
                <w:b/>
              </w:rPr>
            </w:pPr>
            <w:r>
              <w:rPr>
                <w:b/>
              </w:rPr>
              <w:t>202</w:t>
            </w:r>
            <w:r w:rsidR="000D7898">
              <w:rPr>
                <w:b/>
              </w:rPr>
              <w:t>3</w:t>
            </w:r>
            <w:r>
              <w:rPr>
                <w:b/>
              </w:rPr>
              <w:t>/2</w:t>
            </w:r>
            <w:r w:rsidR="000D7898">
              <w:rPr>
                <w:b/>
              </w:rPr>
              <w:t>4</w:t>
            </w:r>
          </w:p>
          <w:p w14:paraId="4356B682" w14:textId="1B933994" w:rsidR="00140E07" w:rsidRPr="003030F2" w:rsidRDefault="00140E07" w:rsidP="00140E07">
            <w:pPr>
              <w:pStyle w:val="Bodytext"/>
              <w:jc w:val="right"/>
              <w:rPr>
                <w:b/>
              </w:rPr>
            </w:pPr>
            <w:r>
              <w:rPr>
                <w:b/>
              </w:rPr>
              <w:t>£000</w:t>
            </w:r>
          </w:p>
        </w:tc>
        <w:tc>
          <w:tcPr>
            <w:tcW w:w="559" w:type="pct"/>
          </w:tcPr>
          <w:p w14:paraId="0C5C0E0B" w14:textId="6DC49845" w:rsidR="00140E07" w:rsidRPr="002B08DA" w:rsidRDefault="00140E07" w:rsidP="00140E07">
            <w:pPr>
              <w:pStyle w:val="Bodytext"/>
              <w:keepNext/>
              <w:spacing w:after="60"/>
              <w:jc w:val="right"/>
              <w:rPr>
                <w:b/>
                <w:color w:val="A6A6A6" w:themeColor="background1" w:themeShade="A6"/>
              </w:rPr>
            </w:pPr>
            <w:r>
              <w:rPr>
                <w:b/>
                <w:color w:val="A6A6A6" w:themeColor="background1" w:themeShade="A6"/>
              </w:rPr>
              <w:t>202</w:t>
            </w:r>
            <w:r w:rsidR="000D7898">
              <w:rPr>
                <w:b/>
                <w:color w:val="A6A6A6" w:themeColor="background1" w:themeShade="A6"/>
              </w:rPr>
              <w:t>2</w:t>
            </w:r>
            <w:r>
              <w:rPr>
                <w:b/>
                <w:color w:val="A6A6A6" w:themeColor="background1" w:themeShade="A6"/>
              </w:rPr>
              <w:t>/2</w:t>
            </w:r>
            <w:r w:rsidR="000D7898">
              <w:rPr>
                <w:b/>
                <w:color w:val="A6A6A6" w:themeColor="background1" w:themeShade="A6"/>
              </w:rPr>
              <w:t>3</w:t>
            </w:r>
          </w:p>
          <w:p w14:paraId="71FB97FF" w14:textId="635E0339" w:rsidR="00140E07" w:rsidRPr="00073DA0" w:rsidRDefault="00140E07" w:rsidP="00140E07">
            <w:pPr>
              <w:pStyle w:val="Bodytext"/>
              <w:jc w:val="right"/>
              <w:rPr>
                <w:b/>
                <w:color w:val="A6A6A6" w:themeColor="background1" w:themeShade="A6"/>
              </w:rPr>
            </w:pPr>
            <w:r w:rsidRPr="002B08DA">
              <w:rPr>
                <w:b/>
                <w:color w:val="A6A6A6" w:themeColor="background1" w:themeShade="A6"/>
              </w:rPr>
              <w:t>£000</w:t>
            </w:r>
          </w:p>
        </w:tc>
        <w:tc>
          <w:tcPr>
            <w:tcW w:w="655" w:type="pct"/>
            <w:shd w:val="clear" w:color="auto" w:fill="D9D9D9" w:themeFill="background1" w:themeFillShade="D9"/>
          </w:tcPr>
          <w:p w14:paraId="7E2C45A4" w14:textId="46BCA40B" w:rsidR="00140E07" w:rsidRDefault="00140E07" w:rsidP="00140E07">
            <w:pPr>
              <w:pStyle w:val="Bodytext"/>
              <w:keepNext/>
              <w:spacing w:after="60"/>
              <w:jc w:val="right"/>
              <w:rPr>
                <w:b/>
              </w:rPr>
            </w:pPr>
            <w:r>
              <w:rPr>
                <w:b/>
              </w:rPr>
              <w:t>202</w:t>
            </w:r>
            <w:r w:rsidR="000D7898">
              <w:rPr>
                <w:b/>
              </w:rPr>
              <w:t>3</w:t>
            </w:r>
            <w:r>
              <w:rPr>
                <w:b/>
              </w:rPr>
              <w:t>/2</w:t>
            </w:r>
            <w:r w:rsidR="000D7898">
              <w:rPr>
                <w:b/>
              </w:rPr>
              <w:t>4</w:t>
            </w:r>
          </w:p>
          <w:p w14:paraId="7A6ED244" w14:textId="1564025D" w:rsidR="00140E07" w:rsidRPr="003030F2" w:rsidRDefault="00140E07" w:rsidP="00140E07">
            <w:pPr>
              <w:pStyle w:val="Bodytext"/>
              <w:jc w:val="right"/>
              <w:rPr>
                <w:b/>
              </w:rPr>
            </w:pPr>
            <w:r>
              <w:rPr>
                <w:b/>
              </w:rPr>
              <w:t>£000</w:t>
            </w:r>
          </w:p>
        </w:tc>
        <w:tc>
          <w:tcPr>
            <w:tcW w:w="675" w:type="pct"/>
          </w:tcPr>
          <w:p w14:paraId="5F7FCF09" w14:textId="72454298" w:rsidR="00140E07" w:rsidRPr="002B08DA" w:rsidRDefault="00140E07" w:rsidP="00140E07">
            <w:pPr>
              <w:pStyle w:val="Bodytext"/>
              <w:keepNext/>
              <w:spacing w:after="60"/>
              <w:jc w:val="right"/>
              <w:rPr>
                <w:b/>
                <w:color w:val="A6A6A6" w:themeColor="background1" w:themeShade="A6"/>
              </w:rPr>
            </w:pPr>
            <w:r>
              <w:rPr>
                <w:b/>
                <w:color w:val="A6A6A6" w:themeColor="background1" w:themeShade="A6"/>
              </w:rPr>
              <w:t>202</w:t>
            </w:r>
            <w:r w:rsidR="000D7898">
              <w:rPr>
                <w:b/>
                <w:color w:val="A6A6A6" w:themeColor="background1" w:themeShade="A6"/>
              </w:rPr>
              <w:t>2</w:t>
            </w:r>
            <w:r>
              <w:rPr>
                <w:b/>
                <w:color w:val="A6A6A6" w:themeColor="background1" w:themeShade="A6"/>
              </w:rPr>
              <w:t>/2</w:t>
            </w:r>
            <w:r w:rsidR="000D7898">
              <w:rPr>
                <w:b/>
                <w:color w:val="A6A6A6" w:themeColor="background1" w:themeShade="A6"/>
              </w:rPr>
              <w:t>3</w:t>
            </w:r>
          </w:p>
          <w:p w14:paraId="03758BDB" w14:textId="30AAAC72" w:rsidR="00140E07" w:rsidRPr="00073DA0" w:rsidRDefault="00140E07" w:rsidP="00140E07">
            <w:pPr>
              <w:pStyle w:val="Bodytext"/>
              <w:jc w:val="right"/>
              <w:rPr>
                <w:b/>
                <w:color w:val="A6A6A6" w:themeColor="background1" w:themeShade="A6"/>
              </w:rPr>
            </w:pPr>
            <w:r w:rsidRPr="002B08DA">
              <w:rPr>
                <w:b/>
                <w:color w:val="A6A6A6" w:themeColor="background1" w:themeShade="A6"/>
              </w:rPr>
              <w:t>£000</w:t>
            </w:r>
          </w:p>
        </w:tc>
        <w:tc>
          <w:tcPr>
            <w:tcW w:w="675" w:type="pct"/>
            <w:shd w:val="clear" w:color="auto" w:fill="D9D9D9" w:themeFill="background1" w:themeFillShade="D9"/>
          </w:tcPr>
          <w:p w14:paraId="4B807ADF" w14:textId="2613F3A7" w:rsidR="00140E07" w:rsidRDefault="00140E07" w:rsidP="00140E07">
            <w:pPr>
              <w:pStyle w:val="Bodytext"/>
              <w:keepNext/>
              <w:spacing w:after="60"/>
              <w:jc w:val="right"/>
              <w:rPr>
                <w:b/>
              </w:rPr>
            </w:pPr>
            <w:r>
              <w:rPr>
                <w:b/>
              </w:rPr>
              <w:t>202</w:t>
            </w:r>
            <w:r w:rsidR="000D7898">
              <w:rPr>
                <w:b/>
              </w:rPr>
              <w:t>3</w:t>
            </w:r>
            <w:r>
              <w:rPr>
                <w:b/>
              </w:rPr>
              <w:t>/2</w:t>
            </w:r>
            <w:r w:rsidR="000D7898">
              <w:rPr>
                <w:b/>
              </w:rPr>
              <w:t>4</w:t>
            </w:r>
          </w:p>
          <w:p w14:paraId="72EDA008" w14:textId="613D4296" w:rsidR="00140E07" w:rsidRPr="003030F2" w:rsidRDefault="00140E07" w:rsidP="00140E07">
            <w:pPr>
              <w:pStyle w:val="Bodytext"/>
              <w:jc w:val="right"/>
              <w:rPr>
                <w:b/>
              </w:rPr>
            </w:pPr>
            <w:r>
              <w:rPr>
                <w:b/>
              </w:rPr>
              <w:t>£000</w:t>
            </w:r>
          </w:p>
        </w:tc>
        <w:tc>
          <w:tcPr>
            <w:tcW w:w="674" w:type="pct"/>
            <w:shd w:val="clear" w:color="auto" w:fill="auto"/>
          </w:tcPr>
          <w:p w14:paraId="6EA5520E" w14:textId="2F9D4C55" w:rsidR="00140E07" w:rsidRPr="002B08DA" w:rsidRDefault="00140E07" w:rsidP="00140E07">
            <w:pPr>
              <w:pStyle w:val="Bodytext"/>
              <w:keepNext/>
              <w:spacing w:after="60"/>
              <w:jc w:val="right"/>
              <w:rPr>
                <w:b/>
                <w:color w:val="A6A6A6" w:themeColor="background1" w:themeShade="A6"/>
              </w:rPr>
            </w:pPr>
            <w:r>
              <w:rPr>
                <w:b/>
                <w:color w:val="A6A6A6" w:themeColor="background1" w:themeShade="A6"/>
              </w:rPr>
              <w:t>202</w:t>
            </w:r>
            <w:r w:rsidR="000D7898">
              <w:rPr>
                <w:b/>
                <w:color w:val="A6A6A6" w:themeColor="background1" w:themeShade="A6"/>
              </w:rPr>
              <w:t>2</w:t>
            </w:r>
            <w:r>
              <w:rPr>
                <w:b/>
                <w:color w:val="A6A6A6" w:themeColor="background1" w:themeShade="A6"/>
              </w:rPr>
              <w:t>/2</w:t>
            </w:r>
            <w:r w:rsidR="000D7898">
              <w:rPr>
                <w:b/>
                <w:color w:val="A6A6A6" w:themeColor="background1" w:themeShade="A6"/>
              </w:rPr>
              <w:t>3</w:t>
            </w:r>
          </w:p>
          <w:p w14:paraId="128D383D" w14:textId="68869E76" w:rsidR="00140E07" w:rsidRPr="00073DA0" w:rsidRDefault="00140E07" w:rsidP="00140E07">
            <w:pPr>
              <w:pStyle w:val="Bodytext"/>
              <w:jc w:val="right"/>
              <w:rPr>
                <w:b/>
                <w:color w:val="A6A6A6" w:themeColor="background1" w:themeShade="A6"/>
              </w:rPr>
            </w:pPr>
            <w:r w:rsidRPr="002B08DA">
              <w:rPr>
                <w:b/>
                <w:color w:val="A6A6A6" w:themeColor="background1" w:themeShade="A6"/>
              </w:rPr>
              <w:t>£000</w:t>
            </w:r>
          </w:p>
        </w:tc>
      </w:tr>
      <w:tr w:rsidR="00D9313C" w:rsidRPr="006644A8" w14:paraId="326AEC2B" w14:textId="77777777" w:rsidTr="00873F7A">
        <w:tc>
          <w:tcPr>
            <w:tcW w:w="995" w:type="pct"/>
            <w:shd w:val="clear" w:color="auto" w:fill="auto"/>
            <w:vAlign w:val="bottom"/>
          </w:tcPr>
          <w:p w14:paraId="4F33C3FA" w14:textId="77777777" w:rsidR="00D9313C" w:rsidRPr="006644A8" w:rsidRDefault="00D9313C" w:rsidP="002F65D0">
            <w:pPr>
              <w:pStyle w:val="Bodytext"/>
            </w:pPr>
            <w:r w:rsidRPr="006644A8">
              <w:t>Fixed asset equity and similar investments</w:t>
            </w:r>
          </w:p>
        </w:tc>
        <w:tc>
          <w:tcPr>
            <w:tcW w:w="767" w:type="pct"/>
            <w:shd w:val="clear" w:color="auto" w:fill="D9D9D9" w:themeFill="background1" w:themeFillShade="D9"/>
            <w:vAlign w:val="bottom"/>
          </w:tcPr>
          <w:p w14:paraId="0FF2220B" w14:textId="77777777" w:rsidR="00D9313C" w:rsidRPr="006644A8" w:rsidRDefault="00D9313C" w:rsidP="002F65D0">
            <w:pPr>
              <w:pStyle w:val="Bodytext"/>
              <w:jc w:val="right"/>
            </w:pPr>
          </w:p>
        </w:tc>
        <w:tc>
          <w:tcPr>
            <w:tcW w:w="559" w:type="pct"/>
            <w:vAlign w:val="bottom"/>
          </w:tcPr>
          <w:p w14:paraId="5710B9C4" w14:textId="77777777" w:rsidR="00D9313C" w:rsidRPr="00073DA0" w:rsidRDefault="00D9313C" w:rsidP="002F65D0">
            <w:pPr>
              <w:pStyle w:val="Bodytext"/>
              <w:jc w:val="right"/>
              <w:rPr>
                <w:color w:val="A6A6A6" w:themeColor="background1" w:themeShade="A6"/>
              </w:rPr>
            </w:pPr>
          </w:p>
        </w:tc>
        <w:tc>
          <w:tcPr>
            <w:tcW w:w="655" w:type="pct"/>
            <w:shd w:val="clear" w:color="auto" w:fill="D9D9D9" w:themeFill="background1" w:themeFillShade="D9"/>
            <w:vAlign w:val="bottom"/>
          </w:tcPr>
          <w:p w14:paraId="37B36FC4" w14:textId="77777777" w:rsidR="00D9313C" w:rsidRPr="006644A8" w:rsidRDefault="00D9313C" w:rsidP="002F65D0">
            <w:pPr>
              <w:pStyle w:val="Bodytext"/>
              <w:jc w:val="right"/>
            </w:pPr>
            <w:r w:rsidRPr="006644A8">
              <w:t>75</w:t>
            </w:r>
          </w:p>
        </w:tc>
        <w:tc>
          <w:tcPr>
            <w:tcW w:w="675" w:type="pct"/>
            <w:vAlign w:val="bottom"/>
          </w:tcPr>
          <w:p w14:paraId="79D38AB1" w14:textId="77777777" w:rsidR="00D9313C" w:rsidRPr="00073DA0" w:rsidRDefault="00D9313C" w:rsidP="002F65D0">
            <w:pPr>
              <w:pStyle w:val="Bodytext"/>
              <w:jc w:val="right"/>
              <w:rPr>
                <w:color w:val="A6A6A6" w:themeColor="background1" w:themeShade="A6"/>
              </w:rPr>
            </w:pPr>
            <w:r w:rsidRPr="00073DA0">
              <w:rPr>
                <w:color w:val="A6A6A6" w:themeColor="background1" w:themeShade="A6"/>
              </w:rPr>
              <w:t>119</w:t>
            </w:r>
          </w:p>
        </w:tc>
        <w:tc>
          <w:tcPr>
            <w:tcW w:w="675" w:type="pct"/>
            <w:shd w:val="clear" w:color="auto" w:fill="D9D9D9" w:themeFill="background1" w:themeFillShade="D9"/>
            <w:vAlign w:val="bottom"/>
          </w:tcPr>
          <w:p w14:paraId="437C95FF" w14:textId="77777777" w:rsidR="00D9313C" w:rsidRPr="006644A8" w:rsidRDefault="00D9313C" w:rsidP="002F65D0">
            <w:pPr>
              <w:pStyle w:val="Bodytext"/>
              <w:jc w:val="right"/>
            </w:pPr>
            <w:r w:rsidRPr="006644A8">
              <w:t>75</w:t>
            </w:r>
          </w:p>
        </w:tc>
        <w:tc>
          <w:tcPr>
            <w:tcW w:w="674" w:type="pct"/>
            <w:shd w:val="clear" w:color="auto" w:fill="auto"/>
            <w:vAlign w:val="bottom"/>
          </w:tcPr>
          <w:p w14:paraId="1D932E7B" w14:textId="77777777" w:rsidR="00D9313C" w:rsidRPr="00073DA0" w:rsidRDefault="00D9313C" w:rsidP="002F65D0">
            <w:pPr>
              <w:pStyle w:val="Bodytext"/>
              <w:jc w:val="right"/>
              <w:rPr>
                <w:color w:val="A6A6A6" w:themeColor="background1" w:themeShade="A6"/>
              </w:rPr>
            </w:pPr>
            <w:r w:rsidRPr="00073DA0">
              <w:rPr>
                <w:color w:val="A6A6A6" w:themeColor="background1" w:themeShade="A6"/>
              </w:rPr>
              <w:t>119</w:t>
            </w:r>
          </w:p>
        </w:tc>
      </w:tr>
      <w:tr w:rsidR="00D9313C" w:rsidRPr="006644A8" w14:paraId="4FC3FA3B" w14:textId="77777777" w:rsidTr="00C55CDD">
        <w:tc>
          <w:tcPr>
            <w:tcW w:w="995" w:type="pct"/>
            <w:shd w:val="clear" w:color="auto" w:fill="auto"/>
            <w:vAlign w:val="bottom"/>
          </w:tcPr>
          <w:p w14:paraId="4AF2EC09" w14:textId="77777777" w:rsidR="00D9313C" w:rsidRPr="006644A8" w:rsidRDefault="00D9313C" w:rsidP="002F65D0">
            <w:pPr>
              <w:pStyle w:val="Bodytext"/>
            </w:pPr>
            <w:r w:rsidRPr="006644A8">
              <w:t xml:space="preserve">Short term investments and deposits </w:t>
            </w:r>
            <w:r>
              <w:t xml:space="preserve">and </w:t>
            </w:r>
            <w:r w:rsidRPr="006644A8">
              <w:t>cash on deposit</w:t>
            </w:r>
          </w:p>
        </w:tc>
        <w:tc>
          <w:tcPr>
            <w:tcW w:w="767" w:type="pct"/>
            <w:tcBorders>
              <w:bottom w:val="single" w:sz="4" w:space="0" w:color="auto"/>
            </w:tcBorders>
            <w:shd w:val="clear" w:color="auto" w:fill="D9D9D9" w:themeFill="background1" w:themeFillShade="D9"/>
            <w:vAlign w:val="bottom"/>
          </w:tcPr>
          <w:p w14:paraId="6455FADF" w14:textId="77777777" w:rsidR="00D9313C" w:rsidRPr="006644A8" w:rsidRDefault="00D9313C" w:rsidP="002F65D0">
            <w:pPr>
              <w:pStyle w:val="Bodytext"/>
              <w:jc w:val="right"/>
            </w:pPr>
            <w:r w:rsidRPr="006644A8">
              <w:t>189</w:t>
            </w:r>
          </w:p>
        </w:tc>
        <w:tc>
          <w:tcPr>
            <w:tcW w:w="559" w:type="pct"/>
            <w:tcBorders>
              <w:bottom w:val="single" w:sz="4" w:space="0" w:color="auto"/>
            </w:tcBorders>
            <w:vAlign w:val="bottom"/>
          </w:tcPr>
          <w:p w14:paraId="5186228A" w14:textId="77777777" w:rsidR="00D9313C" w:rsidRPr="00073DA0" w:rsidRDefault="00D9313C" w:rsidP="002F65D0">
            <w:pPr>
              <w:pStyle w:val="Bodytext"/>
              <w:jc w:val="right"/>
              <w:rPr>
                <w:color w:val="A6A6A6" w:themeColor="background1" w:themeShade="A6"/>
              </w:rPr>
            </w:pPr>
            <w:r w:rsidRPr="00073DA0">
              <w:rPr>
                <w:color w:val="A6A6A6" w:themeColor="background1" w:themeShade="A6"/>
              </w:rPr>
              <w:t>244</w:t>
            </w:r>
          </w:p>
        </w:tc>
        <w:tc>
          <w:tcPr>
            <w:tcW w:w="655" w:type="pct"/>
            <w:tcBorders>
              <w:bottom w:val="single" w:sz="4" w:space="0" w:color="auto"/>
            </w:tcBorders>
            <w:shd w:val="clear" w:color="auto" w:fill="D9D9D9" w:themeFill="background1" w:themeFillShade="D9"/>
            <w:vAlign w:val="bottom"/>
          </w:tcPr>
          <w:p w14:paraId="21E7E6B2" w14:textId="729DDF8D" w:rsidR="00D9313C" w:rsidRPr="006644A8" w:rsidRDefault="00D8358E" w:rsidP="002F65D0">
            <w:pPr>
              <w:pStyle w:val="Bodytext"/>
              <w:jc w:val="right"/>
            </w:pPr>
            <w:r>
              <w:t>1</w:t>
            </w:r>
            <w:r w:rsidR="00D9313C" w:rsidRPr="006644A8">
              <w:t>50</w:t>
            </w:r>
          </w:p>
        </w:tc>
        <w:tc>
          <w:tcPr>
            <w:tcW w:w="675" w:type="pct"/>
            <w:tcBorders>
              <w:bottom w:val="single" w:sz="4" w:space="0" w:color="auto"/>
            </w:tcBorders>
            <w:vAlign w:val="bottom"/>
          </w:tcPr>
          <w:p w14:paraId="5889F6FB" w14:textId="77777777" w:rsidR="00D9313C" w:rsidRPr="00073DA0" w:rsidRDefault="00D9313C" w:rsidP="002F65D0">
            <w:pPr>
              <w:pStyle w:val="Bodytext"/>
              <w:jc w:val="right"/>
              <w:rPr>
                <w:color w:val="A6A6A6" w:themeColor="background1" w:themeShade="A6"/>
              </w:rPr>
            </w:pPr>
            <w:r w:rsidRPr="00073DA0">
              <w:rPr>
                <w:color w:val="A6A6A6" w:themeColor="background1" w:themeShade="A6"/>
              </w:rPr>
              <w:t>45</w:t>
            </w:r>
          </w:p>
        </w:tc>
        <w:tc>
          <w:tcPr>
            <w:tcW w:w="675" w:type="pct"/>
            <w:tcBorders>
              <w:bottom w:val="single" w:sz="4" w:space="0" w:color="auto"/>
            </w:tcBorders>
            <w:shd w:val="clear" w:color="auto" w:fill="D9D9D9" w:themeFill="background1" w:themeFillShade="D9"/>
            <w:vAlign w:val="bottom"/>
          </w:tcPr>
          <w:p w14:paraId="3FD4DD7D" w14:textId="0F7A081C" w:rsidR="00D9313C" w:rsidRPr="006644A8" w:rsidRDefault="00D8358E" w:rsidP="002F65D0">
            <w:pPr>
              <w:pStyle w:val="Bodytext"/>
              <w:jc w:val="right"/>
            </w:pPr>
            <w:r>
              <w:t>3</w:t>
            </w:r>
            <w:r w:rsidR="00D9313C" w:rsidRPr="006644A8">
              <w:t>39</w:t>
            </w:r>
          </w:p>
        </w:tc>
        <w:tc>
          <w:tcPr>
            <w:tcW w:w="674" w:type="pct"/>
            <w:tcBorders>
              <w:bottom w:val="single" w:sz="4" w:space="0" w:color="auto"/>
            </w:tcBorders>
            <w:shd w:val="clear" w:color="auto" w:fill="auto"/>
            <w:vAlign w:val="bottom"/>
          </w:tcPr>
          <w:p w14:paraId="6441EA3C" w14:textId="77777777" w:rsidR="00D9313C" w:rsidRPr="00073DA0" w:rsidRDefault="00D9313C" w:rsidP="002F65D0">
            <w:pPr>
              <w:pStyle w:val="Bodytext"/>
              <w:jc w:val="right"/>
              <w:rPr>
                <w:color w:val="A6A6A6" w:themeColor="background1" w:themeShade="A6"/>
              </w:rPr>
            </w:pPr>
            <w:r w:rsidRPr="00073DA0">
              <w:rPr>
                <w:color w:val="A6A6A6" w:themeColor="background1" w:themeShade="A6"/>
              </w:rPr>
              <w:t>289</w:t>
            </w:r>
          </w:p>
        </w:tc>
      </w:tr>
      <w:tr w:rsidR="00D9313C" w:rsidRPr="005D68E9" w14:paraId="2AFE7D5D" w14:textId="77777777" w:rsidTr="00C55CDD">
        <w:tc>
          <w:tcPr>
            <w:tcW w:w="995" w:type="pct"/>
            <w:shd w:val="clear" w:color="auto" w:fill="auto"/>
            <w:vAlign w:val="bottom"/>
          </w:tcPr>
          <w:p w14:paraId="2C637BA2" w14:textId="77777777" w:rsidR="00D9313C" w:rsidRPr="003030F2" w:rsidRDefault="00D9313C" w:rsidP="002F65D0">
            <w:pPr>
              <w:pStyle w:val="Bodytext"/>
              <w:rPr>
                <w:b/>
              </w:rPr>
            </w:pPr>
            <w:r w:rsidRPr="003030F2">
              <w:rPr>
                <w:b/>
              </w:rPr>
              <w:t>Total</w:t>
            </w:r>
          </w:p>
        </w:tc>
        <w:tc>
          <w:tcPr>
            <w:tcW w:w="767" w:type="pct"/>
            <w:tcBorders>
              <w:top w:val="single" w:sz="4" w:space="0" w:color="auto"/>
              <w:bottom w:val="double" w:sz="4" w:space="0" w:color="auto"/>
            </w:tcBorders>
            <w:shd w:val="clear" w:color="auto" w:fill="D9D9D9" w:themeFill="background1" w:themeFillShade="D9"/>
            <w:vAlign w:val="bottom"/>
          </w:tcPr>
          <w:p w14:paraId="7F8AB34A" w14:textId="77777777" w:rsidR="00D9313C" w:rsidRPr="003030F2" w:rsidRDefault="00D9313C" w:rsidP="002F65D0">
            <w:pPr>
              <w:pStyle w:val="Bodytext"/>
              <w:jc w:val="right"/>
              <w:rPr>
                <w:b/>
              </w:rPr>
            </w:pPr>
            <w:r w:rsidRPr="003030F2">
              <w:rPr>
                <w:b/>
              </w:rPr>
              <w:t>189</w:t>
            </w:r>
          </w:p>
        </w:tc>
        <w:tc>
          <w:tcPr>
            <w:tcW w:w="559" w:type="pct"/>
            <w:tcBorders>
              <w:top w:val="single" w:sz="4" w:space="0" w:color="auto"/>
              <w:bottom w:val="double" w:sz="4" w:space="0" w:color="auto"/>
            </w:tcBorders>
            <w:vAlign w:val="bottom"/>
          </w:tcPr>
          <w:p w14:paraId="070D1BFE" w14:textId="77777777" w:rsidR="00D9313C" w:rsidRPr="00073DA0" w:rsidRDefault="00D9313C" w:rsidP="002F65D0">
            <w:pPr>
              <w:pStyle w:val="Bodytext"/>
              <w:jc w:val="right"/>
              <w:rPr>
                <w:b/>
                <w:color w:val="A6A6A6" w:themeColor="background1" w:themeShade="A6"/>
              </w:rPr>
            </w:pPr>
            <w:r w:rsidRPr="00073DA0">
              <w:rPr>
                <w:b/>
                <w:color w:val="A6A6A6" w:themeColor="background1" w:themeShade="A6"/>
              </w:rPr>
              <w:t>244</w:t>
            </w:r>
          </w:p>
        </w:tc>
        <w:tc>
          <w:tcPr>
            <w:tcW w:w="655" w:type="pct"/>
            <w:tcBorders>
              <w:top w:val="single" w:sz="4" w:space="0" w:color="auto"/>
              <w:bottom w:val="double" w:sz="4" w:space="0" w:color="auto"/>
            </w:tcBorders>
            <w:shd w:val="clear" w:color="auto" w:fill="D9D9D9" w:themeFill="background1" w:themeFillShade="D9"/>
            <w:vAlign w:val="bottom"/>
          </w:tcPr>
          <w:p w14:paraId="1CF7875D" w14:textId="5795DB95" w:rsidR="00D9313C" w:rsidRPr="003030F2" w:rsidRDefault="00D8358E" w:rsidP="002F65D0">
            <w:pPr>
              <w:pStyle w:val="Bodytext"/>
              <w:jc w:val="right"/>
              <w:rPr>
                <w:b/>
              </w:rPr>
            </w:pPr>
            <w:r>
              <w:rPr>
                <w:b/>
              </w:rPr>
              <w:t>2</w:t>
            </w:r>
            <w:r w:rsidR="00D9313C" w:rsidRPr="003030F2">
              <w:rPr>
                <w:b/>
              </w:rPr>
              <w:t>25</w:t>
            </w:r>
          </w:p>
        </w:tc>
        <w:tc>
          <w:tcPr>
            <w:tcW w:w="675" w:type="pct"/>
            <w:tcBorders>
              <w:top w:val="single" w:sz="4" w:space="0" w:color="auto"/>
              <w:bottom w:val="double" w:sz="4" w:space="0" w:color="auto"/>
            </w:tcBorders>
            <w:vAlign w:val="bottom"/>
          </w:tcPr>
          <w:p w14:paraId="5F10B514" w14:textId="77777777" w:rsidR="00D9313C" w:rsidRPr="00073DA0" w:rsidRDefault="00D9313C" w:rsidP="002F65D0">
            <w:pPr>
              <w:pStyle w:val="Bodytext"/>
              <w:jc w:val="right"/>
              <w:rPr>
                <w:b/>
                <w:color w:val="A6A6A6" w:themeColor="background1" w:themeShade="A6"/>
              </w:rPr>
            </w:pPr>
            <w:r w:rsidRPr="00073DA0">
              <w:rPr>
                <w:b/>
                <w:color w:val="A6A6A6" w:themeColor="background1" w:themeShade="A6"/>
              </w:rPr>
              <w:t>164</w:t>
            </w:r>
          </w:p>
        </w:tc>
        <w:tc>
          <w:tcPr>
            <w:tcW w:w="675" w:type="pct"/>
            <w:tcBorders>
              <w:top w:val="single" w:sz="4" w:space="0" w:color="auto"/>
              <w:bottom w:val="double" w:sz="4" w:space="0" w:color="auto"/>
            </w:tcBorders>
            <w:shd w:val="clear" w:color="auto" w:fill="D9D9D9" w:themeFill="background1" w:themeFillShade="D9"/>
            <w:vAlign w:val="bottom"/>
          </w:tcPr>
          <w:p w14:paraId="1EFFA63F" w14:textId="2B15D2EC" w:rsidR="00D9313C" w:rsidRPr="003030F2" w:rsidRDefault="00D8358E" w:rsidP="002F65D0">
            <w:pPr>
              <w:pStyle w:val="Bodytext"/>
              <w:jc w:val="right"/>
              <w:rPr>
                <w:b/>
              </w:rPr>
            </w:pPr>
            <w:r>
              <w:rPr>
                <w:b/>
              </w:rPr>
              <w:t>4</w:t>
            </w:r>
            <w:r w:rsidR="00D9313C" w:rsidRPr="003030F2">
              <w:rPr>
                <w:b/>
              </w:rPr>
              <w:t>14</w:t>
            </w:r>
          </w:p>
        </w:tc>
        <w:tc>
          <w:tcPr>
            <w:tcW w:w="674" w:type="pct"/>
            <w:tcBorders>
              <w:top w:val="single" w:sz="4" w:space="0" w:color="auto"/>
              <w:bottom w:val="double" w:sz="4" w:space="0" w:color="auto"/>
            </w:tcBorders>
            <w:shd w:val="clear" w:color="auto" w:fill="auto"/>
            <w:vAlign w:val="bottom"/>
          </w:tcPr>
          <w:p w14:paraId="50997A87" w14:textId="77777777" w:rsidR="00D9313C" w:rsidRPr="00073DA0" w:rsidRDefault="00D9313C" w:rsidP="002F65D0">
            <w:pPr>
              <w:pStyle w:val="Bodytext"/>
              <w:jc w:val="right"/>
              <w:rPr>
                <w:b/>
                <w:color w:val="A6A6A6" w:themeColor="background1" w:themeShade="A6"/>
              </w:rPr>
            </w:pPr>
            <w:r w:rsidRPr="00073DA0">
              <w:rPr>
                <w:b/>
                <w:color w:val="A6A6A6" w:themeColor="background1" w:themeShade="A6"/>
              </w:rPr>
              <w:t>408</w:t>
            </w:r>
          </w:p>
        </w:tc>
      </w:tr>
    </w:tbl>
    <w:p w14:paraId="001C16FB" w14:textId="77777777" w:rsidR="00D9313C" w:rsidRPr="006644A8" w:rsidRDefault="00D9313C" w:rsidP="00085862">
      <w:pPr>
        <w:pStyle w:val="TableTitle"/>
        <w:keepNext/>
      </w:pPr>
      <w:bookmarkStart w:id="59" w:name="_Ref431895994"/>
      <w:r>
        <w:lastRenderedPageBreak/>
        <w:t xml:space="preserve">8 </w:t>
      </w:r>
      <w:r w:rsidRPr="006644A8">
        <w:t>Analysis of expenditure on raising funds</w:t>
      </w:r>
      <w:bookmarkEnd w:id="59"/>
    </w:p>
    <w:tbl>
      <w:tblPr>
        <w:tblW w:w="500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2126"/>
        <w:gridCol w:w="1703"/>
        <w:gridCol w:w="1703"/>
        <w:gridCol w:w="1986"/>
        <w:gridCol w:w="2269"/>
        <w:gridCol w:w="1952"/>
      </w:tblGrid>
      <w:tr w:rsidR="00D9313C" w:rsidRPr="006644A8" w14:paraId="2F39CAD9" w14:textId="77777777" w:rsidTr="00085862">
        <w:tc>
          <w:tcPr>
            <w:tcW w:w="5000" w:type="pct"/>
            <w:gridSpan w:val="7"/>
            <w:shd w:val="clear" w:color="auto" w:fill="auto"/>
          </w:tcPr>
          <w:p w14:paraId="50AA4584" w14:textId="77777777" w:rsidR="00D9313C" w:rsidRPr="006644A8" w:rsidRDefault="00D9313C" w:rsidP="00085862">
            <w:pPr>
              <w:pStyle w:val="Bodytext"/>
              <w:keepNext/>
            </w:pPr>
            <w:r w:rsidRPr="006644A8">
              <w:t xml:space="preserve">Paragraph 4.57 of the </w:t>
            </w:r>
            <w:r>
              <w:t>SORP FRS 102</w:t>
            </w:r>
            <w:r w:rsidRPr="006644A8">
              <w:t xml:space="preserve"> requires that the notes to the accounts provide a relevant analysis of the activities included within each expenditure heading provided on the face of the SoFA.</w:t>
            </w:r>
            <w:r>
              <w:t xml:space="preserve"> </w:t>
            </w:r>
            <w:r w:rsidRPr="006644A8">
              <w:t>As the amounts are not material to this set of accounts no narrative has been added to the note.</w:t>
            </w:r>
            <w:r w:rsidRPr="006644A8" w:rsidDel="00286C97">
              <w:t xml:space="preserve"> </w:t>
            </w:r>
          </w:p>
        </w:tc>
      </w:tr>
      <w:tr w:rsidR="00D9313C" w:rsidRPr="005D68E9" w14:paraId="46E8FAC1" w14:textId="77777777" w:rsidTr="00EC1B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92" w:type="pct"/>
            <w:shd w:val="clear" w:color="auto" w:fill="auto"/>
            <w:vAlign w:val="bottom"/>
          </w:tcPr>
          <w:p w14:paraId="5727AC4A" w14:textId="77777777" w:rsidR="00D9313C" w:rsidRPr="003030F2" w:rsidRDefault="00D9313C" w:rsidP="00EC1B15">
            <w:pPr>
              <w:pStyle w:val="Bodytext"/>
              <w:spacing w:after="60"/>
              <w:rPr>
                <w:b/>
              </w:rPr>
            </w:pPr>
            <w:bookmarkStart w:id="60" w:name="_Ref431896177"/>
          </w:p>
        </w:tc>
        <w:tc>
          <w:tcPr>
            <w:tcW w:w="1340" w:type="pct"/>
            <w:gridSpan w:val="2"/>
            <w:vAlign w:val="bottom"/>
          </w:tcPr>
          <w:p w14:paraId="28097B56" w14:textId="77777777" w:rsidR="00D9313C" w:rsidRPr="003030F2" w:rsidRDefault="00D9313C" w:rsidP="00EC1B15">
            <w:pPr>
              <w:pStyle w:val="Bodytext"/>
              <w:spacing w:after="60"/>
              <w:jc w:val="center"/>
              <w:rPr>
                <w:b/>
              </w:rPr>
            </w:pPr>
            <w:r w:rsidRPr="003030F2">
              <w:rPr>
                <w:b/>
              </w:rPr>
              <w:t>Unrestricted funds</w:t>
            </w:r>
          </w:p>
        </w:tc>
        <w:tc>
          <w:tcPr>
            <w:tcW w:w="1291" w:type="pct"/>
            <w:gridSpan w:val="2"/>
            <w:vAlign w:val="bottom"/>
          </w:tcPr>
          <w:p w14:paraId="0ECD4DAA" w14:textId="77777777" w:rsidR="00D9313C" w:rsidRPr="003030F2" w:rsidRDefault="00D9313C" w:rsidP="00EC1B15">
            <w:pPr>
              <w:pStyle w:val="Bodytext"/>
              <w:spacing w:after="60"/>
              <w:jc w:val="center"/>
              <w:rPr>
                <w:b/>
              </w:rPr>
            </w:pPr>
            <w:r w:rsidRPr="003030F2">
              <w:rPr>
                <w:b/>
              </w:rPr>
              <w:t>Restricted funds</w:t>
            </w:r>
          </w:p>
        </w:tc>
        <w:tc>
          <w:tcPr>
            <w:tcW w:w="1477" w:type="pct"/>
            <w:gridSpan w:val="2"/>
            <w:shd w:val="clear" w:color="auto" w:fill="auto"/>
            <w:vAlign w:val="bottom"/>
          </w:tcPr>
          <w:p w14:paraId="752927CE" w14:textId="77777777" w:rsidR="00D9313C" w:rsidRPr="003030F2" w:rsidRDefault="00D9313C" w:rsidP="00EC1B15">
            <w:pPr>
              <w:pStyle w:val="Bodytext"/>
              <w:spacing w:after="60"/>
              <w:jc w:val="center"/>
              <w:rPr>
                <w:b/>
              </w:rPr>
            </w:pPr>
            <w:r w:rsidRPr="003030F2">
              <w:rPr>
                <w:b/>
              </w:rPr>
              <w:t>Total</w:t>
            </w:r>
          </w:p>
        </w:tc>
      </w:tr>
      <w:tr w:rsidR="00140E07" w:rsidRPr="005D68E9" w14:paraId="6F408F7A" w14:textId="77777777" w:rsidTr="00EC1B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92" w:type="pct"/>
            <w:shd w:val="clear" w:color="auto" w:fill="auto"/>
            <w:vAlign w:val="bottom"/>
          </w:tcPr>
          <w:p w14:paraId="72E88DC2" w14:textId="77777777" w:rsidR="00140E07" w:rsidRPr="003030F2" w:rsidRDefault="00140E07" w:rsidP="00140E07">
            <w:pPr>
              <w:pStyle w:val="Bodytext"/>
              <w:spacing w:after="60"/>
              <w:rPr>
                <w:b/>
              </w:rPr>
            </w:pPr>
          </w:p>
        </w:tc>
        <w:tc>
          <w:tcPr>
            <w:tcW w:w="744" w:type="pct"/>
            <w:shd w:val="clear" w:color="auto" w:fill="D9D9D9" w:themeFill="background1" w:themeFillShade="D9"/>
          </w:tcPr>
          <w:p w14:paraId="1DB2E58F" w14:textId="4180C550" w:rsidR="00140E07" w:rsidRDefault="00140E07" w:rsidP="00140E07">
            <w:pPr>
              <w:pStyle w:val="Bodytext"/>
              <w:keepNext/>
              <w:spacing w:after="60"/>
              <w:jc w:val="right"/>
              <w:rPr>
                <w:b/>
              </w:rPr>
            </w:pPr>
            <w:r>
              <w:rPr>
                <w:b/>
              </w:rPr>
              <w:t>202</w:t>
            </w:r>
            <w:r w:rsidR="00D7144A">
              <w:rPr>
                <w:b/>
              </w:rPr>
              <w:t>3</w:t>
            </w:r>
            <w:r>
              <w:rPr>
                <w:b/>
              </w:rPr>
              <w:t>/2</w:t>
            </w:r>
            <w:r w:rsidR="00D7144A">
              <w:rPr>
                <w:b/>
              </w:rPr>
              <w:t>4</w:t>
            </w:r>
          </w:p>
          <w:p w14:paraId="5446BE79" w14:textId="59696DF7" w:rsidR="00140E07" w:rsidRPr="00D1741D" w:rsidRDefault="00140E07" w:rsidP="00140E07">
            <w:pPr>
              <w:pStyle w:val="Bodytext"/>
              <w:spacing w:after="60"/>
              <w:jc w:val="right"/>
              <w:rPr>
                <w:b/>
                <w:bCs/>
              </w:rPr>
            </w:pPr>
            <w:r>
              <w:rPr>
                <w:b/>
              </w:rPr>
              <w:t>£000</w:t>
            </w:r>
          </w:p>
        </w:tc>
        <w:tc>
          <w:tcPr>
            <w:tcW w:w="596" w:type="pct"/>
          </w:tcPr>
          <w:p w14:paraId="58614543" w14:textId="6F31EFC6" w:rsidR="00140E07" w:rsidRPr="002B08DA" w:rsidRDefault="00140E07" w:rsidP="00140E07">
            <w:pPr>
              <w:pStyle w:val="Bodytext"/>
              <w:keepNext/>
              <w:spacing w:after="60"/>
              <w:jc w:val="right"/>
              <w:rPr>
                <w:b/>
                <w:color w:val="A6A6A6" w:themeColor="background1" w:themeShade="A6"/>
              </w:rPr>
            </w:pPr>
            <w:r>
              <w:rPr>
                <w:b/>
                <w:color w:val="A6A6A6" w:themeColor="background1" w:themeShade="A6"/>
              </w:rPr>
              <w:t>202</w:t>
            </w:r>
            <w:r w:rsidR="00D7144A">
              <w:rPr>
                <w:b/>
                <w:color w:val="A6A6A6" w:themeColor="background1" w:themeShade="A6"/>
              </w:rPr>
              <w:t>2</w:t>
            </w:r>
            <w:r>
              <w:rPr>
                <w:b/>
                <w:color w:val="A6A6A6" w:themeColor="background1" w:themeShade="A6"/>
              </w:rPr>
              <w:t>/2</w:t>
            </w:r>
            <w:r w:rsidR="00D7144A">
              <w:rPr>
                <w:b/>
                <w:color w:val="A6A6A6" w:themeColor="background1" w:themeShade="A6"/>
              </w:rPr>
              <w:t>3</w:t>
            </w:r>
          </w:p>
          <w:p w14:paraId="34F5F280" w14:textId="20B244B9" w:rsidR="00140E07" w:rsidRPr="00D1741D" w:rsidRDefault="00140E07" w:rsidP="00140E07">
            <w:pPr>
              <w:pStyle w:val="Bodytext"/>
              <w:spacing w:after="60"/>
              <w:jc w:val="right"/>
              <w:rPr>
                <w:b/>
                <w:bCs/>
                <w:color w:val="A6A6A6" w:themeColor="background1" w:themeShade="A6"/>
              </w:rPr>
            </w:pPr>
            <w:r w:rsidRPr="002B08DA">
              <w:rPr>
                <w:b/>
                <w:color w:val="A6A6A6" w:themeColor="background1" w:themeShade="A6"/>
              </w:rPr>
              <w:t>£000</w:t>
            </w:r>
          </w:p>
        </w:tc>
        <w:tc>
          <w:tcPr>
            <w:tcW w:w="596" w:type="pct"/>
            <w:shd w:val="clear" w:color="auto" w:fill="D9D9D9" w:themeFill="background1" w:themeFillShade="D9"/>
          </w:tcPr>
          <w:p w14:paraId="11AE9F90" w14:textId="34FA3FAE" w:rsidR="00140E07" w:rsidRDefault="00140E07" w:rsidP="00140E07">
            <w:pPr>
              <w:pStyle w:val="Bodytext"/>
              <w:keepNext/>
              <w:spacing w:after="60"/>
              <w:jc w:val="right"/>
              <w:rPr>
                <w:b/>
              </w:rPr>
            </w:pPr>
            <w:r>
              <w:rPr>
                <w:b/>
              </w:rPr>
              <w:t>202</w:t>
            </w:r>
            <w:r w:rsidR="00D7144A">
              <w:rPr>
                <w:b/>
              </w:rPr>
              <w:t>3</w:t>
            </w:r>
            <w:r>
              <w:rPr>
                <w:b/>
              </w:rPr>
              <w:t>/2</w:t>
            </w:r>
            <w:r w:rsidR="00D7144A">
              <w:rPr>
                <w:b/>
              </w:rPr>
              <w:t>4</w:t>
            </w:r>
          </w:p>
          <w:p w14:paraId="6BFFB8CE" w14:textId="6E89FE18" w:rsidR="00140E07" w:rsidRPr="00D1741D" w:rsidRDefault="00140E07" w:rsidP="00140E07">
            <w:pPr>
              <w:pStyle w:val="Bodytext"/>
              <w:spacing w:after="60"/>
              <w:jc w:val="right"/>
              <w:rPr>
                <w:b/>
                <w:bCs/>
              </w:rPr>
            </w:pPr>
            <w:r>
              <w:rPr>
                <w:b/>
              </w:rPr>
              <w:t>£000</w:t>
            </w:r>
          </w:p>
        </w:tc>
        <w:tc>
          <w:tcPr>
            <w:tcW w:w="695" w:type="pct"/>
          </w:tcPr>
          <w:p w14:paraId="7DC8E5F5" w14:textId="59C4E7FB" w:rsidR="00140E07" w:rsidRPr="002B08DA" w:rsidRDefault="00140E07" w:rsidP="00140E07">
            <w:pPr>
              <w:pStyle w:val="Bodytext"/>
              <w:keepNext/>
              <w:spacing w:after="60"/>
              <w:jc w:val="right"/>
              <w:rPr>
                <w:b/>
                <w:color w:val="A6A6A6" w:themeColor="background1" w:themeShade="A6"/>
              </w:rPr>
            </w:pPr>
            <w:r>
              <w:rPr>
                <w:b/>
                <w:color w:val="A6A6A6" w:themeColor="background1" w:themeShade="A6"/>
              </w:rPr>
              <w:t>202</w:t>
            </w:r>
            <w:r w:rsidR="00D7144A">
              <w:rPr>
                <w:b/>
                <w:color w:val="A6A6A6" w:themeColor="background1" w:themeShade="A6"/>
              </w:rPr>
              <w:t>2</w:t>
            </w:r>
            <w:r>
              <w:rPr>
                <w:b/>
                <w:color w:val="A6A6A6" w:themeColor="background1" w:themeShade="A6"/>
              </w:rPr>
              <w:t>/2</w:t>
            </w:r>
            <w:r w:rsidR="00D7144A">
              <w:rPr>
                <w:b/>
                <w:color w:val="A6A6A6" w:themeColor="background1" w:themeShade="A6"/>
              </w:rPr>
              <w:t>3</w:t>
            </w:r>
          </w:p>
          <w:p w14:paraId="572BA0D5" w14:textId="680A2763" w:rsidR="00140E07" w:rsidRPr="00D1741D" w:rsidRDefault="00140E07" w:rsidP="00140E07">
            <w:pPr>
              <w:pStyle w:val="Bodytext"/>
              <w:spacing w:after="60"/>
              <w:jc w:val="right"/>
              <w:rPr>
                <w:b/>
                <w:bCs/>
                <w:color w:val="A6A6A6" w:themeColor="background1" w:themeShade="A6"/>
              </w:rPr>
            </w:pPr>
            <w:r w:rsidRPr="002B08DA">
              <w:rPr>
                <w:b/>
                <w:color w:val="A6A6A6" w:themeColor="background1" w:themeShade="A6"/>
              </w:rPr>
              <w:t>£000</w:t>
            </w:r>
          </w:p>
        </w:tc>
        <w:tc>
          <w:tcPr>
            <w:tcW w:w="794" w:type="pct"/>
            <w:shd w:val="clear" w:color="auto" w:fill="D9D9D9" w:themeFill="background1" w:themeFillShade="D9"/>
          </w:tcPr>
          <w:p w14:paraId="3C33F9FB" w14:textId="0101B3C5" w:rsidR="00140E07" w:rsidRDefault="00140E07" w:rsidP="00140E07">
            <w:pPr>
              <w:pStyle w:val="Bodytext"/>
              <w:keepNext/>
              <w:spacing w:after="60"/>
              <w:jc w:val="right"/>
              <w:rPr>
                <w:b/>
              </w:rPr>
            </w:pPr>
            <w:r>
              <w:rPr>
                <w:b/>
              </w:rPr>
              <w:t>202</w:t>
            </w:r>
            <w:r w:rsidR="00D7144A">
              <w:rPr>
                <w:b/>
              </w:rPr>
              <w:t>3</w:t>
            </w:r>
            <w:r>
              <w:rPr>
                <w:b/>
              </w:rPr>
              <w:t>/2</w:t>
            </w:r>
            <w:r w:rsidR="00D7144A">
              <w:rPr>
                <w:b/>
              </w:rPr>
              <w:t>4</w:t>
            </w:r>
          </w:p>
          <w:p w14:paraId="25259075" w14:textId="3D74930D" w:rsidR="00140E07" w:rsidRPr="00D1741D" w:rsidRDefault="00140E07" w:rsidP="00140E07">
            <w:pPr>
              <w:pStyle w:val="Bodytext"/>
              <w:spacing w:after="60"/>
              <w:jc w:val="right"/>
              <w:rPr>
                <w:b/>
                <w:bCs/>
              </w:rPr>
            </w:pPr>
            <w:r>
              <w:rPr>
                <w:b/>
              </w:rPr>
              <w:t>£000</w:t>
            </w:r>
          </w:p>
        </w:tc>
        <w:tc>
          <w:tcPr>
            <w:tcW w:w="683" w:type="pct"/>
            <w:shd w:val="clear" w:color="auto" w:fill="auto"/>
          </w:tcPr>
          <w:p w14:paraId="7E4E6A16" w14:textId="42009095" w:rsidR="00140E07" w:rsidRPr="002B08DA" w:rsidRDefault="00140E07" w:rsidP="00140E07">
            <w:pPr>
              <w:pStyle w:val="Bodytext"/>
              <w:keepNext/>
              <w:spacing w:after="60"/>
              <w:jc w:val="right"/>
              <w:rPr>
                <w:b/>
                <w:color w:val="A6A6A6" w:themeColor="background1" w:themeShade="A6"/>
              </w:rPr>
            </w:pPr>
            <w:r>
              <w:rPr>
                <w:b/>
                <w:color w:val="A6A6A6" w:themeColor="background1" w:themeShade="A6"/>
              </w:rPr>
              <w:t>202</w:t>
            </w:r>
            <w:r w:rsidR="00D7144A">
              <w:rPr>
                <w:b/>
                <w:color w:val="A6A6A6" w:themeColor="background1" w:themeShade="A6"/>
              </w:rPr>
              <w:t>2</w:t>
            </w:r>
            <w:r>
              <w:rPr>
                <w:b/>
                <w:color w:val="A6A6A6" w:themeColor="background1" w:themeShade="A6"/>
              </w:rPr>
              <w:t>/2</w:t>
            </w:r>
            <w:r w:rsidR="00D7144A">
              <w:rPr>
                <w:b/>
                <w:color w:val="A6A6A6" w:themeColor="background1" w:themeShade="A6"/>
              </w:rPr>
              <w:t>3</w:t>
            </w:r>
          </w:p>
          <w:p w14:paraId="4C8396E4" w14:textId="2D914BCA" w:rsidR="00140E07" w:rsidRPr="00D1741D" w:rsidRDefault="00140E07" w:rsidP="00140E07">
            <w:pPr>
              <w:pStyle w:val="Bodytext"/>
              <w:spacing w:after="60"/>
              <w:jc w:val="right"/>
              <w:rPr>
                <w:b/>
                <w:bCs/>
                <w:color w:val="A6A6A6" w:themeColor="background1" w:themeShade="A6"/>
              </w:rPr>
            </w:pPr>
            <w:r w:rsidRPr="002B08DA">
              <w:rPr>
                <w:b/>
                <w:color w:val="A6A6A6" w:themeColor="background1" w:themeShade="A6"/>
              </w:rPr>
              <w:t>£000</w:t>
            </w:r>
          </w:p>
        </w:tc>
      </w:tr>
      <w:tr w:rsidR="00793B43" w:rsidRPr="006644A8" w14:paraId="13FF4D56" w14:textId="77777777" w:rsidTr="00EC1B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92" w:type="pct"/>
            <w:shd w:val="clear" w:color="auto" w:fill="auto"/>
            <w:vAlign w:val="bottom"/>
          </w:tcPr>
          <w:p w14:paraId="1ACD35AE" w14:textId="77777777" w:rsidR="00793B43" w:rsidRPr="006644A8" w:rsidRDefault="00793B43" w:rsidP="00793B43">
            <w:pPr>
              <w:pStyle w:val="Bodytext"/>
              <w:spacing w:after="60"/>
            </w:pPr>
            <w:r w:rsidRPr="006644A8">
              <w:t>Fundraising office</w:t>
            </w:r>
          </w:p>
        </w:tc>
        <w:tc>
          <w:tcPr>
            <w:tcW w:w="744" w:type="pct"/>
            <w:shd w:val="clear" w:color="auto" w:fill="D9D9D9" w:themeFill="background1" w:themeFillShade="D9"/>
            <w:vAlign w:val="center"/>
          </w:tcPr>
          <w:p w14:paraId="4D911F83" w14:textId="3A154532" w:rsidR="00793B43" w:rsidRPr="00073DA0" w:rsidRDefault="00793B43" w:rsidP="00793B43">
            <w:pPr>
              <w:pStyle w:val="Bodytext"/>
              <w:spacing w:after="60"/>
              <w:jc w:val="right"/>
            </w:pPr>
            <w:r>
              <w:rPr>
                <w:rFonts w:cs="Arial"/>
                <w:color w:val="424141"/>
                <w:szCs w:val="22"/>
              </w:rPr>
              <w:t>76</w:t>
            </w:r>
          </w:p>
        </w:tc>
        <w:tc>
          <w:tcPr>
            <w:tcW w:w="596" w:type="pct"/>
            <w:vAlign w:val="center"/>
          </w:tcPr>
          <w:p w14:paraId="5372D37C" w14:textId="5D0C6D92" w:rsidR="00793B43" w:rsidRPr="00073DA0" w:rsidRDefault="00793B43" w:rsidP="00793B43">
            <w:pPr>
              <w:pStyle w:val="Bodytext"/>
              <w:spacing w:after="60"/>
              <w:jc w:val="right"/>
              <w:rPr>
                <w:color w:val="A6A6A6" w:themeColor="background1" w:themeShade="A6"/>
              </w:rPr>
            </w:pPr>
            <w:r>
              <w:rPr>
                <w:rFonts w:cs="Arial"/>
                <w:color w:val="A6A6A6"/>
                <w:szCs w:val="22"/>
              </w:rPr>
              <w:t>73</w:t>
            </w:r>
          </w:p>
        </w:tc>
        <w:tc>
          <w:tcPr>
            <w:tcW w:w="596" w:type="pct"/>
            <w:shd w:val="clear" w:color="auto" w:fill="D9D9D9" w:themeFill="background1" w:themeFillShade="D9"/>
            <w:vAlign w:val="center"/>
          </w:tcPr>
          <w:p w14:paraId="77280F4A" w14:textId="40D47526" w:rsidR="00793B43" w:rsidRPr="006644A8" w:rsidRDefault="00793B43" w:rsidP="00793B43">
            <w:pPr>
              <w:pStyle w:val="Bodytext"/>
              <w:spacing w:after="60"/>
              <w:jc w:val="right"/>
            </w:pPr>
            <w:r>
              <w:rPr>
                <w:rFonts w:cs="Arial"/>
                <w:color w:val="424141"/>
                <w:szCs w:val="22"/>
              </w:rPr>
              <w:t>160</w:t>
            </w:r>
          </w:p>
        </w:tc>
        <w:tc>
          <w:tcPr>
            <w:tcW w:w="695" w:type="pct"/>
            <w:vAlign w:val="center"/>
          </w:tcPr>
          <w:p w14:paraId="56DF8284" w14:textId="319EF6FE" w:rsidR="00793B43" w:rsidRPr="00073DA0" w:rsidRDefault="00793B43" w:rsidP="00793B43">
            <w:pPr>
              <w:pStyle w:val="Bodytext"/>
              <w:spacing w:after="60"/>
              <w:jc w:val="right"/>
              <w:rPr>
                <w:color w:val="A6A6A6" w:themeColor="background1" w:themeShade="A6"/>
              </w:rPr>
            </w:pPr>
            <w:r>
              <w:rPr>
                <w:rFonts w:cs="Arial"/>
                <w:color w:val="A6A6A6"/>
                <w:szCs w:val="22"/>
              </w:rPr>
              <w:t>130</w:t>
            </w:r>
          </w:p>
        </w:tc>
        <w:tc>
          <w:tcPr>
            <w:tcW w:w="794" w:type="pct"/>
            <w:shd w:val="clear" w:color="auto" w:fill="D9D9D9" w:themeFill="background1" w:themeFillShade="D9"/>
            <w:vAlign w:val="center"/>
          </w:tcPr>
          <w:p w14:paraId="579EECE0" w14:textId="3A762CFD" w:rsidR="00793B43" w:rsidRPr="006644A8" w:rsidRDefault="00793B43" w:rsidP="00793B43">
            <w:pPr>
              <w:pStyle w:val="Bodytext"/>
              <w:spacing w:after="60"/>
              <w:jc w:val="right"/>
            </w:pPr>
            <w:r>
              <w:rPr>
                <w:rFonts w:cs="Arial"/>
                <w:color w:val="424141"/>
                <w:szCs w:val="22"/>
              </w:rPr>
              <w:t>236</w:t>
            </w:r>
          </w:p>
        </w:tc>
        <w:tc>
          <w:tcPr>
            <w:tcW w:w="683" w:type="pct"/>
            <w:shd w:val="clear" w:color="auto" w:fill="auto"/>
            <w:vAlign w:val="center"/>
          </w:tcPr>
          <w:p w14:paraId="06F22EEF" w14:textId="62A8C105" w:rsidR="00793B43" w:rsidRPr="00073DA0" w:rsidRDefault="00793B43" w:rsidP="00793B43">
            <w:pPr>
              <w:pStyle w:val="Bodytext"/>
              <w:spacing w:after="60"/>
              <w:jc w:val="right"/>
              <w:rPr>
                <w:color w:val="A6A6A6" w:themeColor="background1" w:themeShade="A6"/>
              </w:rPr>
            </w:pPr>
            <w:r>
              <w:rPr>
                <w:rFonts w:cs="Arial"/>
                <w:color w:val="A6A6A6"/>
                <w:szCs w:val="22"/>
              </w:rPr>
              <w:t>203</w:t>
            </w:r>
          </w:p>
        </w:tc>
      </w:tr>
      <w:tr w:rsidR="00793B43" w:rsidRPr="006644A8" w14:paraId="1EB06780" w14:textId="77777777" w:rsidTr="00EC1B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92" w:type="pct"/>
            <w:shd w:val="clear" w:color="auto" w:fill="auto"/>
            <w:vAlign w:val="bottom"/>
          </w:tcPr>
          <w:p w14:paraId="44468CCC" w14:textId="77777777" w:rsidR="00793B43" w:rsidRPr="006644A8" w:rsidRDefault="00793B43" w:rsidP="00793B43">
            <w:pPr>
              <w:pStyle w:val="Bodytext"/>
              <w:spacing w:after="60"/>
            </w:pPr>
            <w:r w:rsidRPr="006644A8">
              <w:t>Fundraising events</w:t>
            </w:r>
          </w:p>
        </w:tc>
        <w:tc>
          <w:tcPr>
            <w:tcW w:w="744" w:type="pct"/>
            <w:shd w:val="clear" w:color="auto" w:fill="D9D9D9" w:themeFill="background1" w:themeFillShade="D9"/>
            <w:vAlign w:val="center"/>
          </w:tcPr>
          <w:p w14:paraId="61943C8F" w14:textId="7F01D838" w:rsidR="00793B43" w:rsidRPr="00073DA0" w:rsidRDefault="00793B43" w:rsidP="00793B43">
            <w:pPr>
              <w:pStyle w:val="Bodytext"/>
              <w:spacing w:after="60"/>
              <w:jc w:val="right"/>
            </w:pPr>
            <w:r>
              <w:rPr>
                <w:rFonts w:cs="Arial"/>
                <w:color w:val="424141"/>
                <w:szCs w:val="22"/>
              </w:rPr>
              <w:t> </w:t>
            </w:r>
          </w:p>
        </w:tc>
        <w:tc>
          <w:tcPr>
            <w:tcW w:w="596" w:type="pct"/>
            <w:vAlign w:val="center"/>
          </w:tcPr>
          <w:p w14:paraId="0EE41A9C" w14:textId="04D0E2C5" w:rsidR="00793B43" w:rsidRPr="00073DA0" w:rsidRDefault="00793B43" w:rsidP="00793B43">
            <w:pPr>
              <w:pStyle w:val="Bodytext"/>
              <w:spacing w:after="60"/>
              <w:jc w:val="right"/>
              <w:rPr>
                <w:color w:val="A6A6A6" w:themeColor="background1" w:themeShade="A6"/>
              </w:rPr>
            </w:pPr>
            <w:r>
              <w:rPr>
                <w:rFonts w:cs="Arial"/>
                <w:color w:val="A6A6A6"/>
                <w:szCs w:val="22"/>
              </w:rPr>
              <w:t> </w:t>
            </w:r>
          </w:p>
        </w:tc>
        <w:tc>
          <w:tcPr>
            <w:tcW w:w="596" w:type="pct"/>
            <w:shd w:val="clear" w:color="auto" w:fill="D9D9D9" w:themeFill="background1" w:themeFillShade="D9"/>
            <w:vAlign w:val="center"/>
          </w:tcPr>
          <w:p w14:paraId="5FDD9249" w14:textId="5C984DF2" w:rsidR="00793B43" w:rsidRPr="006644A8" w:rsidRDefault="00793B43" w:rsidP="00793B43">
            <w:pPr>
              <w:pStyle w:val="Bodytext"/>
              <w:spacing w:after="60"/>
              <w:jc w:val="right"/>
            </w:pPr>
            <w:r>
              <w:rPr>
                <w:rFonts w:cs="Arial"/>
                <w:color w:val="424141"/>
                <w:szCs w:val="22"/>
              </w:rPr>
              <w:t>145</w:t>
            </w:r>
          </w:p>
        </w:tc>
        <w:tc>
          <w:tcPr>
            <w:tcW w:w="695" w:type="pct"/>
            <w:vAlign w:val="center"/>
          </w:tcPr>
          <w:p w14:paraId="5241DC86" w14:textId="59F32776" w:rsidR="00793B43" w:rsidRPr="00073DA0" w:rsidRDefault="00793B43" w:rsidP="00793B43">
            <w:pPr>
              <w:pStyle w:val="Bodytext"/>
              <w:spacing w:after="60"/>
              <w:jc w:val="right"/>
              <w:rPr>
                <w:color w:val="A6A6A6" w:themeColor="background1" w:themeShade="A6"/>
              </w:rPr>
            </w:pPr>
            <w:r>
              <w:rPr>
                <w:rFonts w:cs="Arial"/>
                <w:color w:val="A6A6A6"/>
                <w:szCs w:val="22"/>
              </w:rPr>
              <w:t>154</w:t>
            </w:r>
          </w:p>
        </w:tc>
        <w:tc>
          <w:tcPr>
            <w:tcW w:w="794" w:type="pct"/>
            <w:shd w:val="clear" w:color="auto" w:fill="D9D9D9" w:themeFill="background1" w:themeFillShade="D9"/>
            <w:vAlign w:val="center"/>
          </w:tcPr>
          <w:p w14:paraId="43B5F0FF" w14:textId="603DBEF2" w:rsidR="00793B43" w:rsidRPr="006644A8" w:rsidRDefault="00793B43" w:rsidP="00793B43">
            <w:pPr>
              <w:pStyle w:val="Bodytext"/>
              <w:spacing w:after="60"/>
              <w:jc w:val="right"/>
            </w:pPr>
            <w:r>
              <w:rPr>
                <w:rFonts w:cs="Arial"/>
                <w:color w:val="424141"/>
                <w:szCs w:val="22"/>
              </w:rPr>
              <w:t>145</w:t>
            </w:r>
          </w:p>
        </w:tc>
        <w:tc>
          <w:tcPr>
            <w:tcW w:w="683" w:type="pct"/>
            <w:shd w:val="clear" w:color="auto" w:fill="auto"/>
            <w:vAlign w:val="center"/>
          </w:tcPr>
          <w:p w14:paraId="35EB4B31" w14:textId="3BD32507" w:rsidR="00793B43" w:rsidRPr="00073DA0" w:rsidRDefault="00793B43" w:rsidP="00793B43">
            <w:pPr>
              <w:pStyle w:val="Bodytext"/>
              <w:spacing w:after="60"/>
              <w:jc w:val="right"/>
              <w:rPr>
                <w:color w:val="A6A6A6" w:themeColor="background1" w:themeShade="A6"/>
              </w:rPr>
            </w:pPr>
            <w:r>
              <w:rPr>
                <w:rFonts w:cs="Arial"/>
                <w:color w:val="A6A6A6"/>
                <w:szCs w:val="22"/>
              </w:rPr>
              <w:t>154</w:t>
            </w:r>
          </w:p>
        </w:tc>
      </w:tr>
      <w:tr w:rsidR="00793B43" w:rsidRPr="006644A8" w14:paraId="4B30BB23" w14:textId="77777777" w:rsidTr="00EC1B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92" w:type="pct"/>
            <w:shd w:val="clear" w:color="auto" w:fill="auto"/>
            <w:vAlign w:val="bottom"/>
          </w:tcPr>
          <w:p w14:paraId="707F6506" w14:textId="77777777" w:rsidR="00793B43" w:rsidRPr="006644A8" w:rsidDel="008D1986" w:rsidRDefault="00793B43" w:rsidP="00793B43">
            <w:pPr>
              <w:pStyle w:val="Bodytext"/>
              <w:spacing w:after="60"/>
            </w:pPr>
            <w:r w:rsidRPr="006644A8">
              <w:t>Investment management</w:t>
            </w:r>
          </w:p>
        </w:tc>
        <w:tc>
          <w:tcPr>
            <w:tcW w:w="744" w:type="pct"/>
            <w:shd w:val="clear" w:color="auto" w:fill="D9D9D9" w:themeFill="background1" w:themeFillShade="D9"/>
            <w:vAlign w:val="center"/>
          </w:tcPr>
          <w:p w14:paraId="62539AFA" w14:textId="2E405297" w:rsidR="00793B43" w:rsidRPr="00073DA0" w:rsidRDefault="00793B43" w:rsidP="00793B43">
            <w:pPr>
              <w:pStyle w:val="Bodytext"/>
              <w:spacing w:after="60"/>
              <w:jc w:val="right"/>
            </w:pPr>
            <w:r>
              <w:rPr>
                <w:rFonts w:cs="Arial"/>
                <w:color w:val="424141"/>
                <w:szCs w:val="22"/>
              </w:rPr>
              <w:t>64</w:t>
            </w:r>
          </w:p>
        </w:tc>
        <w:tc>
          <w:tcPr>
            <w:tcW w:w="596" w:type="pct"/>
            <w:vAlign w:val="center"/>
          </w:tcPr>
          <w:p w14:paraId="3C6D5624" w14:textId="74AD248C" w:rsidR="00793B43" w:rsidRPr="00073DA0" w:rsidRDefault="00793B43" w:rsidP="00793B43">
            <w:pPr>
              <w:pStyle w:val="Bodytext"/>
              <w:spacing w:after="60"/>
              <w:jc w:val="right"/>
              <w:rPr>
                <w:color w:val="A6A6A6" w:themeColor="background1" w:themeShade="A6"/>
              </w:rPr>
            </w:pPr>
            <w:r>
              <w:rPr>
                <w:rFonts w:cs="Arial"/>
                <w:color w:val="A6A6A6"/>
                <w:szCs w:val="22"/>
              </w:rPr>
              <w:t>68</w:t>
            </w:r>
          </w:p>
        </w:tc>
        <w:tc>
          <w:tcPr>
            <w:tcW w:w="596" w:type="pct"/>
            <w:shd w:val="clear" w:color="auto" w:fill="D9D9D9" w:themeFill="background1" w:themeFillShade="D9"/>
            <w:vAlign w:val="center"/>
          </w:tcPr>
          <w:p w14:paraId="498E7D71" w14:textId="316009D1" w:rsidR="00793B43" w:rsidRPr="006644A8" w:rsidRDefault="00793B43" w:rsidP="00793B43">
            <w:pPr>
              <w:pStyle w:val="Bodytext"/>
              <w:spacing w:after="60"/>
              <w:jc w:val="right"/>
            </w:pPr>
            <w:r>
              <w:rPr>
                <w:rFonts w:cs="Arial"/>
                <w:color w:val="424141"/>
                <w:szCs w:val="22"/>
              </w:rPr>
              <w:t> </w:t>
            </w:r>
          </w:p>
        </w:tc>
        <w:tc>
          <w:tcPr>
            <w:tcW w:w="695" w:type="pct"/>
            <w:vAlign w:val="center"/>
          </w:tcPr>
          <w:p w14:paraId="7A6F3422" w14:textId="4C65739D" w:rsidR="00793B43" w:rsidRPr="00073DA0" w:rsidRDefault="00793B43" w:rsidP="00793B43">
            <w:pPr>
              <w:pStyle w:val="Bodytext"/>
              <w:spacing w:after="60"/>
              <w:jc w:val="right"/>
              <w:rPr>
                <w:color w:val="A6A6A6" w:themeColor="background1" w:themeShade="A6"/>
              </w:rPr>
            </w:pPr>
            <w:r>
              <w:rPr>
                <w:rFonts w:cs="Arial"/>
                <w:color w:val="A6A6A6"/>
                <w:szCs w:val="22"/>
              </w:rPr>
              <w:t> </w:t>
            </w:r>
          </w:p>
        </w:tc>
        <w:tc>
          <w:tcPr>
            <w:tcW w:w="794" w:type="pct"/>
            <w:shd w:val="clear" w:color="auto" w:fill="D9D9D9" w:themeFill="background1" w:themeFillShade="D9"/>
            <w:vAlign w:val="center"/>
          </w:tcPr>
          <w:p w14:paraId="1730059F" w14:textId="6B111BF5" w:rsidR="00793B43" w:rsidRPr="006644A8" w:rsidDel="008D1986" w:rsidRDefault="00793B43" w:rsidP="00793B43">
            <w:pPr>
              <w:pStyle w:val="Bodytext"/>
              <w:spacing w:after="60"/>
              <w:jc w:val="right"/>
            </w:pPr>
            <w:r>
              <w:rPr>
                <w:rFonts w:cs="Arial"/>
                <w:color w:val="424141"/>
                <w:szCs w:val="22"/>
              </w:rPr>
              <w:t>64</w:t>
            </w:r>
          </w:p>
        </w:tc>
        <w:tc>
          <w:tcPr>
            <w:tcW w:w="683" w:type="pct"/>
            <w:shd w:val="clear" w:color="auto" w:fill="auto"/>
            <w:vAlign w:val="center"/>
          </w:tcPr>
          <w:p w14:paraId="2854759C" w14:textId="0A6A829D" w:rsidR="00793B43" w:rsidRPr="00073DA0" w:rsidDel="008D1986" w:rsidRDefault="00793B43" w:rsidP="00793B43">
            <w:pPr>
              <w:pStyle w:val="Bodytext"/>
              <w:spacing w:after="60"/>
              <w:jc w:val="right"/>
              <w:rPr>
                <w:color w:val="A6A6A6" w:themeColor="background1" w:themeShade="A6"/>
              </w:rPr>
            </w:pPr>
            <w:r>
              <w:rPr>
                <w:rFonts w:cs="Arial"/>
                <w:color w:val="A6A6A6"/>
                <w:szCs w:val="22"/>
              </w:rPr>
              <w:t>68</w:t>
            </w:r>
          </w:p>
        </w:tc>
      </w:tr>
      <w:tr w:rsidR="00793B43" w:rsidRPr="006644A8" w14:paraId="2E43D9E0" w14:textId="77777777" w:rsidTr="00EC1B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92" w:type="pct"/>
            <w:shd w:val="clear" w:color="auto" w:fill="auto"/>
            <w:vAlign w:val="bottom"/>
          </w:tcPr>
          <w:p w14:paraId="278802E9" w14:textId="77777777" w:rsidR="00793B43" w:rsidRPr="006644A8" w:rsidDel="008D1986" w:rsidRDefault="00793B43" w:rsidP="00793B43">
            <w:pPr>
              <w:pStyle w:val="Bodytext"/>
              <w:spacing w:after="60"/>
            </w:pPr>
            <w:r w:rsidRPr="006644A8">
              <w:t>Support costs</w:t>
            </w:r>
          </w:p>
        </w:tc>
        <w:tc>
          <w:tcPr>
            <w:tcW w:w="744" w:type="pct"/>
            <w:tcBorders>
              <w:bottom w:val="single" w:sz="4" w:space="0" w:color="auto"/>
            </w:tcBorders>
            <w:shd w:val="clear" w:color="auto" w:fill="D9D9D9" w:themeFill="background1" w:themeFillShade="D9"/>
            <w:vAlign w:val="center"/>
          </w:tcPr>
          <w:p w14:paraId="27E46C47" w14:textId="33217736" w:rsidR="00793B43" w:rsidRPr="00073DA0" w:rsidRDefault="00793B43" w:rsidP="00793B43">
            <w:pPr>
              <w:pStyle w:val="Bodytext"/>
              <w:spacing w:after="60"/>
              <w:jc w:val="right"/>
            </w:pPr>
            <w:r>
              <w:rPr>
                <w:rFonts w:cs="Arial"/>
                <w:color w:val="424141"/>
                <w:szCs w:val="22"/>
              </w:rPr>
              <w:t>12</w:t>
            </w:r>
          </w:p>
        </w:tc>
        <w:tc>
          <w:tcPr>
            <w:tcW w:w="596" w:type="pct"/>
            <w:tcBorders>
              <w:bottom w:val="single" w:sz="4" w:space="0" w:color="auto"/>
            </w:tcBorders>
            <w:vAlign w:val="center"/>
          </w:tcPr>
          <w:p w14:paraId="011AAC26" w14:textId="25E7129C" w:rsidR="00793B43" w:rsidRPr="00073DA0" w:rsidRDefault="00793B43" w:rsidP="00793B43">
            <w:pPr>
              <w:pStyle w:val="Bodytext"/>
              <w:spacing w:after="60"/>
              <w:jc w:val="right"/>
              <w:rPr>
                <w:color w:val="A6A6A6" w:themeColor="background1" w:themeShade="A6"/>
              </w:rPr>
            </w:pPr>
            <w:r>
              <w:rPr>
                <w:rFonts w:cs="Arial"/>
                <w:color w:val="A6A6A6"/>
                <w:szCs w:val="22"/>
              </w:rPr>
              <w:t>11</w:t>
            </w:r>
          </w:p>
        </w:tc>
        <w:tc>
          <w:tcPr>
            <w:tcW w:w="596" w:type="pct"/>
            <w:tcBorders>
              <w:bottom w:val="single" w:sz="4" w:space="0" w:color="auto"/>
            </w:tcBorders>
            <w:shd w:val="clear" w:color="auto" w:fill="D9D9D9" w:themeFill="background1" w:themeFillShade="D9"/>
            <w:vAlign w:val="center"/>
          </w:tcPr>
          <w:p w14:paraId="774AE4CD" w14:textId="2CC1A2CB" w:rsidR="00793B43" w:rsidRPr="006644A8" w:rsidRDefault="00793B43" w:rsidP="00793B43">
            <w:pPr>
              <w:pStyle w:val="Bodytext"/>
              <w:spacing w:after="60"/>
              <w:jc w:val="right"/>
            </w:pPr>
            <w:r>
              <w:rPr>
                <w:rFonts w:cs="Arial"/>
                <w:color w:val="424141"/>
                <w:szCs w:val="22"/>
              </w:rPr>
              <w:t>11</w:t>
            </w:r>
          </w:p>
        </w:tc>
        <w:tc>
          <w:tcPr>
            <w:tcW w:w="695" w:type="pct"/>
            <w:tcBorders>
              <w:bottom w:val="single" w:sz="4" w:space="0" w:color="auto"/>
            </w:tcBorders>
            <w:vAlign w:val="center"/>
          </w:tcPr>
          <w:p w14:paraId="0F3872C1" w14:textId="1B8F2176" w:rsidR="00793B43" w:rsidRPr="00073DA0" w:rsidRDefault="00793B43" w:rsidP="00793B43">
            <w:pPr>
              <w:pStyle w:val="Bodytext"/>
              <w:spacing w:after="60"/>
              <w:jc w:val="right"/>
              <w:rPr>
                <w:color w:val="A6A6A6" w:themeColor="background1" w:themeShade="A6"/>
              </w:rPr>
            </w:pPr>
            <w:r>
              <w:rPr>
                <w:rFonts w:cs="Arial"/>
                <w:color w:val="A6A6A6"/>
                <w:szCs w:val="22"/>
              </w:rPr>
              <w:t>14</w:t>
            </w:r>
          </w:p>
        </w:tc>
        <w:tc>
          <w:tcPr>
            <w:tcW w:w="794" w:type="pct"/>
            <w:tcBorders>
              <w:bottom w:val="single" w:sz="4" w:space="0" w:color="auto"/>
            </w:tcBorders>
            <w:shd w:val="clear" w:color="auto" w:fill="D9D9D9" w:themeFill="background1" w:themeFillShade="D9"/>
            <w:vAlign w:val="center"/>
          </w:tcPr>
          <w:p w14:paraId="039712E2" w14:textId="5D036BEE" w:rsidR="00793B43" w:rsidRPr="006644A8" w:rsidDel="008D1986" w:rsidRDefault="00793B43" w:rsidP="00793B43">
            <w:pPr>
              <w:pStyle w:val="Bodytext"/>
              <w:spacing w:after="60"/>
              <w:jc w:val="right"/>
            </w:pPr>
            <w:r>
              <w:rPr>
                <w:rFonts w:cs="Arial"/>
                <w:color w:val="424141"/>
                <w:szCs w:val="22"/>
              </w:rPr>
              <w:t>23</w:t>
            </w:r>
          </w:p>
        </w:tc>
        <w:tc>
          <w:tcPr>
            <w:tcW w:w="683" w:type="pct"/>
            <w:tcBorders>
              <w:bottom w:val="single" w:sz="4" w:space="0" w:color="auto"/>
            </w:tcBorders>
            <w:shd w:val="clear" w:color="auto" w:fill="auto"/>
            <w:vAlign w:val="center"/>
          </w:tcPr>
          <w:p w14:paraId="55BC277D" w14:textId="67506EE9" w:rsidR="00793B43" w:rsidRPr="00073DA0" w:rsidDel="008D1986" w:rsidRDefault="00793B43" w:rsidP="00793B43">
            <w:pPr>
              <w:pStyle w:val="Bodytext"/>
              <w:spacing w:after="60"/>
              <w:jc w:val="right"/>
              <w:rPr>
                <w:color w:val="A6A6A6" w:themeColor="background1" w:themeShade="A6"/>
              </w:rPr>
            </w:pPr>
            <w:r>
              <w:rPr>
                <w:rFonts w:cs="Arial"/>
                <w:color w:val="A6A6A6"/>
                <w:szCs w:val="22"/>
              </w:rPr>
              <w:t>25</w:t>
            </w:r>
          </w:p>
        </w:tc>
      </w:tr>
      <w:tr w:rsidR="00793B43" w:rsidRPr="005D68E9" w14:paraId="1B9DEE71" w14:textId="77777777" w:rsidTr="00EC1B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892" w:type="pct"/>
            <w:shd w:val="clear" w:color="auto" w:fill="auto"/>
            <w:vAlign w:val="bottom"/>
          </w:tcPr>
          <w:p w14:paraId="7C0A3CB0" w14:textId="77777777" w:rsidR="00793B43" w:rsidRPr="003030F2" w:rsidRDefault="00793B43" w:rsidP="00793B43">
            <w:pPr>
              <w:pStyle w:val="Bodytext"/>
              <w:spacing w:after="60"/>
              <w:rPr>
                <w:b/>
              </w:rPr>
            </w:pPr>
            <w:r w:rsidRPr="003030F2">
              <w:rPr>
                <w:b/>
              </w:rPr>
              <w:t>Total</w:t>
            </w:r>
          </w:p>
        </w:tc>
        <w:tc>
          <w:tcPr>
            <w:tcW w:w="744" w:type="pct"/>
            <w:tcBorders>
              <w:top w:val="single" w:sz="4" w:space="0" w:color="auto"/>
              <w:bottom w:val="double" w:sz="4" w:space="0" w:color="auto"/>
            </w:tcBorders>
            <w:shd w:val="clear" w:color="auto" w:fill="D9D9D9" w:themeFill="background1" w:themeFillShade="D9"/>
            <w:vAlign w:val="center"/>
          </w:tcPr>
          <w:p w14:paraId="2FC735BB" w14:textId="13BBDE9A" w:rsidR="00793B43" w:rsidRPr="00073DA0" w:rsidRDefault="00793B43" w:rsidP="00793B43">
            <w:pPr>
              <w:pStyle w:val="Bodytext"/>
              <w:spacing w:after="60"/>
              <w:jc w:val="right"/>
            </w:pPr>
            <w:r>
              <w:rPr>
                <w:rFonts w:cs="Arial"/>
                <w:b/>
                <w:bCs/>
                <w:color w:val="424141"/>
                <w:szCs w:val="22"/>
              </w:rPr>
              <w:t>152</w:t>
            </w:r>
          </w:p>
        </w:tc>
        <w:tc>
          <w:tcPr>
            <w:tcW w:w="596" w:type="pct"/>
            <w:tcBorders>
              <w:top w:val="single" w:sz="4" w:space="0" w:color="auto"/>
              <w:bottom w:val="double" w:sz="4" w:space="0" w:color="auto"/>
            </w:tcBorders>
            <w:vAlign w:val="center"/>
          </w:tcPr>
          <w:p w14:paraId="08652246" w14:textId="29577A63" w:rsidR="00793B43" w:rsidRPr="00073DA0" w:rsidRDefault="00793B43" w:rsidP="00793B43">
            <w:pPr>
              <w:pStyle w:val="Bodytext"/>
              <w:spacing w:after="60"/>
              <w:jc w:val="right"/>
              <w:rPr>
                <w:b/>
                <w:color w:val="A6A6A6" w:themeColor="background1" w:themeShade="A6"/>
              </w:rPr>
            </w:pPr>
            <w:r>
              <w:rPr>
                <w:rFonts w:cs="Arial"/>
                <w:b/>
                <w:bCs/>
                <w:color w:val="A6A6A6"/>
                <w:szCs w:val="22"/>
              </w:rPr>
              <w:t>152</w:t>
            </w:r>
          </w:p>
        </w:tc>
        <w:tc>
          <w:tcPr>
            <w:tcW w:w="596" w:type="pct"/>
            <w:tcBorders>
              <w:top w:val="single" w:sz="4" w:space="0" w:color="auto"/>
              <w:bottom w:val="double" w:sz="4" w:space="0" w:color="auto"/>
            </w:tcBorders>
            <w:shd w:val="clear" w:color="auto" w:fill="D9D9D9" w:themeFill="background1" w:themeFillShade="D9"/>
            <w:vAlign w:val="center"/>
          </w:tcPr>
          <w:p w14:paraId="2AE09B04" w14:textId="1BFEE389" w:rsidR="00793B43" w:rsidRPr="003030F2" w:rsidRDefault="00793B43" w:rsidP="00793B43">
            <w:pPr>
              <w:pStyle w:val="Bodytext"/>
              <w:spacing w:after="60"/>
              <w:jc w:val="right"/>
              <w:rPr>
                <w:b/>
              </w:rPr>
            </w:pPr>
            <w:r>
              <w:rPr>
                <w:rFonts w:cs="Arial"/>
                <w:b/>
                <w:bCs/>
                <w:color w:val="424141"/>
                <w:szCs w:val="22"/>
              </w:rPr>
              <w:t>316</w:t>
            </w:r>
          </w:p>
        </w:tc>
        <w:tc>
          <w:tcPr>
            <w:tcW w:w="695" w:type="pct"/>
            <w:tcBorders>
              <w:top w:val="single" w:sz="4" w:space="0" w:color="auto"/>
              <w:bottom w:val="double" w:sz="4" w:space="0" w:color="auto"/>
            </w:tcBorders>
            <w:vAlign w:val="center"/>
          </w:tcPr>
          <w:p w14:paraId="05A7BC27" w14:textId="1C6BC1C2" w:rsidR="00793B43" w:rsidRPr="00073DA0" w:rsidRDefault="00793B43" w:rsidP="00793B43">
            <w:pPr>
              <w:pStyle w:val="Bodytext"/>
              <w:spacing w:after="60"/>
              <w:jc w:val="right"/>
              <w:rPr>
                <w:b/>
                <w:color w:val="A6A6A6" w:themeColor="background1" w:themeShade="A6"/>
              </w:rPr>
            </w:pPr>
            <w:r>
              <w:rPr>
                <w:rFonts w:cs="Arial"/>
                <w:b/>
                <w:bCs/>
                <w:color w:val="A6A6A6"/>
                <w:szCs w:val="22"/>
              </w:rPr>
              <w:t>298</w:t>
            </w:r>
          </w:p>
        </w:tc>
        <w:tc>
          <w:tcPr>
            <w:tcW w:w="794" w:type="pct"/>
            <w:tcBorders>
              <w:top w:val="single" w:sz="4" w:space="0" w:color="auto"/>
              <w:bottom w:val="double" w:sz="4" w:space="0" w:color="auto"/>
            </w:tcBorders>
            <w:shd w:val="clear" w:color="auto" w:fill="D9D9D9" w:themeFill="background1" w:themeFillShade="D9"/>
            <w:vAlign w:val="center"/>
          </w:tcPr>
          <w:p w14:paraId="0EE9D387" w14:textId="6CF4F1C9" w:rsidR="00793B43" w:rsidRPr="003030F2" w:rsidRDefault="00793B43" w:rsidP="00793B43">
            <w:pPr>
              <w:pStyle w:val="Bodytext"/>
              <w:spacing w:after="60"/>
              <w:jc w:val="right"/>
              <w:rPr>
                <w:b/>
              </w:rPr>
            </w:pPr>
            <w:r>
              <w:rPr>
                <w:rFonts w:cs="Arial"/>
                <w:b/>
                <w:bCs/>
                <w:color w:val="424141"/>
                <w:szCs w:val="22"/>
              </w:rPr>
              <w:t>468</w:t>
            </w:r>
          </w:p>
        </w:tc>
        <w:tc>
          <w:tcPr>
            <w:tcW w:w="683" w:type="pct"/>
            <w:tcBorders>
              <w:top w:val="single" w:sz="4" w:space="0" w:color="auto"/>
              <w:bottom w:val="double" w:sz="4" w:space="0" w:color="auto"/>
            </w:tcBorders>
            <w:shd w:val="clear" w:color="auto" w:fill="auto"/>
            <w:vAlign w:val="center"/>
          </w:tcPr>
          <w:p w14:paraId="3B648DBA" w14:textId="0BECA2B6" w:rsidR="00793B43" w:rsidRPr="00073DA0" w:rsidRDefault="00793B43" w:rsidP="00793B43">
            <w:pPr>
              <w:pStyle w:val="Bodytext"/>
              <w:spacing w:after="60"/>
              <w:jc w:val="right"/>
              <w:rPr>
                <w:b/>
                <w:color w:val="A6A6A6" w:themeColor="background1" w:themeShade="A6"/>
              </w:rPr>
            </w:pPr>
            <w:r>
              <w:rPr>
                <w:rFonts w:cs="Arial"/>
                <w:b/>
                <w:bCs/>
                <w:color w:val="A6A6A6"/>
                <w:szCs w:val="22"/>
              </w:rPr>
              <w:t>450</w:t>
            </w:r>
          </w:p>
        </w:tc>
      </w:tr>
    </w:tbl>
    <w:p w14:paraId="36D0CE6E" w14:textId="77777777" w:rsidR="006D146A" w:rsidRDefault="006D146A" w:rsidP="0039309D">
      <w:pPr>
        <w:pStyle w:val="TableTitle"/>
      </w:pPr>
    </w:p>
    <w:p w14:paraId="14D11EAC" w14:textId="573C13CF" w:rsidR="00D9313C" w:rsidRPr="006644A8" w:rsidRDefault="00D9313C" w:rsidP="0039309D">
      <w:pPr>
        <w:pStyle w:val="TableTitle"/>
      </w:pPr>
      <w:r>
        <w:t xml:space="preserve">9 </w:t>
      </w:r>
      <w:r w:rsidRPr="006644A8">
        <w:t>Analysis of charitable expenditure</w:t>
      </w:r>
      <w:bookmarkEnd w:id="6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8"/>
      </w:tblGrid>
      <w:tr w:rsidR="00D9313C" w:rsidRPr="006644A8" w14:paraId="7D3BF594" w14:textId="77777777" w:rsidTr="00EC1B15">
        <w:tc>
          <w:tcPr>
            <w:tcW w:w="5000" w:type="pct"/>
            <w:shd w:val="clear" w:color="auto" w:fill="auto"/>
          </w:tcPr>
          <w:p w14:paraId="35927A1C" w14:textId="77777777" w:rsidR="00D9313C" w:rsidRPr="006644A8" w:rsidRDefault="00D9313C" w:rsidP="00EC1B15">
            <w:pPr>
              <w:pStyle w:val="Bodytext"/>
            </w:pPr>
            <w:r w:rsidRPr="006644A8">
              <w:t xml:space="preserve">Paragraphs 4.57 and 4.58 of the </w:t>
            </w:r>
            <w:r>
              <w:t>SORP FRS 102</w:t>
            </w:r>
            <w:r w:rsidRPr="006644A8">
              <w:t xml:space="preserve"> require that</w:t>
            </w:r>
            <w:r>
              <w:t xml:space="preserve"> an</w:t>
            </w:r>
            <w:r w:rsidRPr="006644A8">
              <w:t xml:space="preserve"> analysis should provide the user of the accounts with an understanding of the charity’s main activities.</w:t>
            </w:r>
            <w:r>
              <w:t xml:space="preserve"> </w:t>
            </w:r>
            <w:r w:rsidRPr="006644A8">
              <w:t>The analysis must also give details of the support costs charged to an activity and the costs of grant funding to third parties.</w:t>
            </w:r>
            <w:r>
              <w:t xml:space="preserve"> </w:t>
            </w:r>
            <w:r w:rsidRPr="006644A8">
              <w:t xml:space="preserve">An example is provided in table 3 in chapter 4 of the </w:t>
            </w:r>
            <w:r>
              <w:t>SORP FRS 102</w:t>
            </w:r>
            <w:r w:rsidRPr="006644A8">
              <w:t xml:space="preserve">. </w:t>
            </w:r>
          </w:p>
          <w:p w14:paraId="4F6364E7" w14:textId="77777777" w:rsidR="00D9313C" w:rsidRPr="006644A8" w:rsidRDefault="00D9313C" w:rsidP="00EC1B15">
            <w:pPr>
              <w:pStyle w:val="Bodytext"/>
            </w:pPr>
            <w:r w:rsidRPr="006644A8">
              <w:t xml:space="preserve">Paragraph 16.13 of the </w:t>
            </w:r>
            <w:r>
              <w:t>SORP FRS 102</w:t>
            </w:r>
            <w:r w:rsidRPr="006644A8">
              <w:t xml:space="preserve"> requires that the notes to the accounts contain the following:</w:t>
            </w:r>
          </w:p>
          <w:p w14:paraId="3322DEDD" w14:textId="77777777" w:rsidR="00D9313C" w:rsidRPr="006644A8" w:rsidRDefault="00D9313C" w:rsidP="00D9313C">
            <w:pPr>
              <w:pStyle w:val="Bullet"/>
              <w:numPr>
                <w:ilvl w:val="0"/>
                <w:numId w:val="10"/>
              </w:numPr>
              <w:spacing w:before="40" w:after="40"/>
            </w:pPr>
            <w:r>
              <w:t>t</w:t>
            </w:r>
            <w:r w:rsidRPr="006644A8">
              <w:t>he total amount of grants paid analysed between grants to individuals and grants to institutions</w:t>
            </w:r>
          </w:p>
          <w:p w14:paraId="5BCCA22B" w14:textId="77777777" w:rsidR="00D9313C" w:rsidRPr="006644A8" w:rsidRDefault="00D9313C" w:rsidP="00D9313C">
            <w:pPr>
              <w:pStyle w:val="Bullet"/>
              <w:numPr>
                <w:ilvl w:val="0"/>
                <w:numId w:val="10"/>
              </w:numPr>
              <w:spacing w:before="40" w:after="40"/>
            </w:pPr>
            <w:r>
              <w:t>a</w:t>
            </w:r>
            <w:r w:rsidRPr="006644A8">
              <w:t>n analysis of the total amount of grants paid by nature or type of activity or project being supported</w:t>
            </w:r>
          </w:p>
          <w:p w14:paraId="54763C50" w14:textId="77777777" w:rsidR="00D9313C" w:rsidRDefault="00D9313C" w:rsidP="00D9313C">
            <w:pPr>
              <w:pStyle w:val="Bullet"/>
              <w:numPr>
                <w:ilvl w:val="0"/>
                <w:numId w:val="10"/>
              </w:numPr>
              <w:spacing w:before="40" w:after="40"/>
            </w:pPr>
            <w:r>
              <w:t>t</w:t>
            </w:r>
            <w:r w:rsidRPr="006644A8">
              <w:t>he amount of support costs allocated to grant-making activities.</w:t>
            </w:r>
          </w:p>
          <w:p w14:paraId="56F4AA18" w14:textId="77777777" w:rsidR="00D9313C" w:rsidRPr="006644A8" w:rsidRDefault="00D9313C" w:rsidP="00EC1B15">
            <w:pPr>
              <w:pStyle w:val="Bodytext"/>
            </w:pPr>
            <w:r w:rsidRPr="006644A8">
              <w:t xml:space="preserve">This note and note </w:t>
            </w:r>
            <w:r>
              <w:t>9</w:t>
            </w:r>
            <w:r w:rsidRPr="006644A8">
              <w:t xml:space="preserve"> meet these requirements and reconcile to the total grants payable.</w:t>
            </w:r>
          </w:p>
          <w:p w14:paraId="1FEDB4C0" w14:textId="1C10B4D0" w:rsidR="00D9313C" w:rsidRPr="00BD0D1E" w:rsidRDefault="00D9313C" w:rsidP="00EC1B15">
            <w:pPr>
              <w:pStyle w:val="Bodytext"/>
            </w:pPr>
            <w:r w:rsidRPr="006644A8">
              <w:t xml:space="preserve">Paragraphs 16.17 and 16.18 of the </w:t>
            </w:r>
            <w:r>
              <w:t>SORP FRS 102</w:t>
            </w:r>
            <w:r w:rsidRPr="006644A8">
              <w:t xml:space="preserve"> require that charities that make grants to institutions disclose details of a sufficient number of those institutions that the reader of the accounts can understand the range of institutions supported.</w:t>
            </w:r>
          </w:p>
        </w:tc>
      </w:tr>
    </w:tbl>
    <w:p w14:paraId="004918B8" w14:textId="77777777" w:rsidR="00D9313C" w:rsidRPr="006644A8" w:rsidRDefault="00D9313C" w:rsidP="00D9313C">
      <w:pPr>
        <w:tabs>
          <w:tab w:val="left" w:pos="9072"/>
        </w:tabs>
        <w:ind w:right="249"/>
        <w:rPr>
          <w:rFonts w:asciiTheme="minorHAnsi" w:hAnsiTheme="minorHAnsi" w:cstheme="minorHAnsi"/>
        </w:rPr>
      </w:pPr>
    </w:p>
    <w:p w14:paraId="0F45F854" w14:textId="77777777" w:rsidR="00D9313C" w:rsidRDefault="00D9313C" w:rsidP="00D9313C">
      <w:pPr>
        <w:pStyle w:val="Bodytext"/>
        <w:sectPr w:rsidR="00D9313C" w:rsidSect="00237BC5">
          <w:type w:val="continuous"/>
          <w:pgSz w:w="16840" w:h="11900" w:orient="landscape"/>
          <w:pgMar w:top="1021" w:right="1701" w:bottom="1021" w:left="851" w:header="851" w:footer="851" w:gutter="0"/>
          <w:cols w:space="720"/>
          <w:titlePg/>
          <w:docGrid w:linePitch="360"/>
        </w:sectPr>
      </w:pPr>
    </w:p>
    <w:p w14:paraId="0A546BD0" w14:textId="58421740" w:rsidR="00D9313C" w:rsidRPr="006644A8" w:rsidRDefault="00D9313C" w:rsidP="00D9313C">
      <w:pPr>
        <w:pStyle w:val="Bodytext"/>
      </w:pPr>
      <w:r w:rsidRPr="00BF3AAB">
        <w:t>The charity did not undertake any direct charitable activities on its own account during the year</w:t>
      </w:r>
      <w:r w:rsidRPr="006644A8">
        <w:t>.</w:t>
      </w:r>
      <w:r>
        <w:t xml:space="preserve"> </w:t>
      </w:r>
      <w:r w:rsidRPr="006644A8">
        <w:t>All the charitable expenditure was in the form of grant funding.</w:t>
      </w:r>
    </w:p>
    <w:p w14:paraId="63B8BC5F" w14:textId="77777777" w:rsidR="00D9313C" w:rsidRPr="006644A8" w:rsidRDefault="00D9313C" w:rsidP="00D9313C">
      <w:pPr>
        <w:pStyle w:val="Bodytext"/>
      </w:pPr>
      <w:r w:rsidRPr="006644A8">
        <w:t xml:space="preserve">Grants were approved in favour of the partner organisations, principally the </w:t>
      </w:r>
      <w:r>
        <w:t>HHFT</w:t>
      </w:r>
      <w:r w:rsidRPr="006644A8">
        <w:t xml:space="preserve"> and </w:t>
      </w:r>
      <w:r w:rsidRPr="00207B5B">
        <w:t xml:space="preserve">Healthville </w:t>
      </w:r>
      <w:r w:rsidRPr="00950A26">
        <w:t xml:space="preserve">Community </w:t>
      </w:r>
      <w:r w:rsidRPr="00207B5B">
        <w:t>NHS Trust</w:t>
      </w:r>
      <w:r w:rsidRPr="006644A8">
        <w:t xml:space="preserve"> to carry our activities that will benefit patients and their families. The charity incurred expenditure with third parties in pursuance of those grants or reimbursed expenditure incurred by them. </w:t>
      </w:r>
    </w:p>
    <w:p w14:paraId="411F622F" w14:textId="77777777" w:rsidR="00D9313C" w:rsidRDefault="00D9313C" w:rsidP="00D9313C">
      <w:pPr>
        <w:pStyle w:val="Bodytext"/>
        <w:sectPr w:rsidR="00D9313C" w:rsidSect="00237BC5">
          <w:type w:val="continuous"/>
          <w:pgSz w:w="16840" w:h="11900" w:orient="landscape"/>
          <w:pgMar w:top="1021" w:right="1701" w:bottom="1021" w:left="851" w:header="851" w:footer="851" w:gutter="0"/>
          <w:cols w:num="2" w:space="720"/>
          <w:titlePg/>
          <w:docGrid w:linePitch="360"/>
        </w:sectPr>
      </w:pPr>
    </w:p>
    <w:p w14:paraId="6C0670AD" w14:textId="77777777" w:rsidR="00D9313C" w:rsidRPr="006644A8" w:rsidRDefault="00D9313C" w:rsidP="00D9313C">
      <w:pPr>
        <w:pStyle w:val="Bodytext"/>
      </w:pPr>
    </w:p>
    <w:tbl>
      <w:tblPr>
        <w:tblW w:w="5000" w:type="pct"/>
        <w:tblLook w:val="01E0" w:firstRow="1" w:lastRow="1" w:firstColumn="1" w:lastColumn="1" w:noHBand="0" w:noVBand="0"/>
      </w:tblPr>
      <w:tblGrid>
        <w:gridCol w:w="3126"/>
        <w:gridCol w:w="1960"/>
        <w:gridCol w:w="1809"/>
        <w:gridCol w:w="1812"/>
        <w:gridCol w:w="1889"/>
        <w:gridCol w:w="2020"/>
        <w:gridCol w:w="1672"/>
      </w:tblGrid>
      <w:tr w:rsidR="00D9313C" w:rsidRPr="006644A8" w14:paraId="15B9A36B" w14:textId="77777777" w:rsidTr="00085862">
        <w:trPr>
          <w:tblHeader/>
        </w:trPr>
        <w:tc>
          <w:tcPr>
            <w:tcW w:w="1094" w:type="pct"/>
            <w:shd w:val="clear" w:color="auto" w:fill="auto"/>
            <w:vAlign w:val="bottom"/>
          </w:tcPr>
          <w:p w14:paraId="4E1D8140" w14:textId="77777777" w:rsidR="00D9313C" w:rsidRPr="006644A8" w:rsidRDefault="00D9313C" w:rsidP="00EC1B15">
            <w:pPr>
              <w:pStyle w:val="Bodytext"/>
              <w:spacing w:after="60"/>
              <w:rPr>
                <w:b/>
              </w:rPr>
            </w:pPr>
          </w:p>
        </w:tc>
        <w:tc>
          <w:tcPr>
            <w:tcW w:w="1319" w:type="pct"/>
            <w:gridSpan w:val="2"/>
            <w:shd w:val="clear" w:color="auto" w:fill="auto"/>
            <w:vAlign w:val="bottom"/>
          </w:tcPr>
          <w:p w14:paraId="5CF45D5F" w14:textId="77777777" w:rsidR="00D9313C" w:rsidRPr="006644A8" w:rsidRDefault="00D9313C" w:rsidP="00EC1B15">
            <w:pPr>
              <w:pStyle w:val="Bodytext"/>
              <w:spacing w:after="60"/>
              <w:jc w:val="right"/>
              <w:rPr>
                <w:b/>
              </w:rPr>
            </w:pPr>
            <w:r w:rsidRPr="006644A8">
              <w:rPr>
                <w:b/>
              </w:rPr>
              <w:t>Grant funded activity</w:t>
            </w:r>
          </w:p>
        </w:tc>
        <w:tc>
          <w:tcPr>
            <w:tcW w:w="1295" w:type="pct"/>
            <w:gridSpan w:val="2"/>
            <w:shd w:val="clear" w:color="auto" w:fill="auto"/>
            <w:vAlign w:val="bottom"/>
          </w:tcPr>
          <w:p w14:paraId="25AEFFA6" w14:textId="77777777" w:rsidR="00D9313C" w:rsidRDefault="00D9313C" w:rsidP="00EC1B15">
            <w:pPr>
              <w:pStyle w:val="Bodytext"/>
              <w:spacing w:after="60"/>
              <w:jc w:val="right"/>
              <w:rPr>
                <w:b/>
              </w:rPr>
            </w:pPr>
            <w:r w:rsidRPr="006644A8">
              <w:rPr>
                <w:b/>
              </w:rPr>
              <w:t>Support costs</w:t>
            </w:r>
          </w:p>
        </w:tc>
        <w:tc>
          <w:tcPr>
            <w:tcW w:w="1292" w:type="pct"/>
            <w:gridSpan w:val="2"/>
            <w:shd w:val="clear" w:color="auto" w:fill="auto"/>
            <w:vAlign w:val="bottom"/>
          </w:tcPr>
          <w:p w14:paraId="459239A1" w14:textId="77777777" w:rsidR="00D9313C" w:rsidRPr="006644A8" w:rsidRDefault="00D9313C" w:rsidP="00EC1B15">
            <w:pPr>
              <w:pStyle w:val="Bodytext"/>
              <w:spacing w:after="60"/>
              <w:jc w:val="right"/>
              <w:rPr>
                <w:b/>
              </w:rPr>
            </w:pPr>
            <w:r w:rsidRPr="006644A8">
              <w:rPr>
                <w:b/>
              </w:rPr>
              <w:t>Total</w:t>
            </w:r>
          </w:p>
        </w:tc>
      </w:tr>
      <w:tr w:rsidR="00140E07" w:rsidRPr="006644A8" w14:paraId="26935AA7" w14:textId="77777777" w:rsidTr="00AB55CF">
        <w:trPr>
          <w:tblHeader/>
        </w:trPr>
        <w:tc>
          <w:tcPr>
            <w:tcW w:w="1094" w:type="pct"/>
            <w:shd w:val="clear" w:color="auto" w:fill="auto"/>
            <w:vAlign w:val="bottom"/>
          </w:tcPr>
          <w:p w14:paraId="0DBEEFC1" w14:textId="77777777" w:rsidR="00140E07" w:rsidRPr="006644A8" w:rsidRDefault="00140E07" w:rsidP="00140E07">
            <w:pPr>
              <w:pStyle w:val="Bodytext"/>
              <w:spacing w:after="60"/>
              <w:rPr>
                <w:b/>
              </w:rPr>
            </w:pPr>
          </w:p>
        </w:tc>
        <w:tc>
          <w:tcPr>
            <w:tcW w:w="686" w:type="pct"/>
            <w:shd w:val="clear" w:color="auto" w:fill="D9D9D9" w:themeFill="background1" w:themeFillShade="D9"/>
          </w:tcPr>
          <w:p w14:paraId="3D3AB651" w14:textId="60EEC06F" w:rsidR="00140E07" w:rsidRDefault="00140E07" w:rsidP="00140E07">
            <w:pPr>
              <w:pStyle w:val="Bodytext"/>
              <w:keepNext/>
              <w:spacing w:after="60"/>
              <w:jc w:val="right"/>
              <w:rPr>
                <w:b/>
              </w:rPr>
            </w:pPr>
            <w:r>
              <w:rPr>
                <w:b/>
              </w:rPr>
              <w:t>202</w:t>
            </w:r>
            <w:r w:rsidR="00D358C5">
              <w:rPr>
                <w:b/>
              </w:rPr>
              <w:t>3</w:t>
            </w:r>
            <w:r>
              <w:rPr>
                <w:b/>
              </w:rPr>
              <w:t>/2</w:t>
            </w:r>
            <w:r w:rsidR="00D358C5">
              <w:rPr>
                <w:b/>
              </w:rPr>
              <w:t>4</w:t>
            </w:r>
          </w:p>
          <w:p w14:paraId="399D7800" w14:textId="5B9E1C3E" w:rsidR="00140E07" w:rsidRPr="006644A8" w:rsidRDefault="00140E07" w:rsidP="00140E07">
            <w:pPr>
              <w:pStyle w:val="Bodytext"/>
              <w:spacing w:after="60"/>
              <w:jc w:val="right"/>
              <w:rPr>
                <w:b/>
              </w:rPr>
            </w:pPr>
            <w:r>
              <w:rPr>
                <w:b/>
              </w:rPr>
              <w:t>£000</w:t>
            </w:r>
          </w:p>
        </w:tc>
        <w:tc>
          <w:tcPr>
            <w:tcW w:w="633" w:type="pct"/>
          </w:tcPr>
          <w:p w14:paraId="366AB81F" w14:textId="31CE8C18" w:rsidR="00140E07" w:rsidRPr="002B08DA" w:rsidRDefault="00140E07" w:rsidP="00140E07">
            <w:pPr>
              <w:pStyle w:val="Bodytext"/>
              <w:keepNext/>
              <w:spacing w:after="60"/>
              <w:jc w:val="right"/>
              <w:rPr>
                <w:b/>
                <w:color w:val="A6A6A6" w:themeColor="background1" w:themeShade="A6"/>
              </w:rPr>
            </w:pPr>
            <w:r>
              <w:rPr>
                <w:b/>
                <w:color w:val="A6A6A6" w:themeColor="background1" w:themeShade="A6"/>
              </w:rPr>
              <w:t>202</w:t>
            </w:r>
            <w:r w:rsidR="00D358C5">
              <w:rPr>
                <w:b/>
                <w:color w:val="A6A6A6" w:themeColor="background1" w:themeShade="A6"/>
              </w:rPr>
              <w:t>2</w:t>
            </w:r>
            <w:r>
              <w:rPr>
                <w:b/>
                <w:color w:val="A6A6A6" w:themeColor="background1" w:themeShade="A6"/>
              </w:rPr>
              <w:t>/2</w:t>
            </w:r>
            <w:r w:rsidR="00D358C5">
              <w:rPr>
                <w:b/>
                <w:color w:val="A6A6A6" w:themeColor="background1" w:themeShade="A6"/>
              </w:rPr>
              <w:t>3</w:t>
            </w:r>
          </w:p>
          <w:p w14:paraId="5E9C4784" w14:textId="133EE981" w:rsidR="00140E07" w:rsidRPr="00D1741D" w:rsidRDefault="00140E07" w:rsidP="00140E07">
            <w:pPr>
              <w:pStyle w:val="Bodytext"/>
              <w:spacing w:after="60"/>
              <w:jc w:val="right"/>
              <w:rPr>
                <w:b/>
                <w:color w:val="A6A6A6" w:themeColor="background1" w:themeShade="A6"/>
              </w:rPr>
            </w:pPr>
            <w:r w:rsidRPr="002B08DA">
              <w:rPr>
                <w:b/>
                <w:color w:val="A6A6A6" w:themeColor="background1" w:themeShade="A6"/>
              </w:rPr>
              <w:t>£000</w:t>
            </w:r>
          </w:p>
        </w:tc>
        <w:tc>
          <w:tcPr>
            <w:tcW w:w="634" w:type="pct"/>
            <w:shd w:val="clear" w:color="auto" w:fill="D9D9D9" w:themeFill="background1" w:themeFillShade="D9"/>
          </w:tcPr>
          <w:p w14:paraId="2B86186F" w14:textId="57C5012F" w:rsidR="00140E07" w:rsidRDefault="00140E07" w:rsidP="00140E07">
            <w:pPr>
              <w:pStyle w:val="Bodytext"/>
              <w:keepNext/>
              <w:spacing w:after="60"/>
              <w:jc w:val="right"/>
              <w:rPr>
                <w:b/>
              </w:rPr>
            </w:pPr>
            <w:r>
              <w:rPr>
                <w:b/>
              </w:rPr>
              <w:t>202</w:t>
            </w:r>
            <w:r w:rsidR="00D358C5">
              <w:rPr>
                <w:b/>
              </w:rPr>
              <w:t>3</w:t>
            </w:r>
            <w:r>
              <w:rPr>
                <w:b/>
              </w:rPr>
              <w:t>/2</w:t>
            </w:r>
            <w:r w:rsidR="00D358C5">
              <w:rPr>
                <w:b/>
              </w:rPr>
              <w:t>4</w:t>
            </w:r>
          </w:p>
          <w:p w14:paraId="71D664B9" w14:textId="4CA492DE" w:rsidR="00140E07" w:rsidRPr="006644A8" w:rsidRDefault="00140E07" w:rsidP="00140E07">
            <w:pPr>
              <w:pStyle w:val="Bodytext"/>
              <w:spacing w:after="60"/>
              <w:jc w:val="right"/>
              <w:rPr>
                <w:b/>
              </w:rPr>
            </w:pPr>
            <w:r>
              <w:rPr>
                <w:b/>
              </w:rPr>
              <w:t>£000</w:t>
            </w:r>
          </w:p>
        </w:tc>
        <w:tc>
          <w:tcPr>
            <w:tcW w:w="661" w:type="pct"/>
          </w:tcPr>
          <w:p w14:paraId="49FCB550" w14:textId="7B488297" w:rsidR="00140E07" w:rsidRPr="002B08DA" w:rsidRDefault="00140E07" w:rsidP="00140E07">
            <w:pPr>
              <w:pStyle w:val="Bodytext"/>
              <w:keepNext/>
              <w:spacing w:after="60"/>
              <w:jc w:val="right"/>
              <w:rPr>
                <w:b/>
                <w:color w:val="A6A6A6" w:themeColor="background1" w:themeShade="A6"/>
              </w:rPr>
            </w:pPr>
            <w:r>
              <w:rPr>
                <w:b/>
                <w:color w:val="A6A6A6" w:themeColor="background1" w:themeShade="A6"/>
              </w:rPr>
              <w:t>202</w:t>
            </w:r>
            <w:r w:rsidR="00D358C5">
              <w:rPr>
                <w:b/>
                <w:color w:val="A6A6A6" w:themeColor="background1" w:themeShade="A6"/>
              </w:rPr>
              <w:t>2</w:t>
            </w:r>
            <w:r>
              <w:rPr>
                <w:b/>
                <w:color w:val="A6A6A6" w:themeColor="background1" w:themeShade="A6"/>
              </w:rPr>
              <w:t>/2</w:t>
            </w:r>
            <w:r w:rsidR="00D358C5">
              <w:rPr>
                <w:b/>
                <w:color w:val="A6A6A6" w:themeColor="background1" w:themeShade="A6"/>
              </w:rPr>
              <w:t>3</w:t>
            </w:r>
          </w:p>
          <w:p w14:paraId="48611415" w14:textId="3BB38719" w:rsidR="00140E07" w:rsidRPr="00D1741D" w:rsidRDefault="00140E07" w:rsidP="00140E07">
            <w:pPr>
              <w:pStyle w:val="Bodytext"/>
              <w:spacing w:after="60"/>
              <w:jc w:val="right"/>
              <w:rPr>
                <w:b/>
                <w:color w:val="A6A6A6" w:themeColor="background1" w:themeShade="A6"/>
              </w:rPr>
            </w:pPr>
            <w:r w:rsidRPr="002B08DA">
              <w:rPr>
                <w:b/>
                <w:color w:val="A6A6A6" w:themeColor="background1" w:themeShade="A6"/>
              </w:rPr>
              <w:t>£000</w:t>
            </w:r>
          </w:p>
        </w:tc>
        <w:tc>
          <w:tcPr>
            <w:tcW w:w="707" w:type="pct"/>
            <w:shd w:val="clear" w:color="auto" w:fill="D9D9D9" w:themeFill="background1" w:themeFillShade="D9"/>
          </w:tcPr>
          <w:p w14:paraId="0BE44391" w14:textId="68BC1C68" w:rsidR="00140E07" w:rsidRDefault="00140E07" w:rsidP="00140E07">
            <w:pPr>
              <w:pStyle w:val="Bodytext"/>
              <w:keepNext/>
              <w:spacing w:after="60"/>
              <w:jc w:val="right"/>
              <w:rPr>
                <w:b/>
              </w:rPr>
            </w:pPr>
            <w:r>
              <w:rPr>
                <w:b/>
              </w:rPr>
              <w:t>202</w:t>
            </w:r>
            <w:r w:rsidR="00D358C5">
              <w:rPr>
                <w:b/>
              </w:rPr>
              <w:t>3</w:t>
            </w:r>
            <w:r>
              <w:rPr>
                <w:b/>
              </w:rPr>
              <w:t>/2</w:t>
            </w:r>
            <w:r w:rsidR="00D358C5">
              <w:rPr>
                <w:b/>
              </w:rPr>
              <w:t>4</w:t>
            </w:r>
          </w:p>
          <w:p w14:paraId="3C7FFBDC" w14:textId="68FC46A3" w:rsidR="00140E07" w:rsidRDefault="00140E07" w:rsidP="00140E07">
            <w:pPr>
              <w:pStyle w:val="Bodytext"/>
              <w:spacing w:after="60"/>
              <w:jc w:val="right"/>
              <w:rPr>
                <w:b/>
              </w:rPr>
            </w:pPr>
            <w:r>
              <w:rPr>
                <w:b/>
              </w:rPr>
              <w:t>£000</w:t>
            </w:r>
          </w:p>
        </w:tc>
        <w:tc>
          <w:tcPr>
            <w:tcW w:w="585" w:type="pct"/>
          </w:tcPr>
          <w:p w14:paraId="2EAA9496" w14:textId="522A1EF1" w:rsidR="00140E07" w:rsidRPr="002B08DA" w:rsidRDefault="00140E07" w:rsidP="00140E07">
            <w:pPr>
              <w:pStyle w:val="Bodytext"/>
              <w:keepNext/>
              <w:spacing w:after="60"/>
              <w:jc w:val="right"/>
              <w:rPr>
                <w:b/>
                <w:color w:val="A6A6A6" w:themeColor="background1" w:themeShade="A6"/>
              </w:rPr>
            </w:pPr>
            <w:r>
              <w:rPr>
                <w:b/>
                <w:color w:val="A6A6A6" w:themeColor="background1" w:themeShade="A6"/>
              </w:rPr>
              <w:t>202</w:t>
            </w:r>
            <w:r w:rsidR="00D358C5">
              <w:rPr>
                <w:b/>
                <w:color w:val="A6A6A6" w:themeColor="background1" w:themeShade="A6"/>
              </w:rPr>
              <w:t>2</w:t>
            </w:r>
            <w:r>
              <w:rPr>
                <w:b/>
                <w:color w:val="A6A6A6" w:themeColor="background1" w:themeShade="A6"/>
              </w:rPr>
              <w:t>/2</w:t>
            </w:r>
            <w:r w:rsidR="00D358C5">
              <w:rPr>
                <w:b/>
                <w:color w:val="A6A6A6" w:themeColor="background1" w:themeShade="A6"/>
              </w:rPr>
              <w:t>3</w:t>
            </w:r>
          </w:p>
          <w:p w14:paraId="09A8AA21" w14:textId="76278298" w:rsidR="00140E07" w:rsidRPr="00D1741D" w:rsidRDefault="00140E07" w:rsidP="00140E07">
            <w:pPr>
              <w:pStyle w:val="Bodytext"/>
              <w:spacing w:after="60"/>
              <w:jc w:val="right"/>
              <w:rPr>
                <w:b/>
                <w:color w:val="A6A6A6" w:themeColor="background1" w:themeShade="A6"/>
              </w:rPr>
            </w:pPr>
            <w:r w:rsidRPr="002B08DA">
              <w:rPr>
                <w:b/>
                <w:color w:val="A6A6A6" w:themeColor="background1" w:themeShade="A6"/>
              </w:rPr>
              <w:t>£000</w:t>
            </w:r>
          </w:p>
        </w:tc>
      </w:tr>
      <w:tr w:rsidR="00D9313C" w:rsidRPr="006644A8" w14:paraId="3C2944A6" w14:textId="77777777" w:rsidTr="00AB55CF">
        <w:tc>
          <w:tcPr>
            <w:tcW w:w="1094" w:type="pct"/>
            <w:shd w:val="clear" w:color="auto" w:fill="auto"/>
            <w:vAlign w:val="bottom"/>
          </w:tcPr>
          <w:p w14:paraId="7E098803" w14:textId="77777777" w:rsidR="00D9313C" w:rsidRPr="00950A26" w:rsidRDefault="00D9313C" w:rsidP="00EC1B15">
            <w:pPr>
              <w:pStyle w:val="Bodytext"/>
              <w:spacing w:after="60"/>
              <w:rPr>
                <w:b/>
                <w:bCs/>
              </w:rPr>
            </w:pPr>
            <w:r>
              <w:rPr>
                <w:b/>
                <w:bCs/>
              </w:rPr>
              <w:t>Unrestricted funds</w:t>
            </w:r>
          </w:p>
        </w:tc>
        <w:tc>
          <w:tcPr>
            <w:tcW w:w="686" w:type="pct"/>
            <w:shd w:val="clear" w:color="auto" w:fill="D9D9D9" w:themeFill="background1" w:themeFillShade="D9"/>
            <w:vAlign w:val="bottom"/>
          </w:tcPr>
          <w:p w14:paraId="4EB3E901" w14:textId="77777777" w:rsidR="00D9313C" w:rsidRPr="006644A8" w:rsidRDefault="00D9313C" w:rsidP="00EC1B15">
            <w:pPr>
              <w:pStyle w:val="Bodytext"/>
              <w:spacing w:after="60"/>
              <w:jc w:val="right"/>
            </w:pPr>
          </w:p>
        </w:tc>
        <w:tc>
          <w:tcPr>
            <w:tcW w:w="633" w:type="pct"/>
            <w:vAlign w:val="bottom"/>
          </w:tcPr>
          <w:p w14:paraId="66FEA666" w14:textId="77777777" w:rsidR="00D9313C" w:rsidRPr="00D1741D" w:rsidRDefault="00D9313C" w:rsidP="00EC1B15">
            <w:pPr>
              <w:pStyle w:val="Bodytext"/>
              <w:spacing w:after="60"/>
              <w:jc w:val="right"/>
              <w:rPr>
                <w:color w:val="A6A6A6" w:themeColor="background1" w:themeShade="A6"/>
              </w:rPr>
            </w:pPr>
          </w:p>
        </w:tc>
        <w:tc>
          <w:tcPr>
            <w:tcW w:w="634" w:type="pct"/>
            <w:shd w:val="clear" w:color="auto" w:fill="D9D9D9" w:themeFill="background1" w:themeFillShade="D9"/>
            <w:vAlign w:val="bottom"/>
          </w:tcPr>
          <w:p w14:paraId="52428B7E" w14:textId="77777777" w:rsidR="00D9313C" w:rsidRPr="006644A8" w:rsidRDefault="00D9313C" w:rsidP="00EC1B15">
            <w:pPr>
              <w:pStyle w:val="Bodytext"/>
              <w:spacing w:after="60"/>
              <w:jc w:val="right"/>
            </w:pPr>
          </w:p>
        </w:tc>
        <w:tc>
          <w:tcPr>
            <w:tcW w:w="661" w:type="pct"/>
            <w:vAlign w:val="bottom"/>
          </w:tcPr>
          <w:p w14:paraId="5DEE44F3" w14:textId="77777777" w:rsidR="00D9313C" w:rsidRPr="00D1741D" w:rsidRDefault="00D9313C" w:rsidP="00EC1B15">
            <w:pPr>
              <w:pStyle w:val="Bodytext"/>
              <w:spacing w:after="60"/>
              <w:jc w:val="right"/>
              <w:rPr>
                <w:color w:val="A6A6A6" w:themeColor="background1" w:themeShade="A6"/>
              </w:rPr>
            </w:pPr>
          </w:p>
        </w:tc>
        <w:tc>
          <w:tcPr>
            <w:tcW w:w="707" w:type="pct"/>
            <w:shd w:val="clear" w:color="auto" w:fill="D9D9D9" w:themeFill="background1" w:themeFillShade="D9"/>
            <w:vAlign w:val="bottom"/>
          </w:tcPr>
          <w:p w14:paraId="18D818DD" w14:textId="77777777" w:rsidR="00D9313C" w:rsidRPr="006644A8" w:rsidRDefault="00D9313C" w:rsidP="00EC1B15">
            <w:pPr>
              <w:pStyle w:val="Bodytext"/>
              <w:spacing w:after="60"/>
              <w:jc w:val="right"/>
            </w:pPr>
          </w:p>
        </w:tc>
        <w:tc>
          <w:tcPr>
            <w:tcW w:w="585" w:type="pct"/>
            <w:vAlign w:val="bottom"/>
          </w:tcPr>
          <w:p w14:paraId="353E900E" w14:textId="77777777" w:rsidR="00D9313C" w:rsidRPr="00D1741D" w:rsidRDefault="00D9313C" w:rsidP="00EC1B15">
            <w:pPr>
              <w:pStyle w:val="Bodytext"/>
              <w:spacing w:after="60"/>
              <w:jc w:val="right"/>
              <w:rPr>
                <w:color w:val="A6A6A6" w:themeColor="background1" w:themeShade="A6"/>
              </w:rPr>
            </w:pPr>
          </w:p>
        </w:tc>
      </w:tr>
      <w:tr w:rsidR="003C2012" w:rsidRPr="006644A8" w14:paraId="115C3BA2" w14:textId="77777777" w:rsidTr="00AB55CF">
        <w:tc>
          <w:tcPr>
            <w:tcW w:w="1094" w:type="pct"/>
            <w:shd w:val="clear" w:color="auto" w:fill="auto"/>
            <w:vAlign w:val="bottom"/>
          </w:tcPr>
          <w:p w14:paraId="163B6CCC" w14:textId="77777777" w:rsidR="003C2012" w:rsidRPr="006644A8" w:rsidRDefault="003C2012" w:rsidP="003C2012">
            <w:pPr>
              <w:pStyle w:val="Bodytext"/>
              <w:spacing w:after="60"/>
            </w:pPr>
            <w:r w:rsidRPr="006644A8">
              <w:t>Medical research</w:t>
            </w:r>
          </w:p>
        </w:tc>
        <w:tc>
          <w:tcPr>
            <w:tcW w:w="686" w:type="pct"/>
            <w:shd w:val="clear" w:color="auto" w:fill="D9D9D9" w:themeFill="background1" w:themeFillShade="D9"/>
            <w:vAlign w:val="center"/>
          </w:tcPr>
          <w:p w14:paraId="00C99572" w14:textId="64C9F07C" w:rsidR="003C2012" w:rsidRPr="006644A8" w:rsidRDefault="003C2012" w:rsidP="003C2012">
            <w:pPr>
              <w:pStyle w:val="Bodytext"/>
              <w:spacing w:after="60"/>
              <w:jc w:val="right"/>
            </w:pPr>
            <w:r>
              <w:rPr>
                <w:rFonts w:cs="Arial"/>
                <w:color w:val="424141"/>
                <w:szCs w:val="22"/>
              </w:rPr>
              <w:t xml:space="preserve">913 </w:t>
            </w:r>
          </w:p>
        </w:tc>
        <w:tc>
          <w:tcPr>
            <w:tcW w:w="633" w:type="pct"/>
            <w:vAlign w:val="center"/>
          </w:tcPr>
          <w:p w14:paraId="5076E6E4" w14:textId="321BBB36" w:rsidR="003C2012" w:rsidRPr="00D1741D" w:rsidRDefault="003C2012" w:rsidP="003C2012">
            <w:pPr>
              <w:pStyle w:val="Bodytext"/>
              <w:spacing w:after="60"/>
              <w:jc w:val="right"/>
              <w:rPr>
                <w:color w:val="A6A6A6" w:themeColor="background1" w:themeShade="A6"/>
              </w:rPr>
            </w:pPr>
            <w:r>
              <w:rPr>
                <w:rFonts w:cs="Arial"/>
                <w:color w:val="A6A6A6"/>
                <w:szCs w:val="22"/>
              </w:rPr>
              <w:t xml:space="preserve">743 </w:t>
            </w:r>
          </w:p>
        </w:tc>
        <w:tc>
          <w:tcPr>
            <w:tcW w:w="634" w:type="pct"/>
            <w:shd w:val="clear" w:color="auto" w:fill="D9D9D9" w:themeFill="background1" w:themeFillShade="D9"/>
            <w:vAlign w:val="center"/>
          </w:tcPr>
          <w:p w14:paraId="7C84A6AC" w14:textId="6CE9CB40" w:rsidR="003C2012" w:rsidRPr="006644A8" w:rsidRDefault="003C2012" w:rsidP="003C2012">
            <w:pPr>
              <w:pStyle w:val="Bodytext"/>
              <w:spacing w:after="60"/>
              <w:jc w:val="right"/>
            </w:pPr>
            <w:r>
              <w:rPr>
                <w:rFonts w:cs="Arial"/>
                <w:color w:val="424141"/>
                <w:szCs w:val="22"/>
              </w:rPr>
              <w:t xml:space="preserve">78 </w:t>
            </w:r>
          </w:p>
        </w:tc>
        <w:tc>
          <w:tcPr>
            <w:tcW w:w="661" w:type="pct"/>
            <w:vAlign w:val="center"/>
          </w:tcPr>
          <w:p w14:paraId="07FB04BB" w14:textId="5D92A0CF" w:rsidR="003C2012" w:rsidRPr="00D1741D" w:rsidRDefault="003C2012" w:rsidP="003C2012">
            <w:pPr>
              <w:pStyle w:val="Bodytext"/>
              <w:spacing w:after="60"/>
              <w:jc w:val="right"/>
              <w:rPr>
                <w:color w:val="A6A6A6" w:themeColor="background1" w:themeShade="A6"/>
              </w:rPr>
            </w:pPr>
            <w:r>
              <w:rPr>
                <w:rFonts w:cs="Arial"/>
                <w:color w:val="A6A6A6"/>
                <w:szCs w:val="22"/>
              </w:rPr>
              <w:t xml:space="preserve">195 </w:t>
            </w:r>
          </w:p>
        </w:tc>
        <w:tc>
          <w:tcPr>
            <w:tcW w:w="707" w:type="pct"/>
            <w:shd w:val="clear" w:color="auto" w:fill="D9D9D9" w:themeFill="background1" w:themeFillShade="D9"/>
            <w:vAlign w:val="center"/>
          </w:tcPr>
          <w:p w14:paraId="43F1314E" w14:textId="5CA01AC1" w:rsidR="003C2012" w:rsidRPr="006644A8" w:rsidRDefault="003C2012" w:rsidP="003C2012">
            <w:pPr>
              <w:pStyle w:val="Bodytext"/>
              <w:spacing w:after="60"/>
              <w:jc w:val="right"/>
            </w:pPr>
            <w:r>
              <w:rPr>
                <w:rFonts w:cs="Arial"/>
                <w:color w:val="424141"/>
                <w:szCs w:val="22"/>
              </w:rPr>
              <w:t xml:space="preserve">    991 </w:t>
            </w:r>
          </w:p>
        </w:tc>
        <w:tc>
          <w:tcPr>
            <w:tcW w:w="585" w:type="pct"/>
            <w:vAlign w:val="center"/>
          </w:tcPr>
          <w:p w14:paraId="16FD6018" w14:textId="052F3C61" w:rsidR="003C2012" w:rsidRPr="00D1741D" w:rsidRDefault="003C2012" w:rsidP="003C2012">
            <w:pPr>
              <w:pStyle w:val="Bodytext"/>
              <w:spacing w:after="60"/>
              <w:jc w:val="right"/>
              <w:rPr>
                <w:color w:val="A6A6A6" w:themeColor="background1" w:themeShade="A6"/>
              </w:rPr>
            </w:pPr>
            <w:r>
              <w:rPr>
                <w:rFonts w:cs="Arial"/>
                <w:color w:val="A6A6A6"/>
                <w:szCs w:val="22"/>
              </w:rPr>
              <w:t xml:space="preserve">    938 </w:t>
            </w:r>
          </w:p>
        </w:tc>
      </w:tr>
      <w:tr w:rsidR="003C2012" w:rsidRPr="006644A8" w14:paraId="246FAA39" w14:textId="77777777" w:rsidTr="00AB55CF">
        <w:tc>
          <w:tcPr>
            <w:tcW w:w="1094" w:type="pct"/>
            <w:shd w:val="clear" w:color="auto" w:fill="auto"/>
            <w:vAlign w:val="bottom"/>
          </w:tcPr>
          <w:p w14:paraId="1A687133" w14:textId="77777777" w:rsidR="003C2012" w:rsidRPr="006644A8" w:rsidRDefault="003C2012" w:rsidP="003C2012">
            <w:pPr>
              <w:pStyle w:val="Bodytext"/>
              <w:spacing w:after="60"/>
            </w:pPr>
            <w:r w:rsidRPr="006644A8">
              <w:t>Purchase of new equipment</w:t>
            </w:r>
          </w:p>
        </w:tc>
        <w:tc>
          <w:tcPr>
            <w:tcW w:w="686" w:type="pct"/>
            <w:shd w:val="clear" w:color="auto" w:fill="D9D9D9" w:themeFill="background1" w:themeFillShade="D9"/>
            <w:vAlign w:val="center"/>
          </w:tcPr>
          <w:p w14:paraId="33CB5F9C" w14:textId="60FAF090" w:rsidR="003C2012" w:rsidRPr="006644A8" w:rsidRDefault="008D7360" w:rsidP="003C2012">
            <w:pPr>
              <w:pStyle w:val="Bodytext"/>
              <w:spacing w:after="60"/>
              <w:jc w:val="right"/>
            </w:pPr>
            <w:r>
              <w:rPr>
                <w:rFonts w:cs="Arial"/>
                <w:color w:val="424141"/>
                <w:szCs w:val="22"/>
              </w:rPr>
              <w:t>682</w:t>
            </w:r>
          </w:p>
        </w:tc>
        <w:tc>
          <w:tcPr>
            <w:tcW w:w="633" w:type="pct"/>
            <w:vAlign w:val="center"/>
          </w:tcPr>
          <w:p w14:paraId="1C1FB259" w14:textId="317D0701" w:rsidR="003C2012" w:rsidRPr="00D1741D" w:rsidRDefault="003C2012" w:rsidP="003C2012">
            <w:pPr>
              <w:pStyle w:val="Bodytext"/>
              <w:spacing w:after="60"/>
              <w:jc w:val="right"/>
              <w:rPr>
                <w:color w:val="A6A6A6" w:themeColor="background1" w:themeShade="A6"/>
              </w:rPr>
            </w:pPr>
            <w:r>
              <w:rPr>
                <w:rFonts w:cs="Arial"/>
                <w:color w:val="A6A6A6"/>
                <w:szCs w:val="22"/>
              </w:rPr>
              <w:t xml:space="preserve">871 </w:t>
            </w:r>
          </w:p>
        </w:tc>
        <w:tc>
          <w:tcPr>
            <w:tcW w:w="634" w:type="pct"/>
            <w:shd w:val="clear" w:color="auto" w:fill="D9D9D9" w:themeFill="background1" w:themeFillShade="D9"/>
            <w:vAlign w:val="center"/>
          </w:tcPr>
          <w:p w14:paraId="0709CF89" w14:textId="00C8B526" w:rsidR="003C2012" w:rsidRPr="006644A8" w:rsidRDefault="008D7360" w:rsidP="003C2012">
            <w:pPr>
              <w:pStyle w:val="Bodytext"/>
              <w:spacing w:after="60"/>
              <w:jc w:val="right"/>
            </w:pPr>
            <w:r>
              <w:rPr>
                <w:rFonts w:cs="Arial"/>
                <w:color w:val="424141"/>
                <w:szCs w:val="22"/>
              </w:rPr>
              <w:t>62</w:t>
            </w:r>
          </w:p>
        </w:tc>
        <w:tc>
          <w:tcPr>
            <w:tcW w:w="661" w:type="pct"/>
            <w:vAlign w:val="center"/>
          </w:tcPr>
          <w:p w14:paraId="1E6B6E06" w14:textId="5D300DD6" w:rsidR="003C2012" w:rsidRPr="00D1741D" w:rsidRDefault="003C2012" w:rsidP="003C2012">
            <w:pPr>
              <w:pStyle w:val="Bodytext"/>
              <w:spacing w:after="60"/>
              <w:jc w:val="right"/>
              <w:rPr>
                <w:color w:val="A6A6A6" w:themeColor="background1" w:themeShade="A6"/>
              </w:rPr>
            </w:pPr>
            <w:r>
              <w:rPr>
                <w:rFonts w:cs="Arial"/>
                <w:color w:val="A6A6A6"/>
                <w:szCs w:val="22"/>
              </w:rPr>
              <w:t xml:space="preserve">17 </w:t>
            </w:r>
          </w:p>
        </w:tc>
        <w:tc>
          <w:tcPr>
            <w:tcW w:w="707" w:type="pct"/>
            <w:shd w:val="clear" w:color="auto" w:fill="D9D9D9" w:themeFill="background1" w:themeFillShade="D9"/>
            <w:vAlign w:val="center"/>
          </w:tcPr>
          <w:p w14:paraId="1A6898F3" w14:textId="7991789F" w:rsidR="003C2012" w:rsidRPr="006644A8" w:rsidRDefault="003C2012" w:rsidP="003C2012">
            <w:pPr>
              <w:pStyle w:val="Bodytext"/>
              <w:spacing w:after="60"/>
              <w:jc w:val="right"/>
            </w:pPr>
            <w:r>
              <w:rPr>
                <w:rFonts w:cs="Arial"/>
                <w:color w:val="424141"/>
                <w:szCs w:val="22"/>
              </w:rPr>
              <w:t xml:space="preserve">    </w:t>
            </w:r>
            <w:r w:rsidR="001753A7">
              <w:rPr>
                <w:rFonts w:cs="Arial"/>
                <w:color w:val="424141"/>
                <w:szCs w:val="22"/>
              </w:rPr>
              <w:t>744</w:t>
            </w:r>
          </w:p>
        </w:tc>
        <w:tc>
          <w:tcPr>
            <w:tcW w:w="585" w:type="pct"/>
            <w:vAlign w:val="center"/>
          </w:tcPr>
          <w:p w14:paraId="39C061AB" w14:textId="1F417332" w:rsidR="003C2012" w:rsidRPr="00D1741D" w:rsidRDefault="003C2012" w:rsidP="003C2012">
            <w:pPr>
              <w:pStyle w:val="Bodytext"/>
              <w:spacing w:after="60"/>
              <w:jc w:val="right"/>
              <w:rPr>
                <w:color w:val="A6A6A6" w:themeColor="background1" w:themeShade="A6"/>
              </w:rPr>
            </w:pPr>
            <w:r>
              <w:rPr>
                <w:rFonts w:cs="Arial"/>
                <w:color w:val="A6A6A6"/>
                <w:szCs w:val="22"/>
              </w:rPr>
              <w:t xml:space="preserve">    888 </w:t>
            </w:r>
          </w:p>
        </w:tc>
      </w:tr>
      <w:tr w:rsidR="003C2012" w:rsidRPr="006644A8" w14:paraId="14243558" w14:textId="77777777" w:rsidTr="00AB55CF">
        <w:tc>
          <w:tcPr>
            <w:tcW w:w="1094" w:type="pct"/>
            <w:shd w:val="clear" w:color="auto" w:fill="auto"/>
            <w:vAlign w:val="bottom"/>
          </w:tcPr>
          <w:p w14:paraId="6AE22306" w14:textId="77777777" w:rsidR="003C2012" w:rsidRPr="006644A8" w:rsidRDefault="003C2012" w:rsidP="003C2012">
            <w:pPr>
              <w:pStyle w:val="Bodytext"/>
              <w:spacing w:after="60"/>
            </w:pPr>
            <w:r w:rsidRPr="006644A8">
              <w:t>Building and refurbishment</w:t>
            </w:r>
          </w:p>
        </w:tc>
        <w:tc>
          <w:tcPr>
            <w:tcW w:w="686" w:type="pct"/>
            <w:shd w:val="clear" w:color="auto" w:fill="D9D9D9" w:themeFill="background1" w:themeFillShade="D9"/>
            <w:vAlign w:val="center"/>
          </w:tcPr>
          <w:p w14:paraId="0066809D" w14:textId="0566CE8A" w:rsidR="003C2012" w:rsidRPr="006644A8" w:rsidRDefault="001753A7" w:rsidP="003C2012">
            <w:pPr>
              <w:pStyle w:val="Bodytext"/>
              <w:spacing w:after="60"/>
              <w:jc w:val="right"/>
            </w:pPr>
            <w:r>
              <w:rPr>
                <w:rFonts w:cs="Arial"/>
                <w:color w:val="424141"/>
                <w:szCs w:val="22"/>
              </w:rPr>
              <w:t>806</w:t>
            </w:r>
          </w:p>
        </w:tc>
        <w:tc>
          <w:tcPr>
            <w:tcW w:w="633" w:type="pct"/>
            <w:vAlign w:val="center"/>
          </w:tcPr>
          <w:p w14:paraId="7760BC02" w14:textId="1DD151CD" w:rsidR="003C2012" w:rsidRPr="00D1741D" w:rsidRDefault="003C2012" w:rsidP="003C2012">
            <w:pPr>
              <w:pStyle w:val="Bodytext"/>
              <w:spacing w:after="60"/>
              <w:jc w:val="right"/>
              <w:rPr>
                <w:color w:val="A6A6A6" w:themeColor="background1" w:themeShade="A6"/>
              </w:rPr>
            </w:pPr>
            <w:r>
              <w:rPr>
                <w:rFonts w:cs="Arial"/>
                <w:color w:val="A6A6A6"/>
                <w:szCs w:val="22"/>
              </w:rPr>
              <w:t xml:space="preserve">1,156 </w:t>
            </w:r>
          </w:p>
        </w:tc>
        <w:tc>
          <w:tcPr>
            <w:tcW w:w="634" w:type="pct"/>
            <w:shd w:val="clear" w:color="auto" w:fill="D9D9D9" w:themeFill="background1" w:themeFillShade="D9"/>
            <w:vAlign w:val="center"/>
          </w:tcPr>
          <w:p w14:paraId="551982AD" w14:textId="30BCAF53" w:rsidR="003C2012" w:rsidRPr="006644A8" w:rsidRDefault="001753A7" w:rsidP="003C2012">
            <w:pPr>
              <w:pStyle w:val="Bodytext"/>
              <w:spacing w:after="60"/>
              <w:jc w:val="right"/>
            </w:pPr>
            <w:r>
              <w:rPr>
                <w:rFonts w:cs="Arial"/>
                <w:color w:val="424141"/>
                <w:szCs w:val="22"/>
              </w:rPr>
              <w:t>55</w:t>
            </w:r>
          </w:p>
        </w:tc>
        <w:tc>
          <w:tcPr>
            <w:tcW w:w="661" w:type="pct"/>
            <w:vAlign w:val="center"/>
          </w:tcPr>
          <w:p w14:paraId="4EB708EE" w14:textId="178FAACE" w:rsidR="003C2012" w:rsidRPr="00D1741D" w:rsidRDefault="003C2012" w:rsidP="003C2012">
            <w:pPr>
              <w:pStyle w:val="Bodytext"/>
              <w:spacing w:after="60"/>
              <w:jc w:val="right"/>
              <w:rPr>
                <w:color w:val="A6A6A6" w:themeColor="background1" w:themeShade="A6"/>
              </w:rPr>
            </w:pPr>
            <w:r>
              <w:rPr>
                <w:rFonts w:cs="Arial"/>
                <w:color w:val="A6A6A6"/>
                <w:szCs w:val="22"/>
              </w:rPr>
              <w:t xml:space="preserve">820 </w:t>
            </w:r>
          </w:p>
        </w:tc>
        <w:tc>
          <w:tcPr>
            <w:tcW w:w="707" w:type="pct"/>
            <w:shd w:val="clear" w:color="auto" w:fill="D9D9D9" w:themeFill="background1" w:themeFillShade="D9"/>
            <w:vAlign w:val="center"/>
          </w:tcPr>
          <w:p w14:paraId="5EDE6362" w14:textId="519ED9EB" w:rsidR="003C2012" w:rsidRPr="006644A8" w:rsidRDefault="003C2012" w:rsidP="003C2012">
            <w:pPr>
              <w:pStyle w:val="Bodytext"/>
              <w:spacing w:after="60"/>
              <w:jc w:val="right"/>
            </w:pPr>
            <w:r>
              <w:rPr>
                <w:rFonts w:cs="Arial"/>
                <w:color w:val="424141"/>
                <w:szCs w:val="22"/>
              </w:rPr>
              <w:t xml:space="preserve">    </w:t>
            </w:r>
            <w:r w:rsidR="001753A7">
              <w:rPr>
                <w:rFonts w:cs="Arial"/>
                <w:color w:val="424141"/>
                <w:szCs w:val="22"/>
              </w:rPr>
              <w:t>861</w:t>
            </w:r>
          </w:p>
        </w:tc>
        <w:tc>
          <w:tcPr>
            <w:tcW w:w="585" w:type="pct"/>
            <w:vAlign w:val="center"/>
          </w:tcPr>
          <w:p w14:paraId="1497870A" w14:textId="25067C67" w:rsidR="003C2012" w:rsidRPr="00D1741D" w:rsidRDefault="003C2012" w:rsidP="003C2012">
            <w:pPr>
              <w:pStyle w:val="Bodytext"/>
              <w:spacing w:after="60"/>
              <w:jc w:val="right"/>
              <w:rPr>
                <w:color w:val="A6A6A6" w:themeColor="background1" w:themeShade="A6"/>
              </w:rPr>
            </w:pPr>
            <w:r>
              <w:rPr>
                <w:rFonts w:cs="Arial"/>
                <w:color w:val="A6A6A6"/>
                <w:szCs w:val="22"/>
              </w:rPr>
              <w:t xml:space="preserve"> 1,976 </w:t>
            </w:r>
          </w:p>
        </w:tc>
      </w:tr>
      <w:tr w:rsidR="003C2012" w:rsidRPr="006644A8" w14:paraId="06846DB1" w14:textId="77777777" w:rsidTr="00873F7A">
        <w:tc>
          <w:tcPr>
            <w:tcW w:w="1094" w:type="pct"/>
            <w:shd w:val="clear" w:color="auto" w:fill="auto"/>
            <w:vAlign w:val="bottom"/>
          </w:tcPr>
          <w:p w14:paraId="4C1F38F9" w14:textId="77777777" w:rsidR="003C2012" w:rsidRPr="006644A8" w:rsidRDefault="003C2012" w:rsidP="003C2012">
            <w:pPr>
              <w:pStyle w:val="Bodytext"/>
              <w:spacing w:after="60"/>
            </w:pPr>
            <w:r w:rsidRPr="006644A8">
              <w:t>Staff education and welfare</w:t>
            </w:r>
          </w:p>
        </w:tc>
        <w:tc>
          <w:tcPr>
            <w:tcW w:w="686" w:type="pct"/>
            <w:shd w:val="clear" w:color="auto" w:fill="D9D9D9" w:themeFill="background1" w:themeFillShade="D9"/>
            <w:vAlign w:val="center"/>
          </w:tcPr>
          <w:p w14:paraId="64D997A6" w14:textId="561AF33F" w:rsidR="003C2012" w:rsidRPr="006644A8" w:rsidRDefault="00CC2C72" w:rsidP="003C2012">
            <w:pPr>
              <w:pStyle w:val="Bodytext"/>
              <w:spacing w:after="60"/>
              <w:jc w:val="right"/>
            </w:pPr>
            <w:r>
              <w:rPr>
                <w:rFonts w:cs="Arial"/>
                <w:color w:val="424141"/>
                <w:szCs w:val="22"/>
              </w:rPr>
              <w:t xml:space="preserve">249 </w:t>
            </w:r>
          </w:p>
        </w:tc>
        <w:tc>
          <w:tcPr>
            <w:tcW w:w="633" w:type="pct"/>
            <w:vAlign w:val="center"/>
          </w:tcPr>
          <w:p w14:paraId="0A9BAA6D" w14:textId="031F2176" w:rsidR="003C2012" w:rsidRPr="00D1741D" w:rsidRDefault="003C2012" w:rsidP="003C2012">
            <w:pPr>
              <w:pStyle w:val="Bodytext"/>
              <w:spacing w:after="60"/>
              <w:jc w:val="right"/>
              <w:rPr>
                <w:color w:val="A6A6A6" w:themeColor="background1" w:themeShade="A6"/>
              </w:rPr>
            </w:pPr>
            <w:r>
              <w:rPr>
                <w:rFonts w:cs="Arial"/>
                <w:color w:val="A6A6A6"/>
                <w:szCs w:val="22"/>
              </w:rPr>
              <w:t xml:space="preserve">801 </w:t>
            </w:r>
          </w:p>
        </w:tc>
        <w:tc>
          <w:tcPr>
            <w:tcW w:w="634" w:type="pct"/>
            <w:shd w:val="clear" w:color="auto" w:fill="D9D9D9" w:themeFill="background1" w:themeFillShade="D9"/>
            <w:vAlign w:val="center"/>
          </w:tcPr>
          <w:p w14:paraId="10E5D963" w14:textId="62F2A0C9" w:rsidR="003C2012" w:rsidRPr="006644A8" w:rsidRDefault="00CC2C72" w:rsidP="003C2012">
            <w:pPr>
              <w:pStyle w:val="Bodytext"/>
              <w:spacing w:after="60"/>
              <w:jc w:val="right"/>
            </w:pPr>
            <w:r>
              <w:rPr>
                <w:rFonts w:cs="Arial"/>
                <w:color w:val="424141"/>
                <w:szCs w:val="22"/>
              </w:rPr>
              <w:t xml:space="preserve">42 </w:t>
            </w:r>
          </w:p>
        </w:tc>
        <w:tc>
          <w:tcPr>
            <w:tcW w:w="661" w:type="pct"/>
            <w:vAlign w:val="center"/>
          </w:tcPr>
          <w:p w14:paraId="5CD170DF" w14:textId="7D984F10" w:rsidR="003C2012" w:rsidRPr="00D1741D" w:rsidRDefault="003C2012" w:rsidP="003C2012">
            <w:pPr>
              <w:pStyle w:val="Bodytext"/>
              <w:spacing w:after="60"/>
              <w:jc w:val="right"/>
              <w:rPr>
                <w:color w:val="A6A6A6" w:themeColor="background1" w:themeShade="A6"/>
              </w:rPr>
            </w:pPr>
            <w:r>
              <w:rPr>
                <w:rFonts w:cs="Arial"/>
                <w:color w:val="A6A6A6"/>
                <w:szCs w:val="22"/>
              </w:rPr>
              <w:t xml:space="preserve">43 </w:t>
            </w:r>
          </w:p>
        </w:tc>
        <w:tc>
          <w:tcPr>
            <w:tcW w:w="707" w:type="pct"/>
            <w:shd w:val="clear" w:color="auto" w:fill="D9D9D9" w:themeFill="background1" w:themeFillShade="D9"/>
            <w:vAlign w:val="center"/>
          </w:tcPr>
          <w:p w14:paraId="69E406E8" w14:textId="43A01FDB" w:rsidR="003C2012" w:rsidRPr="006644A8" w:rsidRDefault="00CC2C72" w:rsidP="003C2012">
            <w:pPr>
              <w:pStyle w:val="Bodytext"/>
              <w:spacing w:after="60"/>
              <w:jc w:val="right"/>
            </w:pPr>
            <w:r>
              <w:rPr>
                <w:rFonts w:cs="Arial"/>
                <w:color w:val="424141"/>
                <w:szCs w:val="22"/>
              </w:rPr>
              <w:t>291</w:t>
            </w:r>
          </w:p>
        </w:tc>
        <w:tc>
          <w:tcPr>
            <w:tcW w:w="585" w:type="pct"/>
            <w:vAlign w:val="center"/>
          </w:tcPr>
          <w:p w14:paraId="6BE9E1B2" w14:textId="7ED0515F" w:rsidR="003C2012" w:rsidRPr="00D1741D" w:rsidRDefault="003C2012" w:rsidP="003C2012">
            <w:pPr>
              <w:pStyle w:val="Bodytext"/>
              <w:spacing w:after="60"/>
              <w:jc w:val="right"/>
              <w:rPr>
                <w:color w:val="A6A6A6" w:themeColor="background1" w:themeShade="A6"/>
              </w:rPr>
            </w:pPr>
            <w:r>
              <w:rPr>
                <w:rFonts w:cs="Arial"/>
                <w:color w:val="A6A6A6"/>
                <w:szCs w:val="22"/>
              </w:rPr>
              <w:t xml:space="preserve">    844 </w:t>
            </w:r>
          </w:p>
        </w:tc>
      </w:tr>
      <w:tr w:rsidR="003C2012" w:rsidRPr="006644A8" w14:paraId="1BB751A4" w14:textId="77777777" w:rsidTr="00C55CDD">
        <w:tc>
          <w:tcPr>
            <w:tcW w:w="1094" w:type="pct"/>
            <w:shd w:val="clear" w:color="auto" w:fill="auto"/>
            <w:vAlign w:val="bottom"/>
          </w:tcPr>
          <w:p w14:paraId="2170D4E0" w14:textId="77777777" w:rsidR="003C2012" w:rsidRPr="006644A8" w:rsidRDefault="003C2012" w:rsidP="003C2012">
            <w:pPr>
              <w:pStyle w:val="Bodytext"/>
              <w:spacing w:after="60"/>
            </w:pPr>
            <w:r w:rsidRPr="006644A8">
              <w:t>Patient education and welfare</w:t>
            </w:r>
          </w:p>
        </w:tc>
        <w:tc>
          <w:tcPr>
            <w:tcW w:w="686" w:type="pct"/>
            <w:tcBorders>
              <w:bottom w:val="single" w:sz="4" w:space="0" w:color="auto"/>
            </w:tcBorders>
            <w:shd w:val="clear" w:color="auto" w:fill="D9D9D9" w:themeFill="background1" w:themeFillShade="D9"/>
            <w:vAlign w:val="center"/>
          </w:tcPr>
          <w:p w14:paraId="00A36A59" w14:textId="18CE9C01" w:rsidR="003C2012" w:rsidRPr="006644A8" w:rsidRDefault="003C2012" w:rsidP="003C2012">
            <w:pPr>
              <w:pStyle w:val="Bodytext"/>
              <w:spacing w:after="60"/>
              <w:jc w:val="right"/>
            </w:pPr>
            <w:r>
              <w:rPr>
                <w:rFonts w:cs="Arial"/>
                <w:color w:val="424141"/>
                <w:szCs w:val="22"/>
              </w:rPr>
              <w:t xml:space="preserve">87 </w:t>
            </w:r>
          </w:p>
        </w:tc>
        <w:tc>
          <w:tcPr>
            <w:tcW w:w="633" w:type="pct"/>
            <w:tcBorders>
              <w:bottom w:val="single" w:sz="4" w:space="0" w:color="auto"/>
            </w:tcBorders>
            <w:vAlign w:val="center"/>
          </w:tcPr>
          <w:p w14:paraId="18338B10" w14:textId="49439AD2" w:rsidR="003C2012" w:rsidRPr="00D1741D" w:rsidRDefault="003C2012" w:rsidP="003C2012">
            <w:pPr>
              <w:pStyle w:val="Bodytext"/>
              <w:spacing w:after="60"/>
              <w:jc w:val="right"/>
              <w:rPr>
                <w:color w:val="A6A6A6" w:themeColor="background1" w:themeShade="A6"/>
              </w:rPr>
            </w:pPr>
            <w:r>
              <w:rPr>
                <w:rFonts w:cs="Arial"/>
                <w:color w:val="A6A6A6"/>
                <w:szCs w:val="22"/>
              </w:rPr>
              <w:t xml:space="preserve">79 </w:t>
            </w:r>
          </w:p>
        </w:tc>
        <w:tc>
          <w:tcPr>
            <w:tcW w:w="634" w:type="pct"/>
            <w:tcBorders>
              <w:bottom w:val="single" w:sz="4" w:space="0" w:color="auto"/>
            </w:tcBorders>
            <w:shd w:val="clear" w:color="auto" w:fill="D9D9D9" w:themeFill="background1" w:themeFillShade="D9"/>
            <w:vAlign w:val="center"/>
          </w:tcPr>
          <w:p w14:paraId="0C6A972B" w14:textId="41973691" w:rsidR="003C2012" w:rsidRPr="006644A8" w:rsidRDefault="003C2012" w:rsidP="003C2012">
            <w:pPr>
              <w:pStyle w:val="Bodytext"/>
              <w:spacing w:after="60"/>
              <w:jc w:val="right"/>
            </w:pPr>
            <w:r>
              <w:rPr>
                <w:rFonts w:cs="Arial"/>
                <w:color w:val="424141"/>
                <w:szCs w:val="22"/>
              </w:rPr>
              <w:t xml:space="preserve">22 </w:t>
            </w:r>
          </w:p>
        </w:tc>
        <w:tc>
          <w:tcPr>
            <w:tcW w:w="661" w:type="pct"/>
            <w:tcBorders>
              <w:bottom w:val="single" w:sz="4" w:space="0" w:color="auto"/>
            </w:tcBorders>
            <w:vAlign w:val="center"/>
          </w:tcPr>
          <w:p w14:paraId="70360DFE" w14:textId="571E1BC9" w:rsidR="003C2012" w:rsidRPr="00D1741D" w:rsidRDefault="003C2012" w:rsidP="003C2012">
            <w:pPr>
              <w:pStyle w:val="Bodytext"/>
              <w:spacing w:after="60"/>
              <w:jc w:val="right"/>
              <w:rPr>
                <w:color w:val="A6A6A6" w:themeColor="background1" w:themeShade="A6"/>
              </w:rPr>
            </w:pPr>
            <w:r>
              <w:rPr>
                <w:rFonts w:cs="Arial"/>
                <w:color w:val="A6A6A6"/>
                <w:szCs w:val="22"/>
              </w:rPr>
              <w:t xml:space="preserve">47 </w:t>
            </w:r>
          </w:p>
        </w:tc>
        <w:tc>
          <w:tcPr>
            <w:tcW w:w="707" w:type="pct"/>
            <w:tcBorders>
              <w:bottom w:val="single" w:sz="4" w:space="0" w:color="auto"/>
            </w:tcBorders>
            <w:shd w:val="clear" w:color="auto" w:fill="D9D9D9" w:themeFill="background1" w:themeFillShade="D9"/>
            <w:vAlign w:val="center"/>
          </w:tcPr>
          <w:p w14:paraId="64C3C8C3" w14:textId="04BB8994" w:rsidR="003C2012" w:rsidRPr="006644A8" w:rsidRDefault="003C2012" w:rsidP="003C2012">
            <w:pPr>
              <w:pStyle w:val="Bodytext"/>
              <w:spacing w:after="60"/>
              <w:jc w:val="right"/>
            </w:pPr>
            <w:r>
              <w:rPr>
                <w:rFonts w:cs="Arial"/>
                <w:color w:val="424141"/>
                <w:szCs w:val="22"/>
              </w:rPr>
              <w:t xml:space="preserve">    109 </w:t>
            </w:r>
          </w:p>
        </w:tc>
        <w:tc>
          <w:tcPr>
            <w:tcW w:w="585" w:type="pct"/>
            <w:tcBorders>
              <w:bottom w:val="single" w:sz="4" w:space="0" w:color="auto"/>
            </w:tcBorders>
            <w:vAlign w:val="center"/>
          </w:tcPr>
          <w:p w14:paraId="45F9D042" w14:textId="2999A38C" w:rsidR="003C2012" w:rsidRPr="00D1741D" w:rsidRDefault="003C2012" w:rsidP="003C2012">
            <w:pPr>
              <w:pStyle w:val="Bodytext"/>
              <w:spacing w:after="60"/>
              <w:jc w:val="right"/>
              <w:rPr>
                <w:color w:val="A6A6A6" w:themeColor="background1" w:themeShade="A6"/>
              </w:rPr>
            </w:pPr>
            <w:r>
              <w:rPr>
                <w:rFonts w:cs="Arial"/>
                <w:color w:val="A6A6A6"/>
                <w:szCs w:val="22"/>
              </w:rPr>
              <w:t xml:space="preserve">    126 </w:t>
            </w:r>
          </w:p>
        </w:tc>
      </w:tr>
      <w:tr w:rsidR="003C2012" w:rsidRPr="00950A26" w14:paraId="3D25D48E" w14:textId="77777777" w:rsidTr="00C55CDD">
        <w:tc>
          <w:tcPr>
            <w:tcW w:w="1094" w:type="pct"/>
            <w:shd w:val="clear" w:color="auto" w:fill="auto"/>
            <w:vAlign w:val="bottom"/>
          </w:tcPr>
          <w:p w14:paraId="62C3B600" w14:textId="77777777" w:rsidR="003C2012" w:rsidRPr="00950A26" w:rsidRDefault="003C2012" w:rsidP="003C2012">
            <w:pPr>
              <w:pStyle w:val="Bodytext"/>
              <w:spacing w:after="60"/>
              <w:rPr>
                <w:b/>
                <w:bCs/>
              </w:rPr>
            </w:pPr>
            <w:r w:rsidRPr="00950A26">
              <w:rPr>
                <w:b/>
                <w:bCs/>
              </w:rPr>
              <w:t>Total unrestricted funds</w:t>
            </w:r>
          </w:p>
        </w:tc>
        <w:tc>
          <w:tcPr>
            <w:tcW w:w="686" w:type="pct"/>
            <w:tcBorders>
              <w:top w:val="single" w:sz="4" w:space="0" w:color="auto"/>
            </w:tcBorders>
            <w:shd w:val="clear" w:color="auto" w:fill="D9D9D9" w:themeFill="background1" w:themeFillShade="D9"/>
            <w:vAlign w:val="center"/>
          </w:tcPr>
          <w:p w14:paraId="092A0B66" w14:textId="684FCFFE" w:rsidR="003C2012" w:rsidRPr="00950A26" w:rsidRDefault="00CC2C72" w:rsidP="003C2012">
            <w:pPr>
              <w:pStyle w:val="Bodytext"/>
              <w:spacing w:after="60"/>
              <w:jc w:val="right"/>
              <w:rPr>
                <w:b/>
                <w:bCs/>
              </w:rPr>
            </w:pPr>
            <w:r>
              <w:rPr>
                <w:rFonts w:cs="Arial"/>
                <w:color w:val="424141"/>
                <w:szCs w:val="22"/>
              </w:rPr>
              <w:t>2</w:t>
            </w:r>
            <w:r w:rsidR="00710E83">
              <w:rPr>
                <w:rFonts w:cs="Arial"/>
                <w:color w:val="424141"/>
                <w:szCs w:val="22"/>
              </w:rPr>
              <w:t>,</w:t>
            </w:r>
            <w:r>
              <w:rPr>
                <w:rFonts w:cs="Arial"/>
                <w:color w:val="424141"/>
                <w:szCs w:val="22"/>
              </w:rPr>
              <w:t>737</w:t>
            </w:r>
          </w:p>
        </w:tc>
        <w:tc>
          <w:tcPr>
            <w:tcW w:w="633" w:type="pct"/>
            <w:tcBorders>
              <w:top w:val="single" w:sz="4" w:space="0" w:color="auto"/>
            </w:tcBorders>
            <w:vAlign w:val="center"/>
          </w:tcPr>
          <w:p w14:paraId="2D040306" w14:textId="2B8EF57E" w:rsidR="003C2012" w:rsidRPr="00950A26" w:rsidRDefault="003C2012" w:rsidP="003C2012">
            <w:pPr>
              <w:pStyle w:val="Bodytext"/>
              <w:spacing w:after="60"/>
              <w:jc w:val="right"/>
              <w:rPr>
                <w:b/>
                <w:bCs/>
                <w:color w:val="A6A6A6" w:themeColor="background1" w:themeShade="A6"/>
              </w:rPr>
            </w:pPr>
            <w:r>
              <w:rPr>
                <w:rFonts w:cs="Arial"/>
                <w:color w:val="A6A6A6"/>
                <w:szCs w:val="22"/>
              </w:rPr>
              <w:t xml:space="preserve">3,650 </w:t>
            </w:r>
          </w:p>
        </w:tc>
        <w:tc>
          <w:tcPr>
            <w:tcW w:w="634" w:type="pct"/>
            <w:tcBorders>
              <w:top w:val="single" w:sz="4" w:space="0" w:color="auto"/>
            </w:tcBorders>
            <w:shd w:val="clear" w:color="auto" w:fill="D9D9D9" w:themeFill="background1" w:themeFillShade="D9"/>
            <w:vAlign w:val="center"/>
          </w:tcPr>
          <w:p w14:paraId="0DF4D526" w14:textId="34FC0C0E" w:rsidR="003C2012" w:rsidRPr="00950A26" w:rsidRDefault="002A2B0F" w:rsidP="003C2012">
            <w:pPr>
              <w:pStyle w:val="Bodytext"/>
              <w:spacing w:after="60"/>
              <w:jc w:val="right"/>
              <w:rPr>
                <w:b/>
                <w:bCs/>
              </w:rPr>
            </w:pPr>
            <w:r>
              <w:rPr>
                <w:rFonts w:cs="Arial"/>
                <w:color w:val="424141"/>
                <w:szCs w:val="22"/>
              </w:rPr>
              <w:t>259</w:t>
            </w:r>
          </w:p>
        </w:tc>
        <w:tc>
          <w:tcPr>
            <w:tcW w:w="661" w:type="pct"/>
            <w:tcBorders>
              <w:top w:val="single" w:sz="4" w:space="0" w:color="auto"/>
            </w:tcBorders>
            <w:vAlign w:val="center"/>
          </w:tcPr>
          <w:p w14:paraId="04A1CFBA" w14:textId="30C9B008" w:rsidR="003C2012" w:rsidRPr="00950A26" w:rsidRDefault="003C2012" w:rsidP="003C2012">
            <w:pPr>
              <w:pStyle w:val="Bodytext"/>
              <w:spacing w:after="60"/>
              <w:jc w:val="right"/>
              <w:rPr>
                <w:b/>
                <w:bCs/>
                <w:color w:val="A6A6A6" w:themeColor="background1" w:themeShade="A6"/>
              </w:rPr>
            </w:pPr>
            <w:r>
              <w:rPr>
                <w:rFonts w:cs="Arial"/>
                <w:color w:val="A6A6A6"/>
                <w:szCs w:val="22"/>
              </w:rPr>
              <w:t xml:space="preserve"> 1,122 </w:t>
            </w:r>
          </w:p>
        </w:tc>
        <w:tc>
          <w:tcPr>
            <w:tcW w:w="707" w:type="pct"/>
            <w:tcBorders>
              <w:top w:val="single" w:sz="4" w:space="0" w:color="auto"/>
            </w:tcBorders>
            <w:shd w:val="clear" w:color="auto" w:fill="D9D9D9" w:themeFill="background1" w:themeFillShade="D9"/>
            <w:vAlign w:val="center"/>
          </w:tcPr>
          <w:p w14:paraId="4EAAB988" w14:textId="134A0F1D" w:rsidR="003C2012" w:rsidRPr="00950A26" w:rsidRDefault="003C2012" w:rsidP="003C2012">
            <w:pPr>
              <w:pStyle w:val="Bodytext"/>
              <w:spacing w:after="60"/>
              <w:jc w:val="right"/>
              <w:rPr>
                <w:b/>
                <w:bCs/>
              </w:rPr>
            </w:pPr>
            <w:r>
              <w:rPr>
                <w:rFonts w:cs="Arial"/>
                <w:color w:val="424141"/>
                <w:szCs w:val="22"/>
              </w:rPr>
              <w:t xml:space="preserve"> </w:t>
            </w:r>
            <w:r w:rsidR="002A2B0F">
              <w:rPr>
                <w:rFonts w:cs="Arial"/>
                <w:color w:val="424141"/>
                <w:szCs w:val="22"/>
              </w:rPr>
              <w:t>2,996</w:t>
            </w:r>
            <w:r>
              <w:rPr>
                <w:rFonts w:cs="Arial"/>
                <w:color w:val="424141"/>
                <w:szCs w:val="22"/>
              </w:rPr>
              <w:t xml:space="preserve"> </w:t>
            </w:r>
          </w:p>
        </w:tc>
        <w:tc>
          <w:tcPr>
            <w:tcW w:w="585" w:type="pct"/>
            <w:tcBorders>
              <w:top w:val="single" w:sz="4" w:space="0" w:color="auto"/>
            </w:tcBorders>
            <w:vAlign w:val="center"/>
          </w:tcPr>
          <w:p w14:paraId="069C81A2" w14:textId="0A319EBE" w:rsidR="003C2012" w:rsidRPr="00950A26" w:rsidRDefault="003C2012" w:rsidP="003C2012">
            <w:pPr>
              <w:pStyle w:val="Bodytext"/>
              <w:spacing w:after="60"/>
              <w:jc w:val="right"/>
              <w:rPr>
                <w:b/>
                <w:bCs/>
                <w:color w:val="A6A6A6" w:themeColor="background1" w:themeShade="A6"/>
              </w:rPr>
            </w:pPr>
            <w:r>
              <w:rPr>
                <w:rFonts w:cs="Arial"/>
                <w:color w:val="A6A6A6"/>
                <w:szCs w:val="22"/>
              </w:rPr>
              <w:t xml:space="preserve"> 4,772 </w:t>
            </w:r>
          </w:p>
        </w:tc>
      </w:tr>
      <w:tr w:rsidR="003C2012" w:rsidRPr="006644A8" w14:paraId="534CD9BB" w14:textId="77777777" w:rsidTr="00AB55CF">
        <w:tc>
          <w:tcPr>
            <w:tcW w:w="1094" w:type="pct"/>
            <w:shd w:val="clear" w:color="auto" w:fill="auto"/>
            <w:vAlign w:val="center"/>
          </w:tcPr>
          <w:p w14:paraId="6F5827F8" w14:textId="77777777" w:rsidR="003C2012" w:rsidRPr="006644A8" w:rsidRDefault="003C2012" w:rsidP="003C2012">
            <w:pPr>
              <w:pStyle w:val="Bodytext"/>
              <w:spacing w:after="60"/>
            </w:pPr>
            <w:r>
              <w:rPr>
                <w:rFonts w:cs="Arial"/>
                <w:b/>
                <w:bCs/>
                <w:szCs w:val="22"/>
              </w:rPr>
              <w:t>Restricted funds</w:t>
            </w:r>
          </w:p>
        </w:tc>
        <w:tc>
          <w:tcPr>
            <w:tcW w:w="686" w:type="pct"/>
            <w:shd w:val="clear" w:color="auto" w:fill="D9D9D9" w:themeFill="background1" w:themeFillShade="D9"/>
            <w:vAlign w:val="center"/>
          </w:tcPr>
          <w:p w14:paraId="240253E0" w14:textId="2CA3A143" w:rsidR="003C2012" w:rsidRPr="006644A8" w:rsidRDefault="003C2012" w:rsidP="003C2012">
            <w:pPr>
              <w:pStyle w:val="Bodytext"/>
              <w:spacing w:after="60"/>
              <w:jc w:val="right"/>
            </w:pPr>
            <w:r>
              <w:rPr>
                <w:rFonts w:cs="Arial"/>
                <w:color w:val="424141"/>
                <w:szCs w:val="22"/>
              </w:rPr>
              <w:t> </w:t>
            </w:r>
          </w:p>
        </w:tc>
        <w:tc>
          <w:tcPr>
            <w:tcW w:w="633" w:type="pct"/>
            <w:vAlign w:val="center"/>
          </w:tcPr>
          <w:p w14:paraId="085878BE" w14:textId="670755F9" w:rsidR="003C2012" w:rsidRPr="00D1741D" w:rsidRDefault="003C2012" w:rsidP="003C2012">
            <w:pPr>
              <w:pStyle w:val="Bodytext"/>
              <w:spacing w:after="60"/>
              <w:jc w:val="right"/>
              <w:rPr>
                <w:color w:val="A6A6A6" w:themeColor="background1" w:themeShade="A6"/>
              </w:rPr>
            </w:pPr>
          </w:p>
        </w:tc>
        <w:tc>
          <w:tcPr>
            <w:tcW w:w="634" w:type="pct"/>
            <w:shd w:val="clear" w:color="auto" w:fill="D9D9D9" w:themeFill="background1" w:themeFillShade="D9"/>
            <w:vAlign w:val="center"/>
          </w:tcPr>
          <w:p w14:paraId="451CC5A0" w14:textId="1C6E50B2" w:rsidR="003C2012" w:rsidRPr="006644A8" w:rsidRDefault="003C2012" w:rsidP="003C2012">
            <w:pPr>
              <w:pStyle w:val="Bodytext"/>
              <w:spacing w:after="60"/>
              <w:jc w:val="right"/>
            </w:pPr>
            <w:r>
              <w:rPr>
                <w:rFonts w:cs="Arial"/>
                <w:color w:val="424141"/>
                <w:szCs w:val="22"/>
              </w:rPr>
              <w:t> </w:t>
            </w:r>
          </w:p>
        </w:tc>
        <w:tc>
          <w:tcPr>
            <w:tcW w:w="661" w:type="pct"/>
            <w:vAlign w:val="center"/>
          </w:tcPr>
          <w:p w14:paraId="7BD6523B" w14:textId="2D8AF52C" w:rsidR="003C2012" w:rsidRPr="00D1741D" w:rsidRDefault="003C2012" w:rsidP="003C2012">
            <w:pPr>
              <w:pStyle w:val="Bodytext"/>
              <w:spacing w:after="60"/>
              <w:jc w:val="right"/>
              <w:rPr>
                <w:color w:val="A6A6A6" w:themeColor="background1" w:themeShade="A6"/>
              </w:rPr>
            </w:pPr>
          </w:p>
        </w:tc>
        <w:tc>
          <w:tcPr>
            <w:tcW w:w="707" w:type="pct"/>
            <w:shd w:val="clear" w:color="auto" w:fill="D9D9D9" w:themeFill="background1" w:themeFillShade="D9"/>
            <w:vAlign w:val="center"/>
          </w:tcPr>
          <w:p w14:paraId="681D89BB" w14:textId="4F1A8FD5" w:rsidR="003C2012" w:rsidRPr="006644A8" w:rsidRDefault="003C2012" w:rsidP="003C2012">
            <w:pPr>
              <w:pStyle w:val="Bodytext"/>
              <w:spacing w:after="60"/>
              <w:jc w:val="right"/>
            </w:pPr>
            <w:r>
              <w:rPr>
                <w:rFonts w:cs="Arial"/>
                <w:color w:val="424141"/>
                <w:szCs w:val="22"/>
              </w:rPr>
              <w:t> </w:t>
            </w:r>
          </w:p>
        </w:tc>
        <w:tc>
          <w:tcPr>
            <w:tcW w:w="585" w:type="pct"/>
            <w:vAlign w:val="center"/>
          </w:tcPr>
          <w:p w14:paraId="5039C524" w14:textId="757FB708" w:rsidR="003C2012" w:rsidRPr="00D1741D" w:rsidRDefault="003C2012" w:rsidP="003C2012">
            <w:pPr>
              <w:pStyle w:val="Bodytext"/>
              <w:spacing w:after="60"/>
              <w:jc w:val="right"/>
              <w:rPr>
                <w:color w:val="A6A6A6" w:themeColor="background1" w:themeShade="A6"/>
              </w:rPr>
            </w:pPr>
          </w:p>
        </w:tc>
      </w:tr>
      <w:tr w:rsidR="003C2012" w:rsidRPr="006644A8" w14:paraId="560466CF" w14:textId="77777777" w:rsidTr="00AB55CF">
        <w:tc>
          <w:tcPr>
            <w:tcW w:w="1094" w:type="pct"/>
            <w:shd w:val="clear" w:color="auto" w:fill="auto"/>
            <w:vAlign w:val="center"/>
          </w:tcPr>
          <w:p w14:paraId="4649CB1A" w14:textId="77777777" w:rsidR="003C2012" w:rsidRPr="006644A8" w:rsidRDefault="003C2012" w:rsidP="003C2012">
            <w:pPr>
              <w:pStyle w:val="Bodytext"/>
              <w:spacing w:after="60"/>
            </w:pPr>
            <w:r>
              <w:rPr>
                <w:rFonts w:cs="Arial"/>
                <w:szCs w:val="22"/>
              </w:rPr>
              <w:t>Building and refurbishment</w:t>
            </w:r>
          </w:p>
        </w:tc>
        <w:tc>
          <w:tcPr>
            <w:tcW w:w="686" w:type="pct"/>
            <w:shd w:val="clear" w:color="auto" w:fill="D9D9D9" w:themeFill="background1" w:themeFillShade="D9"/>
            <w:vAlign w:val="center"/>
          </w:tcPr>
          <w:p w14:paraId="18017B11" w14:textId="490CD00B" w:rsidR="003C2012" w:rsidRPr="006644A8" w:rsidRDefault="003C2012" w:rsidP="003C2012">
            <w:pPr>
              <w:pStyle w:val="Bodytext"/>
              <w:spacing w:after="60"/>
              <w:jc w:val="right"/>
            </w:pPr>
            <w:r>
              <w:rPr>
                <w:rFonts w:cs="Arial"/>
                <w:color w:val="424141"/>
                <w:szCs w:val="22"/>
              </w:rPr>
              <w:t xml:space="preserve">50 </w:t>
            </w:r>
          </w:p>
        </w:tc>
        <w:tc>
          <w:tcPr>
            <w:tcW w:w="633" w:type="pct"/>
            <w:vAlign w:val="center"/>
          </w:tcPr>
          <w:p w14:paraId="0BDAEDC2" w14:textId="0B9624E5" w:rsidR="003C2012" w:rsidRPr="00D1741D" w:rsidRDefault="003C2012" w:rsidP="003C2012">
            <w:pPr>
              <w:pStyle w:val="Bodytext"/>
              <w:spacing w:after="60"/>
              <w:jc w:val="right"/>
              <w:rPr>
                <w:color w:val="A6A6A6" w:themeColor="background1" w:themeShade="A6"/>
              </w:rPr>
            </w:pPr>
            <w:r>
              <w:rPr>
                <w:rFonts w:cs="Arial"/>
                <w:color w:val="A6A6A6"/>
                <w:szCs w:val="22"/>
              </w:rPr>
              <w:t xml:space="preserve">51 </w:t>
            </w:r>
          </w:p>
        </w:tc>
        <w:tc>
          <w:tcPr>
            <w:tcW w:w="634" w:type="pct"/>
            <w:shd w:val="clear" w:color="auto" w:fill="D9D9D9" w:themeFill="background1" w:themeFillShade="D9"/>
            <w:vAlign w:val="center"/>
          </w:tcPr>
          <w:p w14:paraId="68DFCFE4" w14:textId="1A121213" w:rsidR="003C2012" w:rsidRPr="006644A8" w:rsidRDefault="003C2012" w:rsidP="003C2012">
            <w:pPr>
              <w:pStyle w:val="Bodytext"/>
              <w:spacing w:after="60"/>
              <w:jc w:val="right"/>
            </w:pPr>
            <w:r>
              <w:rPr>
                <w:rFonts w:cs="Arial"/>
                <w:color w:val="424141"/>
                <w:szCs w:val="22"/>
              </w:rPr>
              <w:t xml:space="preserve"> 3 </w:t>
            </w:r>
          </w:p>
        </w:tc>
        <w:tc>
          <w:tcPr>
            <w:tcW w:w="661" w:type="pct"/>
            <w:vAlign w:val="center"/>
          </w:tcPr>
          <w:p w14:paraId="6D37424E" w14:textId="391CDB57" w:rsidR="003C2012" w:rsidRPr="00D1741D" w:rsidRDefault="003C2012" w:rsidP="003C2012">
            <w:pPr>
              <w:pStyle w:val="Bodytext"/>
              <w:spacing w:after="60"/>
              <w:jc w:val="right"/>
              <w:rPr>
                <w:color w:val="A6A6A6" w:themeColor="background1" w:themeShade="A6"/>
              </w:rPr>
            </w:pPr>
            <w:r>
              <w:rPr>
                <w:rFonts w:cs="Arial"/>
                <w:color w:val="A6A6A6"/>
                <w:szCs w:val="22"/>
              </w:rPr>
              <w:t xml:space="preserve">4 </w:t>
            </w:r>
          </w:p>
        </w:tc>
        <w:tc>
          <w:tcPr>
            <w:tcW w:w="707" w:type="pct"/>
            <w:shd w:val="clear" w:color="auto" w:fill="D9D9D9" w:themeFill="background1" w:themeFillShade="D9"/>
            <w:vAlign w:val="center"/>
          </w:tcPr>
          <w:p w14:paraId="7BF79A6D" w14:textId="00A0C3C3" w:rsidR="003C2012" w:rsidRPr="006644A8" w:rsidRDefault="003C2012" w:rsidP="003C2012">
            <w:pPr>
              <w:pStyle w:val="Bodytext"/>
              <w:spacing w:after="60"/>
              <w:jc w:val="right"/>
            </w:pPr>
            <w:r>
              <w:rPr>
                <w:rFonts w:cs="Arial"/>
                <w:color w:val="424141"/>
                <w:szCs w:val="22"/>
              </w:rPr>
              <w:t xml:space="preserve">      53 </w:t>
            </w:r>
          </w:p>
        </w:tc>
        <w:tc>
          <w:tcPr>
            <w:tcW w:w="585" w:type="pct"/>
            <w:vAlign w:val="center"/>
          </w:tcPr>
          <w:p w14:paraId="64EC3D9C" w14:textId="3282BD19" w:rsidR="003C2012" w:rsidRPr="00D1741D" w:rsidRDefault="003C2012" w:rsidP="003C2012">
            <w:pPr>
              <w:pStyle w:val="Bodytext"/>
              <w:spacing w:after="60"/>
              <w:jc w:val="right"/>
              <w:rPr>
                <w:color w:val="A6A6A6" w:themeColor="background1" w:themeShade="A6"/>
              </w:rPr>
            </w:pPr>
            <w:r>
              <w:rPr>
                <w:rFonts w:cs="Arial"/>
                <w:color w:val="A6A6A6"/>
                <w:szCs w:val="22"/>
              </w:rPr>
              <w:t xml:space="preserve">      55 </w:t>
            </w:r>
          </w:p>
        </w:tc>
      </w:tr>
      <w:tr w:rsidR="003C2012" w:rsidRPr="006644A8" w14:paraId="5328A732" w14:textId="77777777" w:rsidTr="00AB55CF">
        <w:tc>
          <w:tcPr>
            <w:tcW w:w="1094" w:type="pct"/>
            <w:shd w:val="clear" w:color="auto" w:fill="auto"/>
          </w:tcPr>
          <w:p w14:paraId="01E8E493" w14:textId="77777777" w:rsidR="003C2012" w:rsidRPr="006644A8" w:rsidRDefault="003C2012" w:rsidP="003C2012">
            <w:pPr>
              <w:pStyle w:val="Bodytext"/>
              <w:spacing w:after="60"/>
            </w:pPr>
            <w:r>
              <w:rPr>
                <w:rFonts w:cs="Arial"/>
                <w:szCs w:val="22"/>
              </w:rPr>
              <w:t>Staff education and welfare</w:t>
            </w:r>
          </w:p>
        </w:tc>
        <w:tc>
          <w:tcPr>
            <w:tcW w:w="686" w:type="pct"/>
            <w:shd w:val="clear" w:color="auto" w:fill="D9D9D9" w:themeFill="background1" w:themeFillShade="D9"/>
          </w:tcPr>
          <w:p w14:paraId="5E9598EB" w14:textId="5C9D36D5" w:rsidR="003C2012" w:rsidRPr="006644A8" w:rsidRDefault="003C2012" w:rsidP="003C2012">
            <w:pPr>
              <w:pStyle w:val="Bodytext"/>
              <w:spacing w:after="60"/>
              <w:jc w:val="right"/>
            </w:pPr>
            <w:r>
              <w:rPr>
                <w:rFonts w:cs="Arial"/>
                <w:color w:val="424141"/>
                <w:szCs w:val="22"/>
              </w:rPr>
              <w:t xml:space="preserve">45 </w:t>
            </w:r>
          </w:p>
        </w:tc>
        <w:tc>
          <w:tcPr>
            <w:tcW w:w="633" w:type="pct"/>
          </w:tcPr>
          <w:p w14:paraId="2C184E16" w14:textId="18F7EC00" w:rsidR="003C2012" w:rsidRPr="00D1741D" w:rsidRDefault="003C2012" w:rsidP="003C2012">
            <w:pPr>
              <w:pStyle w:val="Bodytext"/>
              <w:spacing w:after="60"/>
              <w:jc w:val="right"/>
              <w:rPr>
                <w:color w:val="A6A6A6" w:themeColor="background1" w:themeShade="A6"/>
              </w:rPr>
            </w:pPr>
          </w:p>
        </w:tc>
        <w:tc>
          <w:tcPr>
            <w:tcW w:w="634" w:type="pct"/>
            <w:shd w:val="clear" w:color="auto" w:fill="D9D9D9" w:themeFill="background1" w:themeFillShade="D9"/>
          </w:tcPr>
          <w:p w14:paraId="3B785CE3" w14:textId="33108F77" w:rsidR="003C2012" w:rsidRPr="006644A8" w:rsidRDefault="003C2012" w:rsidP="003C2012">
            <w:pPr>
              <w:pStyle w:val="Bodytext"/>
              <w:spacing w:after="60"/>
              <w:jc w:val="right"/>
            </w:pPr>
            <w:r>
              <w:rPr>
                <w:rFonts w:cs="Arial"/>
                <w:color w:val="424141"/>
                <w:szCs w:val="22"/>
              </w:rPr>
              <w:t xml:space="preserve">33 </w:t>
            </w:r>
          </w:p>
        </w:tc>
        <w:tc>
          <w:tcPr>
            <w:tcW w:w="661" w:type="pct"/>
          </w:tcPr>
          <w:p w14:paraId="13904177" w14:textId="1D5C957C" w:rsidR="003C2012" w:rsidRPr="00D1741D" w:rsidRDefault="003C2012" w:rsidP="003C2012">
            <w:pPr>
              <w:pStyle w:val="Bodytext"/>
              <w:spacing w:after="60"/>
              <w:jc w:val="right"/>
              <w:rPr>
                <w:color w:val="A6A6A6" w:themeColor="background1" w:themeShade="A6"/>
              </w:rPr>
            </w:pPr>
            <w:r>
              <w:rPr>
                <w:rFonts w:cs="Arial"/>
                <w:color w:val="A6A6A6"/>
                <w:szCs w:val="22"/>
              </w:rPr>
              <w:t> </w:t>
            </w:r>
          </w:p>
        </w:tc>
        <w:tc>
          <w:tcPr>
            <w:tcW w:w="707" w:type="pct"/>
            <w:shd w:val="clear" w:color="auto" w:fill="D9D9D9" w:themeFill="background1" w:themeFillShade="D9"/>
          </w:tcPr>
          <w:p w14:paraId="202C3345" w14:textId="03DF73F1" w:rsidR="003C2012" w:rsidRPr="006644A8" w:rsidRDefault="003C2012" w:rsidP="003C2012">
            <w:pPr>
              <w:pStyle w:val="Bodytext"/>
              <w:spacing w:after="60"/>
              <w:jc w:val="right"/>
            </w:pPr>
            <w:r>
              <w:rPr>
                <w:rFonts w:cs="Arial"/>
                <w:color w:val="424141"/>
                <w:szCs w:val="22"/>
              </w:rPr>
              <w:t xml:space="preserve">      78 </w:t>
            </w:r>
          </w:p>
        </w:tc>
        <w:tc>
          <w:tcPr>
            <w:tcW w:w="585" w:type="pct"/>
          </w:tcPr>
          <w:p w14:paraId="5AB7AB04" w14:textId="63A9F86E" w:rsidR="003C2012" w:rsidRPr="00D1741D" w:rsidRDefault="003C2012" w:rsidP="003C2012">
            <w:pPr>
              <w:pStyle w:val="Bodytext"/>
              <w:spacing w:after="60"/>
              <w:jc w:val="right"/>
              <w:rPr>
                <w:color w:val="A6A6A6" w:themeColor="background1" w:themeShade="A6"/>
              </w:rPr>
            </w:pPr>
          </w:p>
        </w:tc>
      </w:tr>
      <w:tr w:rsidR="003C2012" w:rsidRPr="006644A8" w14:paraId="744F7F2F" w14:textId="77777777" w:rsidTr="00873F7A">
        <w:tc>
          <w:tcPr>
            <w:tcW w:w="1094" w:type="pct"/>
            <w:shd w:val="clear" w:color="auto" w:fill="auto"/>
            <w:vAlign w:val="center"/>
          </w:tcPr>
          <w:p w14:paraId="59A314D6" w14:textId="77777777" w:rsidR="003C2012" w:rsidRPr="006644A8" w:rsidRDefault="003C2012" w:rsidP="003C2012">
            <w:pPr>
              <w:pStyle w:val="Bodytext"/>
              <w:spacing w:after="60"/>
            </w:pPr>
            <w:r>
              <w:rPr>
                <w:rFonts w:cs="Arial"/>
                <w:szCs w:val="22"/>
              </w:rPr>
              <w:t>Patient education and welfare</w:t>
            </w:r>
          </w:p>
        </w:tc>
        <w:tc>
          <w:tcPr>
            <w:tcW w:w="686" w:type="pct"/>
            <w:shd w:val="clear" w:color="auto" w:fill="D9D9D9" w:themeFill="background1" w:themeFillShade="D9"/>
            <w:vAlign w:val="center"/>
          </w:tcPr>
          <w:p w14:paraId="60633041" w14:textId="0A5BD3E4" w:rsidR="003C2012" w:rsidRPr="006644A8" w:rsidRDefault="003C2012" w:rsidP="003C2012">
            <w:pPr>
              <w:pStyle w:val="Bodytext"/>
              <w:spacing w:after="60"/>
              <w:jc w:val="right"/>
            </w:pPr>
            <w:r>
              <w:rPr>
                <w:rFonts w:cs="Arial"/>
                <w:color w:val="424141"/>
                <w:szCs w:val="22"/>
              </w:rPr>
              <w:t xml:space="preserve">7 </w:t>
            </w:r>
          </w:p>
        </w:tc>
        <w:tc>
          <w:tcPr>
            <w:tcW w:w="633" w:type="pct"/>
            <w:vAlign w:val="center"/>
          </w:tcPr>
          <w:p w14:paraId="583F17A3" w14:textId="389DEB73" w:rsidR="003C2012" w:rsidRPr="00D1741D" w:rsidRDefault="003C2012" w:rsidP="003C2012">
            <w:pPr>
              <w:pStyle w:val="Bodytext"/>
              <w:spacing w:after="60"/>
              <w:jc w:val="right"/>
              <w:rPr>
                <w:color w:val="A6A6A6" w:themeColor="background1" w:themeShade="A6"/>
              </w:rPr>
            </w:pPr>
          </w:p>
        </w:tc>
        <w:tc>
          <w:tcPr>
            <w:tcW w:w="634" w:type="pct"/>
            <w:shd w:val="clear" w:color="auto" w:fill="D9D9D9" w:themeFill="background1" w:themeFillShade="D9"/>
            <w:vAlign w:val="center"/>
          </w:tcPr>
          <w:p w14:paraId="077AA2E2" w14:textId="4A434F63" w:rsidR="003C2012" w:rsidRPr="006644A8" w:rsidRDefault="003C2012" w:rsidP="003C2012">
            <w:pPr>
              <w:pStyle w:val="Bodytext"/>
              <w:spacing w:after="60"/>
              <w:jc w:val="right"/>
            </w:pPr>
            <w:r>
              <w:rPr>
                <w:rFonts w:cs="Arial"/>
                <w:color w:val="424141"/>
                <w:szCs w:val="22"/>
              </w:rPr>
              <w:t xml:space="preserve">12 </w:t>
            </w:r>
          </w:p>
        </w:tc>
        <w:tc>
          <w:tcPr>
            <w:tcW w:w="661" w:type="pct"/>
            <w:vAlign w:val="center"/>
          </w:tcPr>
          <w:p w14:paraId="06C76357" w14:textId="13496235" w:rsidR="003C2012" w:rsidRPr="00D1741D" w:rsidRDefault="003C2012" w:rsidP="003C2012">
            <w:pPr>
              <w:pStyle w:val="Bodytext"/>
              <w:spacing w:after="60"/>
              <w:jc w:val="right"/>
              <w:rPr>
                <w:color w:val="A6A6A6" w:themeColor="background1" w:themeShade="A6"/>
              </w:rPr>
            </w:pPr>
            <w:r>
              <w:rPr>
                <w:rFonts w:cs="Arial"/>
                <w:color w:val="A6A6A6"/>
                <w:szCs w:val="22"/>
              </w:rPr>
              <w:t> </w:t>
            </w:r>
          </w:p>
        </w:tc>
        <w:tc>
          <w:tcPr>
            <w:tcW w:w="707" w:type="pct"/>
            <w:shd w:val="clear" w:color="auto" w:fill="D9D9D9" w:themeFill="background1" w:themeFillShade="D9"/>
            <w:vAlign w:val="center"/>
          </w:tcPr>
          <w:p w14:paraId="2A3AACAA" w14:textId="01494B8C" w:rsidR="003C2012" w:rsidRPr="006644A8" w:rsidRDefault="003C2012" w:rsidP="003C2012">
            <w:pPr>
              <w:pStyle w:val="Bodytext"/>
              <w:spacing w:after="60"/>
              <w:jc w:val="right"/>
            </w:pPr>
            <w:r>
              <w:rPr>
                <w:rFonts w:cs="Arial"/>
                <w:color w:val="424141"/>
                <w:szCs w:val="22"/>
              </w:rPr>
              <w:t xml:space="preserve">      19 </w:t>
            </w:r>
          </w:p>
        </w:tc>
        <w:tc>
          <w:tcPr>
            <w:tcW w:w="585" w:type="pct"/>
            <w:vAlign w:val="center"/>
          </w:tcPr>
          <w:p w14:paraId="27FEC81B" w14:textId="3DDCC264" w:rsidR="003C2012" w:rsidRPr="00D1741D" w:rsidRDefault="003C2012" w:rsidP="003C2012">
            <w:pPr>
              <w:pStyle w:val="Bodytext"/>
              <w:spacing w:after="60"/>
              <w:jc w:val="right"/>
              <w:rPr>
                <w:color w:val="A6A6A6" w:themeColor="background1" w:themeShade="A6"/>
              </w:rPr>
            </w:pPr>
          </w:p>
        </w:tc>
      </w:tr>
      <w:tr w:rsidR="003C2012" w:rsidRPr="006644A8" w14:paraId="29586AFF" w14:textId="77777777" w:rsidTr="00C55CDD">
        <w:tc>
          <w:tcPr>
            <w:tcW w:w="1094" w:type="pct"/>
            <w:shd w:val="clear" w:color="auto" w:fill="auto"/>
            <w:vAlign w:val="center"/>
          </w:tcPr>
          <w:p w14:paraId="28CF23F0" w14:textId="77777777" w:rsidR="003C2012" w:rsidRPr="006644A8" w:rsidRDefault="003C2012" w:rsidP="003C2012">
            <w:pPr>
              <w:pStyle w:val="Bodytext"/>
              <w:spacing w:after="60"/>
            </w:pPr>
            <w:r>
              <w:rPr>
                <w:rFonts w:cs="Arial"/>
                <w:szCs w:val="22"/>
              </w:rPr>
              <w:t>Community welfare</w:t>
            </w:r>
          </w:p>
        </w:tc>
        <w:tc>
          <w:tcPr>
            <w:tcW w:w="686" w:type="pct"/>
            <w:tcBorders>
              <w:bottom w:val="single" w:sz="4" w:space="0" w:color="auto"/>
            </w:tcBorders>
            <w:shd w:val="clear" w:color="auto" w:fill="D9D9D9" w:themeFill="background1" w:themeFillShade="D9"/>
            <w:vAlign w:val="center"/>
          </w:tcPr>
          <w:p w14:paraId="2DA27D63" w14:textId="09349802" w:rsidR="003C2012" w:rsidRPr="006644A8" w:rsidRDefault="003C2012" w:rsidP="003C2012">
            <w:pPr>
              <w:pStyle w:val="Bodytext"/>
              <w:spacing w:after="60"/>
              <w:jc w:val="right"/>
            </w:pPr>
            <w:r>
              <w:rPr>
                <w:rFonts w:cs="Arial"/>
                <w:color w:val="424141"/>
                <w:szCs w:val="22"/>
              </w:rPr>
              <w:t xml:space="preserve">15 </w:t>
            </w:r>
          </w:p>
        </w:tc>
        <w:tc>
          <w:tcPr>
            <w:tcW w:w="633" w:type="pct"/>
            <w:tcBorders>
              <w:bottom w:val="single" w:sz="4" w:space="0" w:color="auto"/>
            </w:tcBorders>
            <w:vAlign w:val="center"/>
          </w:tcPr>
          <w:p w14:paraId="4DB11894" w14:textId="4D4CF252" w:rsidR="003C2012" w:rsidRPr="00D1741D" w:rsidRDefault="003C2012" w:rsidP="003C2012">
            <w:pPr>
              <w:pStyle w:val="Bodytext"/>
              <w:spacing w:after="60"/>
              <w:jc w:val="right"/>
              <w:rPr>
                <w:color w:val="A6A6A6" w:themeColor="background1" w:themeShade="A6"/>
              </w:rPr>
            </w:pPr>
          </w:p>
        </w:tc>
        <w:tc>
          <w:tcPr>
            <w:tcW w:w="634" w:type="pct"/>
            <w:tcBorders>
              <w:bottom w:val="single" w:sz="4" w:space="0" w:color="auto"/>
            </w:tcBorders>
            <w:shd w:val="clear" w:color="auto" w:fill="D9D9D9" w:themeFill="background1" w:themeFillShade="D9"/>
            <w:vAlign w:val="center"/>
          </w:tcPr>
          <w:p w14:paraId="1E08C8E6" w14:textId="51684A8C" w:rsidR="003C2012" w:rsidRPr="006644A8" w:rsidRDefault="003C2012" w:rsidP="003C2012">
            <w:pPr>
              <w:pStyle w:val="Bodytext"/>
              <w:spacing w:after="60"/>
              <w:jc w:val="right"/>
            </w:pPr>
            <w:r>
              <w:rPr>
                <w:rFonts w:cs="Arial"/>
                <w:color w:val="424141"/>
                <w:szCs w:val="22"/>
              </w:rPr>
              <w:t xml:space="preserve">28 </w:t>
            </w:r>
          </w:p>
        </w:tc>
        <w:tc>
          <w:tcPr>
            <w:tcW w:w="661" w:type="pct"/>
            <w:tcBorders>
              <w:bottom w:val="single" w:sz="4" w:space="0" w:color="auto"/>
            </w:tcBorders>
            <w:vAlign w:val="center"/>
          </w:tcPr>
          <w:p w14:paraId="520FDEF1" w14:textId="2900C04A" w:rsidR="003C2012" w:rsidRPr="00D1741D" w:rsidRDefault="003C2012" w:rsidP="003C2012">
            <w:pPr>
              <w:pStyle w:val="Bodytext"/>
              <w:spacing w:after="60"/>
              <w:jc w:val="right"/>
              <w:rPr>
                <w:color w:val="A6A6A6" w:themeColor="background1" w:themeShade="A6"/>
              </w:rPr>
            </w:pPr>
            <w:r>
              <w:rPr>
                <w:rFonts w:cs="Arial"/>
                <w:color w:val="A6A6A6"/>
                <w:szCs w:val="22"/>
              </w:rPr>
              <w:t> </w:t>
            </w:r>
          </w:p>
        </w:tc>
        <w:tc>
          <w:tcPr>
            <w:tcW w:w="707" w:type="pct"/>
            <w:tcBorders>
              <w:bottom w:val="single" w:sz="4" w:space="0" w:color="auto"/>
            </w:tcBorders>
            <w:shd w:val="clear" w:color="auto" w:fill="D9D9D9" w:themeFill="background1" w:themeFillShade="D9"/>
            <w:vAlign w:val="center"/>
          </w:tcPr>
          <w:p w14:paraId="45E8B704" w14:textId="1CDDB226" w:rsidR="003C2012" w:rsidRPr="006644A8" w:rsidRDefault="003C2012" w:rsidP="003C2012">
            <w:pPr>
              <w:pStyle w:val="Bodytext"/>
              <w:spacing w:after="60"/>
              <w:jc w:val="right"/>
            </w:pPr>
            <w:r>
              <w:rPr>
                <w:rFonts w:cs="Arial"/>
                <w:color w:val="424141"/>
                <w:szCs w:val="22"/>
              </w:rPr>
              <w:t xml:space="preserve">      43 </w:t>
            </w:r>
          </w:p>
        </w:tc>
        <w:tc>
          <w:tcPr>
            <w:tcW w:w="585" w:type="pct"/>
            <w:tcBorders>
              <w:bottom w:val="single" w:sz="4" w:space="0" w:color="auto"/>
            </w:tcBorders>
            <w:vAlign w:val="center"/>
          </w:tcPr>
          <w:p w14:paraId="0BC1EAC6" w14:textId="5AAAD166" w:rsidR="003C2012" w:rsidRPr="00D1741D" w:rsidRDefault="003C2012" w:rsidP="003C2012">
            <w:pPr>
              <w:pStyle w:val="Bodytext"/>
              <w:spacing w:after="60"/>
              <w:jc w:val="right"/>
              <w:rPr>
                <w:color w:val="A6A6A6" w:themeColor="background1" w:themeShade="A6"/>
              </w:rPr>
            </w:pPr>
          </w:p>
        </w:tc>
      </w:tr>
      <w:tr w:rsidR="003C2012" w:rsidRPr="006644A8" w14:paraId="1B34001F" w14:textId="77777777" w:rsidTr="00C55CDD">
        <w:tc>
          <w:tcPr>
            <w:tcW w:w="1094" w:type="pct"/>
            <w:shd w:val="clear" w:color="auto" w:fill="auto"/>
            <w:vAlign w:val="center"/>
          </w:tcPr>
          <w:p w14:paraId="321AB8AE" w14:textId="77777777" w:rsidR="003C2012" w:rsidRPr="00950A26" w:rsidRDefault="003C2012" w:rsidP="003C2012">
            <w:pPr>
              <w:pStyle w:val="Bodytext"/>
              <w:spacing w:after="60"/>
              <w:rPr>
                <w:b/>
                <w:bCs/>
              </w:rPr>
            </w:pPr>
            <w:r w:rsidRPr="00950A26">
              <w:rPr>
                <w:rFonts w:cs="Arial"/>
                <w:b/>
                <w:bCs/>
                <w:szCs w:val="22"/>
              </w:rPr>
              <w:t>Total restricted funds</w:t>
            </w:r>
          </w:p>
        </w:tc>
        <w:tc>
          <w:tcPr>
            <w:tcW w:w="686" w:type="pct"/>
            <w:tcBorders>
              <w:top w:val="single" w:sz="4" w:space="0" w:color="auto"/>
            </w:tcBorders>
            <w:shd w:val="clear" w:color="auto" w:fill="D9D9D9" w:themeFill="background1" w:themeFillShade="D9"/>
            <w:vAlign w:val="center"/>
          </w:tcPr>
          <w:p w14:paraId="462BBA2F" w14:textId="6B9537CA" w:rsidR="003C2012" w:rsidRPr="00950A26" w:rsidRDefault="00367D16" w:rsidP="003C2012">
            <w:pPr>
              <w:pStyle w:val="Bodytext"/>
              <w:spacing w:after="60"/>
              <w:jc w:val="right"/>
              <w:rPr>
                <w:b/>
                <w:bCs/>
              </w:rPr>
            </w:pPr>
            <w:r>
              <w:rPr>
                <w:rFonts w:cs="Arial"/>
                <w:color w:val="424141"/>
                <w:szCs w:val="22"/>
              </w:rPr>
              <w:t>117</w:t>
            </w:r>
            <w:r w:rsidR="003C2012">
              <w:rPr>
                <w:rFonts w:cs="Arial"/>
                <w:color w:val="424141"/>
                <w:szCs w:val="22"/>
              </w:rPr>
              <w:t xml:space="preserve"> </w:t>
            </w:r>
          </w:p>
        </w:tc>
        <w:tc>
          <w:tcPr>
            <w:tcW w:w="633" w:type="pct"/>
            <w:tcBorders>
              <w:top w:val="single" w:sz="4" w:space="0" w:color="auto"/>
            </w:tcBorders>
            <w:vAlign w:val="center"/>
          </w:tcPr>
          <w:p w14:paraId="16928826" w14:textId="2B198E78" w:rsidR="003C2012" w:rsidRPr="00950A26" w:rsidRDefault="00ED14C5" w:rsidP="003C2012">
            <w:pPr>
              <w:pStyle w:val="Bodytext"/>
              <w:spacing w:after="60"/>
              <w:jc w:val="right"/>
              <w:rPr>
                <w:b/>
                <w:bCs/>
                <w:color w:val="A6A6A6" w:themeColor="background1" w:themeShade="A6"/>
              </w:rPr>
            </w:pPr>
            <w:r>
              <w:rPr>
                <w:rFonts w:cs="Arial"/>
                <w:color w:val="A6A6A6"/>
                <w:szCs w:val="22"/>
              </w:rPr>
              <w:t>51</w:t>
            </w:r>
          </w:p>
        </w:tc>
        <w:tc>
          <w:tcPr>
            <w:tcW w:w="634" w:type="pct"/>
            <w:tcBorders>
              <w:top w:val="single" w:sz="4" w:space="0" w:color="auto"/>
            </w:tcBorders>
            <w:shd w:val="clear" w:color="auto" w:fill="D9D9D9" w:themeFill="background1" w:themeFillShade="D9"/>
            <w:vAlign w:val="center"/>
          </w:tcPr>
          <w:p w14:paraId="0E7DE2F0" w14:textId="74470B6D" w:rsidR="003C2012" w:rsidRPr="00950A26" w:rsidRDefault="00367D16" w:rsidP="003C2012">
            <w:pPr>
              <w:pStyle w:val="Bodytext"/>
              <w:spacing w:after="60"/>
              <w:jc w:val="right"/>
              <w:rPr>
                <w:b/>
                <w:bCs/>
              </w:rPr>
            </w:pPr>
            <w:r>
              <w:rPr>
                <w:rFonts w:cs="Arial"/>
                <w:color w:val="424141"/>
                <w:szCs w:val="22"/>
              </w:rPr>
              <w:t>76</w:t>
            </w:r>
          </w:p>
        </w:tc>
        <w:tc>
          <w:tcPr>
            <w:tcW w:w="661" w:type="pct"/>
            <w:tcBorders>
              <w:top w:val="single" w:sz="4" w:space="0" w:color="auto"/>
            </w:tcBorders>
            <w:vAlign w:val="center"/>
          </w:tcPr>
          <w:p w14:paraId="0E77CF75" w14:textId="231772F9" w:rsidR="003C2012" w:rsidRPr="00950A26" w:rsidRDefault="003C2012" w:rsidP="003C2012">
            <w:pPr>
              <w:pStyle w:val="Bodytext"/>
              <w:spacing w:after="60"/>
              <w:jc w:val="right"/>
              <w:rPr>
                <w:b/>
                <w:bCs/>
                <w:color w:val="A6A6A6" w:themeColor="background1" w:themeShade="A6"/>
              </w:rPr>
            </w:pPr>
            <w:r>
              <w:rPr>
                <w:rFonts w:cs="Arial"/>
                <w:color w:val="A6A6A6"/>
                <w:szCs w:val="22"/>
              </w:rPr>
              <w:t xml:space="preserve">4 </w:t>
            </w:r>
          </w:p>
        </w:tc>
        <w:tc>
          <w:tcPr>
            <w:tcW w:w="707" w:type="pct"/>
            <w:tcBorders>
              <w:top w:val="single" w:sz="4" w:space="0" w:color="auto"/>
            </w:tcBorders>
            <w:shd w:val="clear" w:color="auto" w:fill="D9D9D9" w:themeFill="background1" w:themeFillShade="D9"/>
            <w:vAlign w:val="center"/>
          </w:tcPr>
          <w:p w14:paraId="255E6CCF" w14:textId="273E8543" w:rsidR="003C2012" w:rsidRPr="00950A26" w:rsidRDefault="003C2012" w:rsidP="003C2012">
            <w:pPr>
              <w:pStyle w:val="Bodytext"/>
              <w:spacing w:after="60"/>
              <w:jc w:val="right"/>
              <w:rPr>
                <w:b/>
                <w:bCs/>
              </w:rPr>
            </w:pPr>
            <w:r>
              <w:rPr>
                <w:rFonts w:cs="Arial"/>
                <w:color w:val="424141"/>
                <w:szCs w:val="22"/>
              </w:rPr>
              <w:t xml:space="preserve"> </w:t>
            </w:r>
            <w:r w:rsidR="001D195F">
              <w:rPr>
                <w:rFonts w:cs="Arial"/>
                <w:color w:val="424141"/>
                <w:szCs w:val="22"/>
              </w:rPr>
              <w:t>193</w:t>
            </w:r>
          </w:p>
        </w:tc>
        <w:tc>
          <w:tcPr>
            <w:tcW w:w="585" w:type="pct"/>
            <w:tcBorders>
              <w:top w:val="single" w:sz="4" w:space="0" w:color="auto"/>
            </w:tcBorders>
            <w:vAlign w:val="center"/>
          </w:tcPr>
          <w:p w14:paraId="3281089B" w14:textId="22F90CDE" w:rsidR="003C2012" w:rsidRPr="00950A26" w:rsidRDefault="00B12265" w:rsidP="003C2012">
            <w:pPr>
              <w:pStyle w:val="Bodytext"/>
              <w:spacing w:after="60"/>
              <w:jc w:val="right"/>
              <w:rPr>
                <w:b/>
                <w:bCs/>
                <w:color w:val="A6A6A6" w:themeColor="background1" w:themeShade="A6"/>
              </w:rPr>
            </w:pPr>
            <w:r>
              <w:rPr>
                <w:rFonts w:cs="Arial"/>
                <w:color w:val="A6A6A6"/>
                <w:szCs w:val="22"/>
              </w:rPr>
              <w:t>55</w:t>
            </w:r>
          </w:p>
        </w:tc>
      </w:tr>
      <w:tr w:rsidR="003C2012" w:rsidRPr="006644A8" w14:paraId="34EDFB9C" w14:textId="77777777" w:rsidTr="00AB55CF">
        <w:tc>
          <w:tcPr>
            <w:tcW w:w="1094" w:type="pct"/>
            <w:shd w:val="clear" w:color="auto" w:fill="auto"/>
            <w:vAlign w:val="center"/>
          </w:tcPr>
          <w:p w14:paraId="34F568A0" w14:textId="77777777" w:rsidR="003C2012" w:rsidRPr="006644A8" w:rsidRDefault="003C2012" w:rsidP="003C2012">
            <w:pPr>
              <w:pStyle w:val="Bodytext"/>
              <w:spacing w:after="60"/>
            </w:pPr>
            <w:r>
              <w:rPr>
                <w:rFonts w:cs="Arial"/>
                <w:b/>
                <w:bCs/>
                <w:szCs w:val="22"/>
              </w:rPr>
              <w:t>Endowment funds</w:t>
            </w:r>
          </w:p>
        </w:tc>
        <w:tc>
          <w:tcPr>
            <w:tcW w:w="686" w:type="pct"/>
            <w:shd w:val="clear" w:color="auto" w:fill="D9D9D9" w:themeFill="background1" w:themeFillShade="D9"/>
            <w:vAlign w:val="center"/>
          </w:tcPr>
          <w:p w14:paraId="45BB80EA" w14:textId="09D7729E" w:rsidR="003C2012" w:rsidRPr="006644A8" w:rsidRDefault="003C2012" w:rsidP="003C2012">
            <w:pPr>
              <w:pStyle w:val="Bodytext"/>
              <w:spacing w:after="60"/>
              <w:jc w:val="right"/>
            </w:pPr>
            <w:r>
              <w:rPr>
                <w:rFonts w:cs="Arial"/>
                <w:color w:val="424141"/>
                <w:szCs w:val="22"/>
              </w:rPr>
              <w:t> </w:t>
            </w:r>
          </w:p>
        </w:tc>
        <w:tc>
          <w:tcPr>
            <w:tcW w:w="633" w:type="pct"/>
            <w:vAlign w:val="center"/>
          </w:tcPr>
          <w:p w14:paraId="454D7317" w14:textId="77777777" w:rsidR="003C2012" w:rsidRPr="00D1741D" w:rsidRDefault="003C2012" w:rsidP="003C2012">
            <w:pPr>
              <w:pStyle w:val="Bodytext"/>
              <w:spacing w:after="60"/>
              <w:jc w:val="right"/>
              <w:rPr>
                <w:color w:val="A6A6A6" w:themeColor="background1" w:themeShade="A6"/>
              </w:rPr>
            </w:pPr>
          </w:p>
        </w:tc>
        <w:tc>
          <w:tcPr>
            <w:tcW w:w="634" w:type="pct"/>
            <w:shd w:val="clear" w:color="auto" w:fill="D9D9D9" w:themeFill="background1" w:themeFillShade="D9"/>
            <w:vAlign w:val="center"/>
          </w:tcPr>
          <w:p w14:paraId="47450A47" w14:textId="2954D07F" w:rsidR="003C2012" w:rsidRPr="006644A8" w:rsidRDefault="003C2012" w:rsidP="003C2012">
            <w:pPr>
              <w:pStyle w:val="Bodytext"/>
              <w:spacing w:after="60"/>
              <w:jc w:val="right"/>
            </w:pPr>
            <w:r>
              <w:rPr>
                <w:rFonts w:cs="Arial"/>
                <w:color w:val="424141"/>
                <w:szCs w:val="22"/>
              </w:rPr>
              <w:t> </w:t>
            </w:r>
          </w:p>
        </w:tc>
        <w:tc>
          <w:tcPr>
            <w:tcW w:w="661" w:type="pct"/>
            <w:vAlign w:val="center"/>
          </w:tcPr>
          <w:p w14:paraId="3EA8263A" w14:textId="77777777" w:rsidR="003C2012" w:rsidRPr="00D1741D" w:rsidRDefault="003C2012" w:rsidP="003C2012">
            <w:pPr>
              <w:pStyle w:val="Bodytext"/>
              <w:spacing w:after="60"/>
              <w:jc w:val="right"/>
              <w:rPr>
                <w:color w:val="A6A6A6" w:themeColor="background1" w:themeShade="A6"/>
              </w:rPr>
            </w:pPr>
          </w:p>
        </w:tc>
        <w:tc>
          <w:tcPr>
            <w:tcW w:w="707" w:type="pct"/>
            <w:shd w:val="clear" w:color="auto" w:fill="D9D9D9" w:themeFill="background1" w:themeFillShade="D9"/>
            <w:vAlign w:val="center"/>
          </w:tcPr>
          <w:p w14:paraId="53CF5024" w14:textId="35CF5B59" w:rsidR="003C2012" w:rsidRPr="006644A8" w:rsidRDefault="003C2012" w:rsidP="003C2012">
            <w:pPr>
              <w:pStyle w:val="Bodytext"/>
              <w:spacing w:after="60"/>
              <w:jc w:val="right"/>
            </w:pPr>
            <w:r>
              <w:rPr>
                <w:rFonts w:cs="Arial"/>
                <w:color w:val="424141"/>
                <w:szCs w:val="22"/>
              </w:rPr>
              <w:t> </w:t>
            </w:r>
          </w:p>
        </w:tc>
        <w:tc>
          <w:tcPr>
            <w:tcW w:w="585" w:type="pct"/>
            <w:vAlign w:val="center"/>
          </w:tcPr>
          <w:p w14:paraId="53426372" w14:textId="77777777" w:rsidR="003C2012" w:rsidRPr="00D1741D" w:rsidRDefault="003C2012" w:rsidP="003C2012">
            <w:pPr>
              <w:pStyle w:val="Bodytext"/>
              <w:spacing w:after="60"/>
              <w:jc w:val="right"/>
              <w:rPr>
                <w:color w:val="A6A6A6" w:themeColor="background1" w:themeShade="A6"/>
              </w:rPr>
            </w:pPr>
          </w:p>
        </w:tc>
      </w:tr>
      <w:tr w:rsidR="003C2012" w:rsidRPr="006644A8" w14:paraId="6B3AA993" w14:textId="77777777" w:rsidTr="00AB55CF">
        <w:tc>
          <w:tcPr>
            <w:tcW w:w="1094" w:type="pct"/>
            <w:shd w:val="clear" w:color="auto" w:fill="auto"/>
            <w:vAlign w:val="center"/>
          </w:tcPr>
          <w:p w14:paraId="28DA586E" w14:textId="77777777" w:rsidR="003C2012" w:rsidRPr="006644A8" w:rsidRDefault="003C2012" w:rsidP="003C2012">
            <w:pPr>
              <w:pStyle w:val="Bodytext"/>
              <w:spacing w:after="60"/>
            </w:pPr>
            <w:r>
              <w:rPr>
                <w:rFonts w:cs="Arial"/>
                <w:szCs w:val="22"/>
              </w:rPr>
              <w:t>Patient education and welfare (endowment funds)</w:t>
            </w:r>
          </w:p>
        </w:tc>
        <w:tc>
          <w:tcPr>
            <w:tcW w:w="686" w:type="pct"/>
            <w:shd w:val="clear" w:color="auto" w:fill="D9D9D9" w:themeFill="background1" w:themeFillShade="D9"/>
            <w:vAlign w:val="center"/>
          </w:tcPr>
          <w:p w14:paraId="5B7F35BF" w14:textId="14FD85FC" w:rsidR="003C2012" w:rsidRPr="006644A8" w:rsidRDefault="003C2012" w:rsidP="003C2012">
            <w:pPr>
              <w:pStyle w:val="Bodytext"/>
              <w:spacing w:after="60"/>
              <w:jc w:val="right"/>
            </w:pPr>
          </w:p>
        </w:tc>
        <w:tc>
          <w:tcPr>
            <w:tcW w:w="633" w:type="pct"/>
            <w:vAlign w:val="center"/>
          </w:tcPr>
          <w:p w14:paraId="3A3DCCA9" w14:textId="172C38FD" w:rsidR="003C2012" w:rsidRPr="00D1741D" w:rsidRDefault="003C2012" w:rsidP="003C2012">
            <w:pPr>
              <w:pStyle w:val="Bodytext"/>
              <w:spacing w:after="60"/>
              <w:jc w:val="right"/>
              <w:rPr>
                <w:color w:val="A6A6A6" w:themeColor="background1" w:themeShade="A6"/>
              </w:rPr>
            </w:pPr>
          </w:p>
        </w:tc>
        <w:tc>
          <w:tcPr>
            <w:tcW w:w="634" w:type="pct"/>
            <w:shd w:val="clear" w:color="auto" w:fill="D9D9D9" w:themeFill="background1" w:themeFillShade="D9"/>
            <w:vAlign w:val="center"/>
          </w:tcPr>
          <w:p w14:paraId="6FE134ED" w14:textId="394D2853" w:rsidR="003C2012" w:rsidRPr="006644A8" w:rsidRDefault="003C2012" w:rsidP="003C2012">
            <w:pPr>
              <w:pStyle w:val="Bodytext"/>
              <w:spacing w:after="60"/>
              <w:jc w:val="right"/>
            </w:pPr>
            <w:r>
              <w:rPr>
                <w:rFonts w:cs="Arial"/>
                <w:color w:val="424141"/>
                <w:szCs w:val="22"/>
              </w:rPr>
              <w:t xml:space="preserve">9 </w:t>
            </w:r>
          </w:p>
        </w:tc>
        <w:tc>
          <w:tcPr>
            <w:tcW w:w="661" w:type="pct"/>
            <w:vAlign w:val="center"/>
          </w:tcPr>
          <w:p w14:paraId="2DB85784" w14:textId="31130090" w:rsidR="003C2012" w:rsidRPr="00D1741D" w:rsidRDefault="00D646B0" w:rsidP="003C2012">
            <w:pPr>
              <w:pStyle w:val="Bodytext"/>
              <w:spacing w:after="60"/>
              <w:jc w:val="right"/>
              <w:rPr>
                <w:color w:val="A6A6A6" w:themeColor="background1" w:themeShade="A6"/>
              </w:rPr>
            </w:pPr>
            <w:r>
              <w:rPr>
                <w:rFonts w:cs="Arial"/>
                <w:color w:val="A6A6A6"/>
                <w:szCs w:val="22"/>
              </w:rPr>
              <w:t>10</w:t>
            </w:r>
            <w:r w:rsidR="003C2012">
              <w:rPr>
                <w:rFonts w:cs="Arial"/>
                <w:color w:val="A6A6A6"/>
                <w:szCs w:val="22"/>
              </w:rPr>
              <w:t xml:space="preserve"> </w:t>
            </w:r>
          </w:p>
        </w:tc>
        <w:tc>
          <w:tcPr>
            <w:tcW w:w="707" w:type="pct"/>
            <w:shd w:val="clear" w:color="auto" w:fill="D9D9D9" w:themeFill="background1" w:themeFillShade="D9"/>
            <w:vAlign w:val="center"/>
          </w:tcPr>
          <w:p w14:paraId="140240B1" w14:textId="11745187" w:rsidR="003C2012" w:rsidRPr="006644A8" w:rsidRDefault="00CF1DFA" w:rsidP="003C2012">
            <w:pPr>
              <w:pStyle w:val="Bodytext"/>
              <w:spacing w:after="60"/>
              <w:jc w:val="right"/>
            </w:pPr>
            <w:r>
              <w:rPr>
                <w:rFonts w:cs="Arial"/>
                <w:color w:val="424141"/>
                <w:szCs w:val="22"/>
              </w:rPr>
              <w:t>9</w:t>
            </w:r>
          </w:p>
        </w:tc>
        <w:tc>
          <w:tcPr>
            <w:tcW w:w="585" w:type="pct"/>
            <w:vAlign w:val="center"/>
          </w:tcPr>
          <w:p w14:paraId="357882B2" w14:textId="06A43A6D" w:rsidR="003C2012" w:rsidRPr="00D1741D" w:rsidRDefault="003C2012" w:rsidP="003C2012">
            <w:pPr>
              <w:pStyle w:val="Bodytext"/>
              <w:spacing w:after="60"/>
              <w:jc w:val="right"/>
              <w:rPr>
                <w:color w:val="A6A6A6" w:themeColor="background1" w:themeShade="A6"/>
              </w:rPr>
            </w:pPr>
            <w:r>
              <w:rPr>
                <w:rFonts w:cs="Arial"/>
                <w:color w:val="A6A6A6"/>
                <w:szCs w:val="22"/>
              </w:rPr>
              <w:t xml:space="preserve">      </w:t>
            </w:r>
            <w:r w:rsidR="00CF1DFA">
              <w:rPr>
                <w:rFonts w:cs="Arial"/>
                <w:color w:val="A6A6A6"/>
                <w:szCs w:val="22"/>
              </w:rPr>
              <w:t>10</w:t>
            </w:r>
          </w:p>
        </w:tc>
      </w:tr>
      <w:tr w:rsidR="003C2012" w:rsidRPr="006644A8" w14:paraId="5D38FF6B" w14:textId="77777777" w:rsidTr="00AB55CF">
        <w:tc>
          <w:tcPr>
            <w:tcW w:w="1094" w:type="pct"/>
            <w:shd w:val="clear" w:color="auto" w:fill="auto"/>
            <w:vAlign w:val="bottom"/>
          </w:tcPr>
          <w:p w14:paraId="44884E1C" w14:textId="77777777" w:rsidR="003C2012" w:rsidRPr="006644A8" w:rsidRDefault="003C2012" w:rsidP="003C2012">
            <w:pPr>
              <w:pStyle w:val="Bodytext"/>
              <w:spacing w:after="60"/>
              <w:rPr>
                <w:b/>
              </w:rPr>
            </w:pPr>
            <w:r w:rsidRPr="006644A8">
              <w:rPr>
                <w:b/>
              </w:rPr>
              <w:t>Total</w:t>
            </w:r>
          </w:p>
        </w:tc>
        <w:tc>
          <w:tcPr>
            <w:tcW w:w="686" w:type="pct"/>
            <w:tcBorders>
              <w:top w:val="single" w:sz="4" w:space="0" w:color="auto"/>
              <w:bottom w:val="double" w:sz="4" w:space="0" w:color="auto"/>
            </w:tcBorders>
            <w:shd w:val="clear" w:color="auto" w:fill="D9D9D9" w:themeFill="background1" w:themeFillShade="D9"/>
            <w:vAlign w:val="center"/>
          </w:tcPr>
          <w:p w14:paraId="3C295C9E" w14:textId="79D2B742" w:rsidR="003C2012" w:rsidRPr="006644A8" w:rsidRDefault="006419A6" w:rsidP="003C2012">
            <w:pPr>
              <w:pStyle w:val="Bodytext"/>
              <w:spacing w:after="60"/>
              <w:jc w:val="right"/>
              <w:rPr>
                <w:b/>
              </w:rPr>
            </w:pPr>
            <w:r>
              <w:rPr>
                <w:rFonts w:cs="Arial"/>
                <w:b/>
                <w:bCs/>
                <w:color w:val="424141"/>
                <w:szCs w:val="22"/>
              </w:rPr>
              <w:t>2,854</w:t>
            </w:r>
          </w:p>
        </w:tc>
        <w:tc>
          <w:tcPr>
            <w:tcW w:w="633" w:type="pct"/>
            <w:tcBorders>
              <w:top w:val="single" w:sz="4" w:space="0" w:color="auto"/>
              <w:bottom w:val="double" w:sz="4" w:space="0" w:color="auto"/>
            </w:tcBorders>
            <w:vAlign w:val="center"/>
          </w:tcPr>
          <w:p w14:paraId="19D2E813" w14:textId="0B8BE7D2" w:rsidR="003C2012" w:rsidRPr="00D1741D" w:rsidRDefault="006419A6" w:rsidP="003C2012">
            <w:pPr>
              <w:pStyle w:val="Bodytext"/>
              <w:spacing w:after="60"/>
              <w:jc w:val="right"/>
              <w:rPr>
                <w:b/>
                <w:color w:val="A6A6A6" w:themeColor="background1" w:themeShade="A6"/>
              </w:rPr>
            </w:pPr>
            <w:r>
              <w:rPr>
                <w:rFonts w:cs="Arial"/>
                <w:b/>
                <w:bCs/>
                <w:color w:val="A6A6A6"/>
                <w:szCs w:val="22"/>
              </w:rPr>
              <w:t>3</w:t>
            </w:r>
            <w:r w:rsidR="00697A9D">
              <w:rPr>
                <w:rFonts w:cs="Arial"/>
                <w:b/>
                <w:bCs/>
                <w:color w:val="A6A6A6"/>
                <w:szCs w:val="22"/>
              </w:rPr>
              <w:t>,</w:t>
            </w:r>
            <w:r w:rsidR="00890BFC">
              <w:rPr>
                <w:rFonts w:cs="Arial"/>
                <w:b/>
                <w:bCs/>
                <w:color w:val="A6A6A6"/>
                <w:szCs w:val="22"/>
              </w:rPr>
              <w:t>7</w:t>
            </w:r>
            <w:r>
              <w:rPr>
                <w:rFonts w:cs="Arial"/>
                <w:b/>
                <w:bCs/>
                <w:color w:val="A6A6A6"/>
                <w:szCs w:val="22"/>
              </w:rPr>
              <w:t>03</w:t>
            </w:r>
          </w:p>
        </w:tc>
        <w:tc>
          <w:tcPr>
            <w:tcW w:w="634" w:type="pct"/>
            <w:tcBorders>
              <w:top w:val="single" w:sz="4" w:space="0" w:color="auto"/>
              <w:bottom w:val="double" w:sz="4" w:space="0" w:color="auto"/>
            </w:tcBorders>
            <w:shd w:val="clear" w:color="auto" w:fill="D9D9D9" w:themeFill="background1" w:themeFillShade="D9"/>
            <w:vAlign w:val="center"/>
          </w:tcPr>
          <w:p w14:paraId="4B1DF01A" w14:textId="591CF453" w:rsidR="003C2012" w:rsidRPr="006644A8" w:rsidRDefault="003C2012" w:rsidP="003C2012">
            <w:pPr>
              <w:pStyle w:val="Bodytext"/>
              <w:spacing w:after="60"/>
              <w:jc w:val="right"/>
              <w:rPr>
                <w:b/>
              </w:rPr>
            </w:pPr>
            <w:r>
              <w:rPr>
                <w:rFonts w:cs="Arial"/>
                <w:b/>
                <w:bCs/>
                <w:color w:val="424141"/>
                <w:szCs w:val="22"/>
              </w:rPr>
              <w:t xml:space="preserve">344 </w:t>
            </w:r>
          </w:p>
        </w:tc>
        <w:tc>
          <w:tcPr>
            <w:tcW w:w="661" w:type="pct"/>
            <w:tcBorders>
              <w:top w:val="single" w:sz="4" w:space="0" w:color="auto"/>
              <w:bottom w:val="double" w:sz="4" w:space="0" w:color="auto"/>
            </w:tcBorders>
            <w:vAlign w:val="center"/>
          </w:tcPr>
          <w:p w14:paraId="5690EF0F" w14:textId="495A9A1A" w:rsidR="003C2012" w:rsidRPr="00D1741D" w:rsidRDefault="0026715A" w:rsidP="003C2012">
            <w:pPr>
              <w:pStyle w:val="Bodytext"/>
              <w:spacing w:after="60"/>
              <w:jc w:val="right"/>
              <w:rPr>
                <w:b/>
                <w:color w:val="A6A6A6" w:themeColor="background1" w:themeShade="A6"/>
              </w:rPr>
            </w:pPr>
            <w:r>
              <w:rPr>
                <w:rFonts w:cs="Arial"/>
                <w:b/>
                <w:bCs/>
                <w:color w:val="A6A6A6"/>
                <w:szCs w:val="22"/>
              </w:rPr>
              <w:t>1,136</w:t>
            </w:r>
          </w:p>
        </w:tc>
        <w:tc>
          <w:tcPr>
            <w:tcW w:w="707" w:type="pct"/>
            <w:tcBorders>
              <w:top w:val="single" w:sz="4" w:space="0" w:color="auto"/>
              <w:bottom w:val="double" w:sz="4" w:space="0" w:color="auto"/>
            </w:tcBorders>
            <w:shd w:val="clear" w:color="auto" w:fill="D9D9D9" w:themeFill="background1" w:themeFillShade="D9"/>
            <w:vAlign w:val="center"/>
          </w:tcPr>
          <w:p w14:paraId="112FF595" w14:textId="2AF9B79B" w:rsidR="003C2012" w:rsidRPr="006644A8" w:rsidRDefault="006419A6" w:rsidP="003C2012">
            <w:pPr>
              <w:pStyle w:val="Bodytext"/>
              <w:spacing w:after="60"/>
              <w:jc w:val="right"/>
              <w:rPr>
                <w:b/>
              </w:rPr>
            </w:pPr>
            <w:r>
              <w:rPr>
                <w:rFonts w:cs="Arial"/>
                <w:b/>
                <w:bCs/>
                <w:color w:val="424141"/>
                <w:szCs w:val="22"/>
              </w:rPr>
              <w:t>3,198</w:t>
            </w:r>
            <w:r w:rsidR="003C2012">
              <w:rPr>
                <w:rFonts w:cs="Arial"/>
                <w:b/>
                <w:bCs/>
                <w:color w:val="424141"/>
                <w:szCs w:val="22"/>
              </w:rPr>
              <w:t xml:space="preserve"> </w:t>
            </w:r>
          </w:p>
        </w:tc>
        <w:tc>
          <w:tcPr>
            <w:tcW w:w="585" w:type="pct"/>
            <w:tcBorders>
              <w:top w:val="single" w:sz="4" w:space="0" w:color="auto"/>
              <w:bottom w:val="double" w:sz="4" w:space="0" w:color="auto"/>
            </w:tcBorders>
            <w:vAlign w:val="center"/>
          </w:tcPr>
          <w:p w14:paraId="77ED1484" w14:textId="4A337FF5" w:rsidR="003C2012" w:rsidRPr="00D1741D" w:rsidRDefault="00CF1DFA" w:rsidP="003C2012">
            <w:pPr>
              <w:pStyle w:val="Bodytext"/>
              <w:spacing w:after="60"/>
              <w:jc w:val="right"/>
              <w:rPr>
                <w:b/>
                <w:color w:val="A6A6A6" w:themeColor="background1" w:themeShade="A6"/>
              </w:rPr>
            </w:pPr>
            <w:r>
              <w:rPr>
                <w:rFonts w:cs="Arial"/>
                <w:b/>
                <w:bCs/>
                <w:color w:val="A6A6A6"/>
                <w:szCs w:val="22"/>
              </w:rPr>
              <w:t>4,</w:t>
            </w:r>
            <w:r w:rsidR="00B12265">
              <w:rPr>
                <w:rFonts w:cs="Arial"/>
                <w:b/>
                <w:bCs/>
                <w:color w:val="A6A6A6"/>
                <w:szCs w:val="22"/>
              </w:rPr>
              <w:t>8</w:t>
            </w:r>
            <w:r>
              <w:rPr>
                <w:rFonts w:cs="Arial"/>
                <w:b/>
                <w:bCs/>
                <w:color w:val="A6A6A6"/>
                <w:szCs w:val="22"/>
              </w:rPr>
              <w:t>3</w:t>
            </w:r>
            <w:r w:rsidR="00C86F21">
              <w:rPr>
                <w:rFonts w:cs="Arial"/>
                <w:b/>
                <w:bCs/>
                <w:color w:val="A6A6A6"/>
                <w:szCs w:val="22"/>
              </w:rPr>
              <w:t>7</w:t>
            </w:r>
            <w:r w:rsidR="003C2012">
              <w:rPr>
                <w:rFonts w:cs="Arial"/>
                <w:b/>
                <w:bCs/>
                <w:color w:val="A6A6A6"/>
                <w:szCs w:val="22"/>
              </w:rPr>
              <w:t xml:space="preserve"> </w:t>
            </w:r>
          </w:p>
        </w:tc>
      </w:tr>
    </w:tbl>
    <w:p w14:paraId="6EAB8243" w14:textId="7ADB106E" w:rsidR="00D9313C" w:rsidRPr="006644A8" w:rsidRDefault="00D9313C" w:rsidP="00AD3093">
      <w:pPr>
        <w:pStyle w:val="TableTitle"/>
        <w:keepNext/>
      </w:pPr>
      <w:bookmarkStart w:id="61" w:name="_Ref431896218"/>
      <w:r>
        <w:lastRenderedPageBreak/>
        <w:t xml:space="preserve">10 </w:t>
      </w:r>
      <w:r w:rsidRPr="006644A8">
        <w:t>Analysis of grants</w:t>
      </w:r>
      <w:bookmarkEnd w:id="6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8"/>
      </w:tblGrid>
      <w:tr w:rsidR="00D9313C" w:rsidRPr="006644A8" w14:paraId="6650212F" w14:textId="77777777" w:rsidTr="00EC1B15">
        <w:tc>
          <w:tcPr>
            <w:tcW w:w="5000" w:type="pct"/>
            <w:shd w:val="clear" w:color="auto" w:fill="auto"/>
          </w:tcPr>
          <w:p w14:paraId="44B12EBD" w14:textId="77777777" w:rsidR="00D9313C" w:rsidRPr="006644A8" w:rsidRDefault="00D9313C" w:rsidP="00AD3093">
            <w:pPr>
              <w:pStyle w:val="Bodytext"/>
              <w:keepNext/>
            </w:pPr>
            <w:r w:rsidRPr="006644A8">
              <w:t xml:space="preserve">Paragraph 16.13 of the </w:t>
            </w:r>
            <w:r>
              <w:t>SORP FRS 102</w:t>
            </w:r>
            <w:r w:rsidRPr="006644A8">
              <w:t xml:space="preserve"> requires that the notes to the accounts contain the following:</w:t>
            </w:r>
          </w:p>
          <w:p w14:paraId="5C5ADFCD" w14:textId="77777777" w:rsidR="00D9313C" w:rsidRPr="00AD3093" w:rsidRDefault="00D9313C" w:rsidP="00AD3093">
            <w:pPr>
              <w:pStyle w:val="Bullet"/>
            </w:pPr>
            <w:r w:rsidRPr="00AD3093">
              <w:t>the total amount of grants paid analysed between grants to individuals and grants to institutions</w:t>
            </w:r>
          </w:p>
          <w:p w14:paraId="25489ED4" w14:textId="77777777" w:rsidR="00D9313C" w:rsidRPr="00AD3093" w:rsidRDefault="00D9313C" w:rsidP="00AD3093">
            <w:pPr>
              <w:pStyle w:val="Bullet"/>
            </w:pPr>
            <w:r w:rsidRPr="00AD3093">
              <w:t>an analysis of the total amount of grants paid by nature or type of activity or project being supported</w:t>
            </w:r>
          </w:p>
          <w:p w14:paraId="6E01FF4F" w14:textId="77777777" w:rsidR="00D9313C" w:rsidRDefault="00D9313C" w:rsidP="00AD3093">
            <w:pPr>
              <w:pStyle w:val="Bullet"/>
            </w:pPr>
            <w:r w:rsidRPr="00AD3093">
              <w:t>the amount</w:t>
            </w:r>
            <w:r w:rsidRPr="006644A8">
              <w:t xml:space="preserve"> of support costs allocated to grant-making activities.</w:t>
            </w:r>
          </w:p>
          <w:p w14:paraId="5DAC60CD" w14:textId="77777777" w:rsidR="00D9313C" w:rsidRPr="006644A8" w:rsidRDefault="00D9313C" w:rsidP="00AD3093">
            <w:pPr>
              <w:pStyle w:val="Bodytext"/>
              <w:keepNext/>
            </w:pPr>
            <w:r w:rsidRPr="006644A8">
              <w:t xml:space="preserve">This note and note </w:t>
            </w:r>
            <w:r>
              <w:t>9</w:t>
            </w:r>
            <w:r w:rsidRPr="006644A8">
              <w:t xml:space="preserve"> meet these requirements and reconcile to the total grants payable.</w:t>
            </w:r>
          </w:p>
          <w:p w14:paraId="60743CDF" w14:textId="05E6F6F5" w:rsidR="00D9313C" w:rsidRPr="00AD3093" w:rsidRDefault="00D9313C" w:rsidP="00AD3093">
            <w:pPr>
              <w:pStyle w:val="Bodytext"/>
              <w:keepNext/>
            </w:pPr>
            <w:r w:rsidRPr="006644A8">
              <w:t xml:space="preserve">Paragraphs 16.17 and 16.18 of the </w:t>
            </w:r>
            <w:r>
              <w:t>SORP FRS 102</w:t>
            </w:r>
            <w:r w:rsidRPr="006644A8">
              <w:t xml:space="preserve"> require that charities that make grants to institutions disclose details of a sufficient number of those institutions that the reader of the accounts can understand the range of institutions supported. </w:t>
            </w:r>
          </w:p>
        </w:tc>
      </w:tr>
    </w:tbl>
    <w:p w14:paraId="2B15F0AD" w14:textId="77777777" w:rsidR="00D9313C" w:rsidRPr="006644A8" w:rsidRDefault="00D9313C" w:rsidP="00AD3093">
      <w:pPr>
        <w:keepNext/>
        <w:tabs>
          <w:tab w:val="left" w:pos="9072"/>
        </w:tabs>
        <w:ind w:right="249"/>
        <w:rPr>
          <w:rFonts w:asciiTheme="minorHAnsi" w:hAnsiTheme="minorHAnsi" w:cstheme="minorHAnsi"/>
        </w:rPr>
      </w:pPr>
    </w:p>
    <w:p w14:paraId="03BEE635" w14:textId="77777777" w:rsidR="00D9313C" w:rsidRDefault="00D9313C" w:rsidP="00AD3093">
      <w:pPr>
        <w:pStyle w:val="Bodytext"/>
        <w:keepNext/>
        <w:sectPr w:rsidR="00D9313C" w:rsidSect="00237BC5">
          <w:type w:val="continuous"/>
          <w:pgSz w:w="16840" w:h="11900" w:orient="landscape"/>
          <w:pgMar w:top="1021" w:right="1701" w:bottom="1021" w:left="851" w:header="851" w:footer="851" w:gutter="0"/>
          <w:cols w:space="720"/>
          <w:titlePg/>
          <w:docGrid w:linePitch="360"/>
        </w:sectPr>
      </w:pPr>
    </w:p>
    <w:p w14:paraId="4D922C0F" w14:textId="51DB9EDE" w:rsidR="00D9313C" w:rsidRPr="006644A8" w:rsidRDefault="00D9313C" w:rsidP="00AD3093">
      <w:pPr>
        <w:pStyle w:val="Bodytext"/>
        <w:keepNext/>
      </w:pPr>
      <w:r w:rsidRPr="006644A8">
        <w:t xml:space="preserve">The charity does not make grants to individuals. All grants are made to the </w:t>
      </w:r>
      <w:r>
        <w:t>HHFT</w:t>
      </w:r>
      <w:r w:rsidRPr="006644A8">
        <w:t xml:space="preserve"> or other institutions to provide for the care of NHS patients in furtherance of our charitable aims. The total cost of making grants, including support costs, is disclosed on the face of the </w:t>
      </w:r>
      <w:r w:rsidR="00314501">
        <w:t>s</w:t>
      </w:r>
      <w:r w:rsidRPr="006644A8">
        <w:t xml:space="preserve">tatement of </w:t>
      </w:r>
      <w:r w:rsidR="00314501">
        <w:t>f</w:t>
      </w:r>
      <w:r w:rsidRPr="006644A8">
        <w:t xml:space="preserve">inancial </w:t>
      </w:r>
      <w:r w:rsidR="00314501">
        <w:t>a</w:t>
      </w:r>
      <w:r w:rsidRPr="006644A8">
        <w:t xml:space="preserve">ctivities and the actual funds spent on each category of charitable activity, is disclosed in note </w:t>
      </w:r>
      <w:r>
        <w:t>9</w:t>
      </w:r>
      <w:r w:rsidRPr="006644A8">
        <w:t xml:space="preserve">. </w:t>
      </w:r>
    </w:p>
    <w:p w14:paraId="7BB12D1D" w14:textId="77777777" w:rsidR="00D9313C" w:rsidRDefault="00D9313C" w:rsidP="00D9313C">
      <w:pPr>
        <w:pStyle w:val="Bodytext"/>
      </w:pPr>
      <w:r w:rsidRPr="006644A8">
        <w:t>The trustee operate</w:t>
      </w:r>
      <w:r>
        <w:t>s</w:t>
      </w:r>
      <w:r w:rsidRPr="006644A8">
        <w:t xml:space="preserve"> a scheme of delegation under which fund advisors </w:t>
      </w:r>
      <w:r>
        <w:t xml:space="preserve">approve expenditure from the funds they are responsible for </w:t>
      </w:r>
      <w:r w:rsidRPr="006644A8">
        <w:t>in accordance</w:t>
      </w:r>
      <w:r>
        <w:t xml:space="preserve"> with the:</w:t>
      </w:r>
      <w:r w:rsidRPr="006644A8">
        <w:t xml:space="preserve"> </w:t>
      </w:r>
    </w:p>
    <w:p w14:paraId="571CA06E" w14:textId="77777777" w:rsidR="00D9313C" w:rsidRPr="00AD3093" w:rsidRDefault="00D9313C" w:rsidP="00AD3093">
      <w:pPr>
        <w:pStyle w:val="Bullet"/>
      </w:pPr>
      <w:r w:rsidRPr="00AD3093">
        <w:t>overarching strategy set by the Charitable Funds Committee and</w:t>
      </w:r>
    </w:p>
    <w:p w14:paraId="00436F36" w14:textId="77777777" w:rsidR="00D9313C" w:rsidRDefault="00D9313C" w:rsidP="00AD3093">
      <w:pPr>
        <w:pStyle w:val="Bullet"/>
      </w:pPr>
      <w:r w:rsidRPr="00AD3093">
        <w:t>directions set out in the charity’s standing orders and financial instructions</w:t>
      </w:r>
      <w:r w:rsidRPr="006644A8">
        <w:t>.</w:t>
      </w:r>
    </w:p>
    <w:p w14:paraId="360E1687" w14:textId="77777777" w:rsidR="00D9313C" w:rsidRDefault="00D9313C" w:rsidP="00D9313C">
      <w:pPr>
        <w:pStyle w:val="Bodytext"/>
      </w:pPr>
      <w:r w:rsidRPr="006644A8">
        <w:t xml:space="preserve">The trustee </w:t>
      </w:r>
      <w:r>
        <w:t xml:space="preserve">also </w:t>
      </w:r>
      <w:r w:rsidRPr="006644A8">
        <w:t>make</w:t>
      </w:r>
      <w:r>
        <w:t>s</w:t>
      </w:r>
      <w:r w:rsidRPr="006644A8">
        <w:t xml:space="preserve"> individual grant awards based on invited applications from eligible NHS or related organisations selected by the trustee.</w:t>
      </w:r>
    </w:p>
    <w:p w14:paraId="5582FD74" w14:textId="77777777" w:rsidR="00D9313C" w:rsidRDefault="00D9313C" w:rsidP="00D9313C">
      <w:pPr>
        <w:pStyle w:val="Bodytext"/>
        <w:spacing w:after="60"/>
        <w:sectPr w:rsidR="00D9313C" w:rsidSect="00237BC5">
          <w:type w:val="continuous"/>
          <w:pgSz w:w="16840" w:h="11900" w:orient="landscape"/>
          <w:pgMar w:top="1021" w:right="1701" w:bottom="1021" w:left="851" w:header="851" w:footer="851" w:gutter="0"/>
          <w:cols w:num="2" w:space="720"/>
          <w:titlePg/>
          <w:docGrid w:linePitch="360"/>
        </w:sectPr>
      </w:pPr>
    </w:p>
    <w:tbl>
      <w:tblPr>
        <w:tblW w:w="5000" w:type="pct"/>
        <w:tblLook w:val="01E0" w:firstRow="1" w:lastRow="1" w:firstColumn="1" w:lastColumn="1" w:noHBand="0" w:noVBand="0"/>
      </w:tblPr>
      <w:tblGrid>
        <w:gridCol w:w="5546"/>
        <w:gridCol w:w="3958"/>
        <w:gridCol w:w="2546"/>
        <w:gridCol w:w="2238"/>
      </w:tblGrid>
      <w:tr w:rsidR="0028585A" w:rsidRPr="006644A8" w14:paraId="494FD474" w14:textId="77777777" w:rsidTr="00C96195">
        <w:trPr>
          <w:cantSplit/>
        </w:trPr>
        <w:tc>
          <w:tcPr>
            <w:tcW w:w="1941" w:type="pct"/>
            <w:shd w:val="clear" w:color="auto" w:fill="auto"/>
          </w:tcPr>
          <w:p w14:paraId="023152AF" w14:textId="12F7DA55" w:rsidR="0028585A" w:rsidRPr="006644A8" w:rsidRDefault="0028585A" w:rsidP="00C96195">
            <w:pPr>
              <w:pStyle w:val="Bodytext"/>
              <w:keepNext/>
              <w:spacing w:after="60"/>
              <w:rPr>
                <w:b/>
              </w:rPr>
            </w:pPr>
            <w:r w:rsidRPr="006644A8">
              <w:rPr>
                <w:b/>
              </w:rPr>
              <w:t>Institution receiving grant support:</w:t>
            </w:r>
          </w:p>
        </w:tc>
        <w:tc>
          <w:tcPr>
            <w:tcW w:w="1385" w:type="pct"/>
          </w:tcPr>
          <w:p w14:paraId="393DC5BD" w14:textId="77777777" w:rsidR="0028585A" w:rsidRPr="006644A8" w:rsidRDefault="0028585A" w:rsidP="00C96195">
            <w:pPr>
              <w:pStyle w:val="Bodytext"/>
              <w:keepNext/>
              <w:spacing w:after="60"/>
              <w:jc w:val="right"/>
              <w:rPr>
                <w:b/>
              </w:rPr>
            </w:pPr>
          </w:p>
        </w:tc>
        <w:tc>
          <w:tcPr>
            <w:tcW w:w="891" w:type="pct"/>
            <w:shd w:val="clear" w:color="auto" w:fill="D9D9D9" w:themeFill="background1" w:themeFillShade="D9"/>
          </w:tcPr>
          <w:p w14:paraId="11D7B18D" w14:textId="0375FF09" w:rsidR="0028585A" w:rsidRDefault="0028585A" w:rsidP="00C96195">
            <w:pPr>
              <w:pStyle w:val="Bodytext"/>
              <w:keepNext/>
              <w:spacing w:after="60"/>
              <w:jc w:val="right"/>
              <w:rPr>
                <w:b/>
              </w:rPr>
            </w:pPr>
            <w:r>
              <w:rPr>
                <w:b/>
              </w:rPr>
              <w:t>Total amount paid</w:t>
            </w:r>
          </w:p>
        </w:tc>
        <w:tc>
          <w:tcPr>
            <w:tcW w:w="783" w:type="pct"/>
          </w:tcPr>
          <w:p w14:paraId="1AC316D6" w14:textId="0827F1A1" w:rsidR="0028585A" w:rsidRDefault="0028585A" w:rsidP="00C96195">
            <w:pPr>
              <w:pStyle w:val="Bodytext"/>
              <w:keepNext/>
              <w:spacing w:after="60"/>
              <w:jc w:val="right"/>
              <w:rPr>
                <w:b/>
                <w:color w:val="A6A6A6" w:themeColor="background1" w:themeShade="A6"/>
              </w:rPr>
            </w:pPr>
            <w:r>
              <w:rPr>
                <w:b/>
                <w:color w:val="A6A6A6" w:themeColor="background1" w:themeShade="A6"/>
              </w:rPr>
              <w:t>Total amount paid</w:t>
            </w:r>
          </w:p>
        </w:tc>
      </w:tr>
      <w:tr w:rsidR="00140E07" w:rsidRPr="006644A8" w14:paraId="43A8A63E" w14:textId="77777777" w:rsidTr="00C96195">
        <w:trPr>
          <w:cantSplit/>
        </w:trPr>
        <w:tc>
          <w:tcPr>
            <w:tcW w:w="1941" w:type="pct"/>
            <w:shd w:val="clear" w:color="auto" w:fill="auto"/>
          </w:tcPr>
          <w:p w14:paraId="1D422D26" w14:textId="1AA04EB3" w:rsidR="00140E07" w:rsidRPr="006644A8" w:rsidRDefault="00140E07" w:rsidP="00140E07">
            <w:pPr>
              <w:pStyle w:val="Bodytext"/>
              <w:keepNext/>
              <w:spacing w:after="60"/>
              <w:rPr>
                <w:b/>
              </w:rPr>
            </w:pPr>
          </w:p>
        </w:tc>
        <w:tc>
          <w:tcPr>
            <w:tcW w:w="1385" w:type="pct"/>
          </w:tcPr>
          <w:p w14:paraId="0ECAD4C3" w14:textId="77777777" w:rsidR="00140E07" w:rsidRPr="006644A8" w:rsidRDefault="00140E07" w:rsidP="00140E07">
            <w:pPr>
              <w:pStyle w:val="Bodytext"/>
              <w:keepNext/>
              <w:spacing w:after="60"/>
              <w:jc w:val="right"/>
              <w:rPr>
                <w:b/>
              </w:rPr>
            </w:pPr>
          </w:p>
        </w:tc>
        <w:tc>
          <w:tcPr>
            <w:tcW w:w="891" w:type="pct"/>
            <w:shd w:val="clear" w:color="auto" w:fill="D9D9D9" w:themeFill="background1" w:themeFillShade="D9"/>
          </w:tcPr>
          <w:p w14:paraId="2C67F26A" w14:textId="4C4A6FCE" w:rsidR="00140E07" w:rsidRDefault="00140E07" w:rsidP="00140E07">
            <w:pPr>
              <w:pStyle w:val="Bodytext"/>
              <w:keepNext/>
              <w:spacing w:after="60"/>
              <w:jc w:val="right"/>
              <w:rPr>
                <w:b/>
              </w:rPr>
            </w:pPr>
            <w:r>
              <w:rPr>
                <w:b/>
              </w:rPr>
              <w:t>202</w:t>
            </w:r>
            <w:r w:rsidR="00306CEE">
              <w:rPr>
                <w:b/>
              </w:rPr>
              <w:t>3/24</w:t>
            </w:r>
          </w:p>
          <w:p w14:paraId="17912FD7" w14:textId="38283ED4" w:rsidR="00140E07" w:rsidRPr="006644A8" w:rsidRDefault="00140E07" w:rsidP="00140E07">
            <w:pPr>
              <w:pStyle w:val="Bodytext"/>
              <w:keepNext/>
              <w:spacing w:after="60"/>
              <w:jc w:val="right"/>
              <w:rPr>
                <w:b/>
              </w:rPr>
            </w:pPr>
            <w:r>
              <w:rPr>
                <w:b/>
              </w:rPr>
              <w:t>£000</w:t>
            </w:r>
          </w:p>
        </w:tc>
        <w:tc>
          <w:tcPr>
            <w:tcW w:w="783" w:type="pct"/>
          </w:tcPr>
          <w:p w14:paraId="3B4D6501" w14:textId="1D50D389" w:rsidR="00140E07" w:rsidRPr="002B08DA" w:rsidRDefault="00140E07" w:rsidP="00140E07">
            <w:pPr>
              <w:pStyle w:val="Bodytext"/>
              <w:keepNext/>
              <w:spacing w:after="60"/>
              <w:jc w:val="right"/>
              <w:rPr>
                <w:b/>
                <w:color w:val="A6A6A6" w:themeColor="background1" w:themeShade="A6"/>
              </w:rPr>
            </w:pPr>
            <w:r>
              <w:rPr>
                <w:b/>
                <w:color w:val="A6A6A6" w:themeColor="background1" w:themeShade="A6"/>
              </w:rPr>
              <w:t>202</w:t>
            </w:r>
            <w:r w:rsidR="00306CEE">
              <w:rPr>
                <w:b/>
                <w:color w:val="A6A6A6" w:themeColor="background1" w:themeShade="A6"/>
              </w:rPr>
              <w:t>2</w:t>
            </w:r>
            <w:r>
              <w:rPr>
                <w:b/>
                <w:color w:val="A6A6A6" w:themeColor="background1" w:themeShade="A6"/>
              </w:rPr>
              <w:t>/2</w:t>
            </w:r>
            <w:r w:rsidR="00306CEE">
              <w:rPr>
                <w:b/>
                <w:color w:val="A6A6A6" w:themeColor="background1" w:themeShade="A6"/>
              </w:rPr>
              <w:t>3</w:t>
            </w:r>
          </w:p>
          <w:p w14:paraId="4FF34B9D" w14:textId="65743A25" w:rsidR="00140E07" w:rsidRPr="008D0DFF" w:rsidRDefault="00140E07" w:rsidP="00140E07">
            <w:pPr>
              <w:pStyle w:val="Bodytext"/>
              <w:keepNext/>
              <w:spacing w:after="60"/>
              <w:jc w:val="right"/>
              <w:rPr>
                <w:b/>
                <w:color w:val="A6A6A6" w:themeColor="background1" w:themeShade="A6"/>
              </w:rPr>
            </w:pPr>
            <w:r w:rsidRPr="002B08DA">
              <w:rPr>
                <w:b/>
                <w:color w:val="A6A6A6" w:themeColor="background1" w:themeShade="A6"/>
              </w:rPr>
              <w:t>£000</w:t>
            </w:r>
          </w:p>
        </w:tc>
      </w:tr>
      <w:tr w:rsidR="00DF79B0" w:rsidRPr="006644A8" w14:paraId="6A14AE6D" w14:textId="77777777" w:rsidTr="00C96195">
        <w:trPr>
          <w:cantSplit/>
        </w:trPr>
        <w:tc>
          <w:tcPr>
            <w:tcW w:w="1941" w:type="pct"/>
            <w:shd w:val="clear" w:color="auto" w:fill="auto"/>
          </w:tcPr>
          <w:p w14:paraId="37FE7B0E" w14:textId="2CEE7FC6" w:rsidR="00DF79B0" w:rsidRPr="006644A8" w:rsidRDefault="00AF0C04" w:rsidP="00DF79B0">
            <w:pPr>
              <w:pStyle w:val="Bodytext"/>
              <w:keepNext/>
              <w:spacing w:after="60"/>
            </w:pPr>
            <w:r>
              <w:t xml:space="preserve">Healthville </w:t>
            </w:r>
            <w:r w:rsidR="00651801">
              <w:t>Hospital NHS Foundation Trust</w:t>
            </w:r>
          </w:p>
        </w:tc>
        <w:tc>
          <w:tcPr>
            <w:tcW w:w="1385" w:type="pct"/>
          </w:tcPr>
          <w:p w14:paraId="38C39C75" w14:textId="77777777" w:rsidR="00DF79B0" w:rsidRPr="006644A8" w:rsidRDefault="00DF79B0" w:rsidP="00DF79B0">
            <w:pPr>
              <w:pStyle w:val="Bodytext"/>
              <w:keepNext/>
              <w:spacing w:after="60"/>
              <w:jc w:val="right"/>
            </w:pPr>
          </w:p>
        </w:tc>
        <w:tc>
          <w:tcPr>
            <w:tcW w:w="891" w:type="pct"/>
            <w:shd w:val="clear" w:color="auto" w:fill="D9D9D9" w:themeFill="background1" w:themeFillShade="D9"/>
            <w:vAlign w:val="center"/>
          </w:tcPr>
          <w:p w14:paraId="4355FC36" w14:textId="42169676" w:rsidR="00DF79B0" w:rsidRPr="006644A8" w:rsidRDefault="00DF79B0" w:rsidP="00DF79B0">
            <w:pPr>
              <w:pStyle w:val="Bodytext"/>
              <w:keepNext/>
              <w:spacing w:after="60"/>
              <w:jc w:val="right"/>
            </w:pPr>
            <w:r>
              <w:rPr>
                <w:rFonts w:cs="Arial"/>
                <w:color w:val="424141"/>
                <w:szCs w:val="22"/>
              </w:rPr>
              <w:t>2,</w:t>
            </w:r>
            <w:r w:rsidR="004B61F6">
              <w:rPr>
                <w:rFonts w:cs="Arial"/>
                <w:color w:val="424141"/>
                <w:szCs w:val="22"/>
              </w:rPr>
              <w:t xml:space="preserve">334 </w:t>
            </w:r>
          </w:p>
        </w:tc>
        <w:tc>
          <w:tcPr>
            <w:tcW w:w="783" w:type="pct"/>
            <w:vAlign w:val="center"/>
          </w:tcPr>
          <w:p w14:paraId="54B976F0" w14:textId="7ABC0C93" w:rsidR="00DF79B0" w:rsidRPr="008D0DFF" w:rsidRDefault="00DF79B0" w:rsidP="00DF79B0">
            <w:pPr>
              <w:pStyle w:val="Bodytext"/>
              <w:keepNext/>
              <w:spacing w:after="60"/>
              <w:jc w:val="right"/>
              <w:rPr>
                <w:color w:val="A6A6A6" w:themeColor="background1" w:themeShade="A6"/>
              </w:rPr>
            </w:pPr>
            <w:r>
              <w:rPr>
                <w:rFonts w:cs="Arial"/>
                <w:color w:val="A6A6A6"/>
                <w:szCs w:val="22"/>
              </w:rPr>
              <w:t>2,</w:t>
            </w:r>
            <w:r w:rsidR="00967769">
              <w:rPr>
                <w:rFonts w:cs="Arial"/>
                <w:color w:val="A6A6A6"/>
                <w:szCs w:val="22"/>
              </w:rPr>
              <w:t>741</w:t>
            </w:r>
          </w:p>
        </w:tc>
      </w:tr>
      <w:tr w:rsidR="00DF79B0" w:rsidRPr="006644A8" w14:paraId="3D9B0B3C" w14:textId="77777777" w:rsidTr="00C96195">
        <w:trPr>
          <w:cantSplit/>
        </w:trPr>
        <w:tc>
          <w:tcPr>
            <w:tcW w:w="1941" w:type="pct"/>
            <w:shd w:val="clear" w:color="auto" w:fill="auto"/>
          </w:tcPr>
          <w:p w14:paraId="36747240" w14:textId="77777777" w:rsidR="00DF79B0" w:rsidRPr="006644A8" w:rsidRDefault="00DF79B0" w:rsidP="00DF79B0">
            <w:pPr>
              <w:pStyle w:val="Bodytext"/>
              <w:keepNext/>
              <w:spacing w:after="60"/>
            </w:pPr>
            <w:r>
              <w:t>Healthville Community NHS Trust</w:t>
            </w:r>
          </w:p>
        </w:tc>
        <w:tc>
          <w:tcPr>
            <w:tcW w:w="1385" w:type="pct"/>
          </w:tcPr>
          <w:p w14:paraId="2C4FD53F" w14:textId="77777777" w:rsidR="00DF79B0" w:rsidRPr="006644A8" w:rsidRDefault="00DF79B0" w:rsidP="00DF79B0">
            <w:pPr>
              <w:pStyle w:val="Bodytext"/>
              <w:keepNext/>
              <w:spacing w:after="60"/>
              <w:jc w:val="right"/>
            </w:pPr>
          </w:p>
        </w:tc>
        <w:tc>
          <w:tcPr>
            <w:tcW w:w="891" w:type="pct"/>
            <w:shd w:val="clear" w:color="auto" w:fill="D9D9D9" w:themeFill="background1" w:themeFillShade="D9"/>
            <w:vAlign w:val="center"/>
          </w:tcPr>
          <w:p w14:paraId="0DB49D1E" w14:textId="63E5A347" w:rsidR="00DF79B0" w:rsidRPr="006644A8" w:rsidRDefault="00DF79B0" w:rsidP="00DF79B0">
            <w:pPr>
              <w:pStyle w:val="Bodytext"/>
              <w:keepNext/>
              <w:spacing w:after="60"/>
              <w:jc w:val="right"/>
            </w:pPr>
            <w:r>
              <w:rPr>
                <w:rFonts w:cs="Arial"/>
                <w:color w:val="424141"/>
                <w:szCs w:val="22"/>
              </w:rPr>
              <w:t xml:space="preserve">352 </w:t>
            </w:r>
          </w:p>
        </w:tc>
        <w:tc>
          <w:tcPr>
            <w:tcW w:w="783" w:type="pct"/>
            <w:vAlign w:val="center"/>
          </w:tcPr>
          <w:p w14:paraId="64FC4975" w14:textId="7BB5D765" w:rsidR="00DF79B0" w:rsidRPr="008D0DFF" w:rsidRDefault="00DF79B0" w:rsidP="00DF79B0">
            <w:pPr>
              <w:pStyle w:val="Bodytext"/>
              <w:keepNext/>
              <w:spacing w:after="60"/>
              <w:jc w:val="right"/>
              <w:rPr>
                <w:color w:val="A6A6A6" w:themeColor="background1" w:themeShade="A6"/>
              </w:rPr>
            </w:pPr>
            <w:r>
              <w:rPr>
                <w:rFonts w:cs="Arial"/>
                <w:color w:val="A6A6A6"/>
                <w:szCs w:val="22"/>
              </w:rPr>
              <w:t xml:space="preserve">787 </w:t>
            </w:r>
          </w:p>
        </w:tc>
      </w:tr>
      <w:tr w:rsidR="00DF79B0" w:rsidRPr="006644A8" w14:paraId="36DB1A1F" w14:textId="77777777" w:rsidTr="00C96195">
        <w:trPr>
          <w:cantSplit/>
        </w:trPr>
        <w:tc>
          <w:tcPr>
            <w:tcW w:w="1941" w:type="pct"/>
            <w:shd w:val="clear" w:color="auto" w:fill="auto"/>
          </w:tcPr>
          <w:p w14:paraId="000ACEB3" w14:textId="77777777" w:rsidR="00DF79B0" w:rsidRPr="006644A8" w:rsidRDefault="00DF79B0" w:rsidP="00DF79B0">
            <w:pPr>
              <w:pStyle w:val="Bodytext"/>
              <w:keepNext/>
              <w:spacing w:after="60"/>
            </w:pPr>
            <w:r w:rsidRPr="006644A8">
              <w:t xml:space="preserve">University of </w:t>
            </w:r>
            <w:r>
              <w:t>Healthville</w:t>
            </w:r>
          </w:p>
        </w:tc>
        <w:tc>
          <w:tcPr>
            <w:tcW w:w="1385" w:type="pct"/>
          </w:tcPr>
          <w:p w14:paraId="39A84A99" w14:textId="77777777" w:rsidR="00DF79B0" w:rsidRPr="006644A8" w:rsidRDefault="00DF79B0" w:rsidP="00DF79B0">
            <w:pPr>
              <w:pStyle w:val="Bodytext"/>
              <w:keepNext/>
              <w:spacing w:after="60"/>
              <w:jc w:val="right"/>
            </w:pPr>
          </w:p>
        </w:tc>
        <w:tc>
          <w:tcPr>
            <w:tcW w:w="891" w:type="pct"/>
            <w:shd w:val="clear" w:color="auto" w:fill="D9D9D9" w:themeFill="background1" w:themeFillShade="D9"/>
            <w:vAlign w:val="center"/>
          </w:tcPr>
          <w:p w14:paraId="08429173" w14:textId="0A154085" w:rsidR="00DF79B0" w:rsidRPr="006644A8" w:rsidRDefault="00DF79B0" w:rsidP="00DF79B0">
            <w:pPr>
              <w:pStyle w:val="Bodytext"/>
              <w:keepNext/>
              <w:spacing w:after="60"/>
              <w:jc w:val="right"/>
            </w:pPr>
            <w:r>
              <w:rPr>
                <w:rFonts w:cs="Arial"/>
                <w:color w:val="424141"/>
                <w:szCs w:val="22"/>
              </w:rPr>
              <w:t xml:space="preserve">54 </w:t>
            </w:r>
          </w:p>
        </w:tc>
        <w:tc>
          <w:tcPr>
            <w:tcW w:w="783" w:type="pct"/>
            <w:vAlign w:val="center"/>
          </w:tcPr>
          <w:p w14:paraId="7CD29CED" w14:textId="6C58E77C" w:rsidR="00DF79B0" w:rsidRPr="008D0DFF" w:rsidRDefault="00DF79B0" w:rsidP="00DF79B0">
            <w:pPr>
              <w:pStyle w:val="Bodytext"/>
              <w:keepNext/>
              <w:spacing w:after="60"/>
              <w:jc w:val="right"/>
              <w:rPr>
                <w:color w:val="A6A6A6" w:themeColor="background1" w:themeShade="A6"/>
              </w:rPr>
            </w:pPr>
            <w:r>
              <w:rPr>
                <w:rFonts w:cs="Arial"/>
                <w:color w:val="A6A6A6"/>
                <w:szCs w:val="22"/>
              </w:rPr>
              <w:t xml:space="preserve">57 </w:t>
            </w:r>
          </w:p>
        </w:tc>
      </w:tr>
      <w:tr w:rsidR="00DF79B0" w:rsidRPr="006644A8" w14:paraId="4F79B35A" w14:textId="77777777" w:rsidTr="00C96195">
        <w:trPr>
          <w:cantSplit/>
        </w:trPr>
        <w:tc>
          <w:tcPr>
            <w:tcW w:w="1941" w:type="pct"/>
            <w:shd w:val="clear" w:color="auto" w:fill="auto"/>
          </w:tcPr>
          <w:p w14:paraId="0E85F201" w14:textId="2F88D5E6" w:rsidR="00DF79B0" w:rsidRDefault="00DF79B0" w:rsidP="00DF79B0">
            <w:pPr>
              <w:pStyle w:val="Bodytext"/>
              <w:keepNext/>
              <w:spacing w:after="60"/>
            </w:pPr>
            <w:r>
              <w:t>H</w:t>
            </w:r>
            <w:r w:rsidR="00651801">
              <w:t>ealthvil</w:t>
            </w:r>
            <w:r w:rsidR="00A74CD7">
              <w:t xml:space="preserve">le Mental Health NHS Trust </w:t>
            </w:r>
          </w:p>
        </w:tc>
        <w:tc>
          <w:tcPr>
            <w:tcW w:w="1385" w:type="pct"/>
          </w:tcPr>
          <w:p w14:paraId="43A1C291" w14:textId="77777777" w:rsidR="00DF79B0" w:rsidRDefault="00DF79B0" w:rsidP="00DF79B0">
            <w:pPr>
              <w:pStyle w:val="Bodytext"/>
              <w:keepNext/>
              <w:spacing w:after="60"/>
              <w:jc w:val="right"/>
            </w:pPr>
          </w:p>
        </w:tc>
        <w:tc>
          <w:tcPr>
            <w:tcW w:w="891" w:type="pct"/>
            <w:shd w:val="clear" w:color="auto" w:fill="D9D9D9" w:themeFill="background1" w:themeFillShade="D9"/>
            <w:vAlign w:val="center"/>
          </w:tcPr>
          <w:p w14:paraId="2FB202FA" w14:textId="29B57097" w:rsidR="00DF79B0" w:rsidRDefault="00DF79B0" w:rsidP="00DF79B0">
            <w:pPr>
              <w:pStyle w:val="Bodytext"/>
              <w:keepNext/>
              <w:spacing w:after="60"/>
              <w:jc w:val="right"/>
            </w:pPr>
            <w:r>
              <w:rPr>
                <w:rFonts w:cs="Arial"/>
                <w:color w:val="424141"/>
                <w:szCs w:val="22"/>
              </w:rPr>
              <w:t xml:space="preserve">71 </w:t>
            </w:r>
          </w:p>
        </w:tc>
        <w:tc>
          <w:tcPr>
            <w:tcW w:w="783" w:type="pct"/>
            <w:vAlign w:val="center"/>
          </w:tcPr>
          <w:p w14:paraId="5B29038A" w14:textId="30AD241A" w:rsidR="00DF79B0" w:rsidRPr="008D0DFF" w:rsidRDefault="00DF79B0" w:rsidP="00DF79B0">
            <w:pPr>
              <w:pStyle w:val="Bodytext"/>
              <w:keepNext/>
              <w:spacing w:after="60"/>
              <w:jc w:val="right"/>
              <w:rPr>
                <w:color w:val="A6A6A6" w:themeColor="background1" w:themeShade="A6"/>
              </w:rPr>
            </w:pPr>
            <w:r>
              <w:rPr>
                <w:rFonts w:cs="Arial"/>
                <w:color w:val="A6A6A6"/>
                <w:szCs w:val="22"/>
              </w:rPr>
              <w:t xml:space="preserve">73 </w:t>
            </w:r>
          </w:p>
        </w:tc>
      </w:tr>
      <w:tr w:rsidR="00DF79B0" w:rsidRPr="006644A8" w14:paraId="74981413" w14:textId="77777777" w:rsidTr="00C96195">
        <w:trPr>
          <w:cantSplit/>
        </w:trPr>
        <w:tc>
          <w:tcPr>
            <w:tcW w:w="1941" w:type="pct"/>
            <w:shd w:val="clear" w:color="auto" w:fill="auto"/>
          </w:tcPr>
          <w:p w14:paraId="0AE264F5" w14:textId="77777777" w:rsidR="00DF79B0" w:rsidRPr="006644A8" w:rsidRDefault="00DF79B0" w:rsidP="00DF79B0">
            <w:pPr>
              <w:pStyle w:val="Bodytext"/>
              <w:keepNext/>
              <w:spacing w:after="60"/>
            </w:pPr>
            <w:r>
              <w:t>Healthville MIND</w:t>
            </w:r>
          </w:p>
        </w:tc>
        <w:tc>
          <w:tcPr>
            <w:tcW w:w="1385" w:type="pct"/>
          </w:tcPr>
          <w:p w14:paraId="2A47B5A4" w14:textId="77777777" w:rsidR="00DF79B0" w:rsidRDefault="00DF79B0" w:rsidP="00DF79B0">
            <w:pPr>
              <w:pStyle w:val="Bodytext"/>
              <w:keepNext/>
              <w:spacing w:after="60"/>
              <w:jc w:val="right"/>
            </w:pPr>
          </w:p>
        </w:tc>
        <w:tc>
          <w:tcPr>
            <w:tcW w:w="891" w:type="pct"/>
            <w:shd w:val="clear" w:color="auto" w:fill="D9D9D9" w:themeFill="background1" w:themeFillShade="D9"/>
            <w:vAlign w:val="center"/>
          </w:tcPr>
          <w:p w14:paraId="1C10159E" w14:textId="7D4ECBB7" w:rsidR="00DF79B0" w:rsidRPr="006644A8" w:rsidRDefault="00DF79B0" w:rsidP="00DF79B0">
            <w:pPr>
              <w:pStyle w:val="Bodytext"/>
              <w:keepNext/>
              <w:spacing w:after="60"/>
              <w:jc w:val="right"/>
            </w:pPr>
            <w:r>
              <w:rPr>
                <w:rFonts w:cs="Arial"/>
                <w:color w:val="424141"/>
                <w:szCs w:val="22"/>
              </w:rPr>
              <w:t xml:space="preserve">20 </w:t>
            </w:r>
          </w:p>
        </w:tc>
        <w:tc>
          <w:tcPr>
            <w:tcW w:w="783" w:type="pct"/>
            <w:vAlign w:val="center"/>
          </w:tcPr>
          <w:p w14:paraId="301A1B5A" w14:textId="52EA1641" w:rsidR="00DF79B0" w:rsidRPr="008D0DFF" w:rsidRDefault="00DF79B0" w:rsidP="00DF79B0">
            <w:pPr>
              <w:pStyle w:val="Bodytext"/>
              <w:keepNext/>
              <w:spacing w:after="60"/>
              <w:jc w:val="right"/>
              <w:rPr>
                <w:color w:val="A6A6A6" w:themeColor="background1" w:themeShade="A6"/>
              </w:rPr>
            </w:pPr>
            <w:r>
              <w:rPr>
                <w:rFonts w:cs="Arial"/>
                <w:color w:val="A6A6A6"/>
                <w:szCs w:val="22"/>
              </w:rPr>
              <w:t xml:space="preserve">17 </w:t>
            </w:r>
          </w:p>
        </w:tc>
      </w:tr>
      <w:tr w:rsidR="00DF79B0" w:rsidRPr="006644A8" w14:paraId="741EBBD6" w14:textId="77777777" w:rsidTr="00C96195">
        <w:trPr>
          <w:cantSplit/>
        </w:trPr>
        <w:tc>
          <w:tcPr>
            <w:tcW w:w="1941" w:type="pct"/>
            <w:shd w:val="clear" w:color="auto" w:fill="auto"/>
          </w:tcPr>
          <w:p w14:paraId="09470894" w14:textId="77777777" w:rsidR="00DF79B0" w:rsidRPr="006644A8" w:rsidRDefault="00DF79B0" w:rsidP="00DF79B0">
            <w:pPr>
              <w:pStyle w:val="Bodytext"/>
              <w:keepNext/>
              <w:spacing w:after="60"/>
            </w:pPr>
            <w:r>
              <w:t>Healthville</w:t>
            </w:r>
            <w:r w:rsidRPr="006644A8">
              <w:t xml:space="preserve"> </w:t>
            </w:r>
            <w:r>
              <w:t>Unitary Authority</w:t>
            </w:r>
          </w:p>
        </w:tc>
        <w:tc>
          <w:tcPr>
            <w:tcW w:w="1385" w:type="pct"/>
          </w:tcPr>
          <w:p w14:paraId="0520C9FF" w14:textId="77777777" w:rsidR="00DF79B0" w:rsidRPr="006644A8" w:rsidRDefault="00DF79B0" w:rsidP="00DF79B0">
            <w:pPr>
              <w:pStyle w:val="Bodytext"/>
              <w:keepNext/>
              <w:spacing w:after="60"/>
              <w:jc w:val="right"/>
            </w:pPr>
          </w:p>
        </w:tc>
        <w:tc>
          <w:tcPr>
            <w:tcW w:w="891" w:type="pct"/>
            <w:tcBorders>
              <w:bottom w:val="single" w:sz="4" w:space="0" w:color="auto"/>
            </w:tcBorders>
            <w:shd w:val="clear" w:color="auto" w:fill="D9D9D9" w:themeFill="background1" w:themeFillShade="D9"/>
            <w:vAlign w:val="center"/>
          </w:tcPr>
          <w:p w14:paraId="55F1DFE7" w14:textId="79648F4E" w:rsidR="00DF79B0" w:rsidRPr="006644A8" w:rsidRDefault="00DF79B0" w:rsidP="00DF79B0">
            <w:pPr>
              <w:pStyle w:val="Bodytext"/>
              <w:keepNext/>
              <w:spacing w:after="60"/>
              <w:jc w:val="right"/>
            </w:pPr>
            <w:r>
              <w:rPr>
                <w:rFonts w:cs="Arial"/>
                <w:color w:val="424141"/>
                <w:szCs w:val="22"/>
              </w:rPr>
              <w:t xml:space="preserve">23 </w:t>
            </w:r>
          </w:p>
        </w:tc>
        <w:tc>
          <w:tcPr>
            <w:tcW w:w="783" w:type="pct"/>
            <w:tcBorders>
              <w:bottom w:val="single" w:sz="4" w:space="0" w:color="auto"/>
            </w:tcBorders>
            <w:vAlign w:val="center"/>
          </w:tcPr>
          <w:p w14:paraId="3B277776" w14:textId="21DA9F6B" w:rsidR="00DF79B0" w:rsidRPr="008D0DFF" w:rsidRDefault="00DF79B0" w:rsidP="00DF79B0">
            <w:pPr>
              <w:pStyle w:val="Bodytext"/>
              <w:keepNext/>
              <w:spacing w:after="60"/>
              <w:jc w:val="right"/>
              <w:rPr>
                <w:color w:val="A6A6A6" w:themeColor="background1" w:themeShade="A6"/>
              </w:rPr>
            </w:pPr>
            <w:r>
              <w:rPr>
                <w:rFonts w:cs="Arial"/>
                <w:color w:val="A6A6A6"/>
                <w:szCs w:val="22"/>
              </w:rPr>
              <w:t xml:space="preserve">26 </w:t>
            </w:r>
          </w:p>
        </w:tc>
      </w:tr>
      <w:tr w:rsidR="00DF79B0" w:rsidRPr="006644A8" w14:paraId="40F0EE99" w14:textId="77777777" w:rsidTr="00C96195">
        <w:trPr>
          <w:cantSplit/>
        </w:trPr>
        <w:tc>
          <w:tcPr>
            <w:tcW w:w="1941" w:type="pct"/>
            <w:shd w:val="clear" w:color="auto" w:fill="auto"/>
          </w:tcPr>
          <w:p w14:paraId="5A18F601" w14:textId="77777777" w:rsidR="00DF79B0" w:rsidRPr="006644A8" w:rsidRDefault="00DF79B0" w:rsidP="00DF79B0">
            <w:pPr>
              <w:pStyle w:val="Bodytext"/>
              <w:keepNext/>
              <w:spacing w:after="60"/>
              <w:rPr>
                <w:b/>
              </w:rPr>
            </w:pPr>
            <w:r w:rsidRPr="006644A8">
              <w:rPr>
                <w:b/>
              </w:rPr>
              <w:t>Total</w:t>
            </w:r>
          </w:p>
        </w:tc>
        <w:tc>
          <w:tcPr>
            <w:tcW w:w="1385" w:type="pct"/>
          </w:tcPr>
          <w:p w14:paraId="0AA2688C" w14:textId="77777777" w:rsidR="00DF79B0" w:rsidRPr="006644A8" w:rsidRDefault="00DF79B0" w:rsidP="00DF79B0">
            <w:pPr>
              <w:pStyle w:val="Bodytext"/>
              <w:keepNext/>
              <w:spacing w:after="60"/>
              <w:jc w:val="right"/>
              <w:rPr>
                <w:b/>
              </w:rPr>
            </w:pPr>
          </w:p>
        </w:tc>
        <w:tc>
          <w:tcPr>
            <w:tcW w:w="891" w:type="pct"/>
            <w:tcBorders>
              <w:top w:val="single" w:sz="4" w:space="0" w:color="auto"/>
              <w:bottom w:val="double" w:sz="4" w:space="0" w:color="auto"/>
            </w:tcBorders>
            <w:shd w:val="clear" w:color="auto" w:fill="D9D9D9" w:themeFill="background1" w:themeFillShade="D9"/>
            <w:vAlign w:val="center"/>
          </w:tcPr>
          <w:p w14:paraId="139170B8" w14:textId="17C0EEA7" w:rsidR="00DF79B0" w:rsidRPr="006644A8" w:rsidRDefault="00DF79B0" w:rsidP="00DF79B0">
            <w:pPr>
              <w:pStyle w:val="Bodytext"/>
              <w:keepNext/>
              <w:spacing w:after="60"/>
              <w:jc w:val="right"/>
              <w:rPr>
                <w:b/>
              </w:rPr>
            </w:pPr>
            <w:r>
              <w:rPr>
                <w:rFonts w:cs="Arial"/>
                <w:b/>
                <w:bCs/>
                <w:color w:val="424141"/>
                <w:szCs w:val="22"/>
              </w:rPr>
              <w:t>2,</w:t>
            </w:r>
            <w:r w:rsidR="0046556E">
              <w:rPr>
                <w:rFonts w:cs="Arial"/>
                <w:b/>
                <w:bCs/>
                <w:color w:val="424141"/>
                <w:szCs w:val="22"/>
              </w:rPr>
              <w:t>8</w:t>
            </w:r>
            <w:r w:rsidR="00064120">
              <w:rPr>
                <w:rFonts w:cs="Arial"/>
                <w:b/>
                <w:bCs/>
                <w:color w:val="424141"/>
                <w:szCs w:val="22"/>
              </w:rPr>
              <w:t>54</w:t>
            </w:r>
          </w:p>
        </w:tc>
        <w:tc>
          <w:tcPr>
            <w:tcW w:w="783" w:type="pct"/>
            <w:tcBorders>
              <w:top w:val="single" w:sz="4" w:space="0" w:color="auto"/>
              <w:bottom w:val="double" w:sz="4" w:space="0" w:color="auto"/>
            </w:tcBorders>
            <w:vAlign w:val="center"/>
          </w:tcPr>
          <w:p w14:paraId="4D9DFC9D" w14:textId="23CB2093" w:rsidR="00DF79B0" w:rsidRPr="008D0DFF" w:rsidRDefault="00DF79B0" w:rsidP="00DF79B0">
            <w:pPr>
              <w:pStyle w:val="Bodytext"/>
              <w:keepNext/>
              <w:spacing w:after="60"/>
              <w:jc w:val="right"/>
              <w:rPr>
                <w:b/>
                <w:color w:val="A6A6A6" w:themeColor="background1" w:themeShade="A6"/>
              </w:rPr>
            </w:pPr>
            <w:r>
              <w:rPr>
                <w:rFonts w:cs="Arial"/>
                <w:b/>
                <w:bCs/>
                <w:color w:val="A6A6A6"/>
                <w:szCs w:val="22"/>
              </w:rPr>
              <w:t>3,</w:t>
            </w:r>
            <w:r w:rsidR="00967769">
              <w:rPr>
                <w:rFonts w:cs="Arial"/>
                <w:b/>
                <w:bCs/>
                <w:color w:val="A6A6A6"/>
                <w:szCs w:val="22"/>
              </w:rPr>
              <w:t xml:space="preserve">701 </w:t>
            </w:r>
          </w:p>
        </w:tc>
      </w:tr>
    </w:tbl>
    <w:p w14:paraId="06A8B50B" w14:textId="77777777" w:rsidR="008B5102" w:rsidRDefault="008B5102" w:rsidP="00C062A1">
      <w:pPr>
        <w:pStyle w:val="TableTitle"/>
      </w:pPr>
    </w:p>
    <w:p w14:paraId="3B2BEB60" w14:textId="77777777" w:rsidR="008B5102" w:rsidRDefault="008B5102" w:rsidP="00C062A1">
      <w:pPr>
        <w:pStyle w:val="TableTitle"/>
      </w:pPr>
    </w:p>
    <w:p w14:paraId="75FE3C12" w14:textId="3A110CFC" w:rsidR="00D9313C" w:rsidRPr="006644A8" w:rsidRDefault="00D9313C" w:rsidP="00AF0C04">
      <w:pPr>
        <w:pStyle w:val="TableTitle"/>
        <w:keepNext/>
      </w:pPr>
      <w:r>
        <w:lastRenderedPageBreak/>
        <w:t xml:space="preserve">11 </w:t>
      </w:r>
      <w:r w:rsidRPr="006644A8">
        <w:t>Movements in funding commitments</w:t>
      </w:r>
    </w:p>
    <w:tbl>
      <w:tblPr>
        <w:tblW w:w="500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2135"/>
        <w:gridCol w:w="2446"/>
        <w:gridCol w:w="2195"/>
      </w:tblGrid>
      <w:tr w:rsidR="00D9313C" w:rsidRPr="006644A8" w14:paraId="15354504" w14:textId="77777777" w:rsidTr="009456CC">
        <w:trPr>
          <w:trHeight w:val="1583"/>
        </w:trPr>
        <w:tc>
          <w:tcPr>
            <w:tcW w:w="5000" w:type="pct"/>
            <w:gridSpan w:val="4"/>
            <w:tcBorders>
              <w:bottom w:val="nil"/>
            </w:tcBorders>
            <w:shd w:val="clear" w:color="auto" w:fill="auto"/>
          </w:tcPr>
          <w:p w14:paraId="35536C3C" w14:textId="77777777" w:rsidR="00D9313C" w:rsidRDefault="00D9313C" w:rsidP="00AF0C04">
            <w:pPr>
              <w:pStyle w:val="Bodytext"/>
              <w:keepNext/>
            </w:pPr>
            <w:r w:rsidRPr="006644A8">
              <w:t xml:space="preserve">Paragraphs 7.43 to 7.46 of the </w:t>
            </w:r>
            <w:r>
              <w:t>SORP FRS 102</w:t>
            </w:r>
            <w:r w:rsidRPr="006644A8">
              <w:t xml:space="preserve"> require that expenditure resulting from recognised funding commitments and provisions is analysed and the following is included in a note to the accounts:</w:t>
            </w:r>
          </w:p>
          <w:p w14:paraId="5C6C10A3" w14:textId="77777777" w:rsidR="00D9313C" w:rsidRPr="00C062A1" w:rsidRDefault="00D9313C" w:rsidP="00AF0C04">
            <w:pPr>
              <w:pStyle w:val="Bullet"/>
              <w:keepNext/>
            </w:pPr>
            <w:r>
              <w:t>a</w:t>
            </w:r>
            <w:r w:rsidRPr="006644A8">
              <w:t xml:space="preserve"> </w:t>
            </w:r>
            <w:r w:rsidRPr="00C062A1">
              <w:t>reconciliation of the movements in provisions and funding commitments</w:t>
            </w:r>
          </w:p>
          <w:p w14:paraId="38C72B0F" w14:textId="77777777" w:rsidR="00D9313C" w:rsidRPr="00C062A1" w:rsidRDefault="00D9313C" w:rsidP="00AF0C04">
            <w:pPr>
              <w:pStyle w:val="Bullet"/>
              <w:keepNext/>
            </w:pPr>
            <w:r w:rsidRPr="00C062A1">
              <w:t>a brief description of the nature of the commitment made and the expected amount and timing of any resulting payments</w:t>
            </w:r>
          </w:p>
          <w:p w14:paraId="4BCBC33A" w14:textId="77777777" w:rsidR="00D9313C" w:rsidRPr="00C062A1" w:rsidRDefault="00D9313C" w:rsidP="00AF0C04">
            <w:pPr>
              <w:pStyle w:val="Bullet"/>
              <w:keepNext/>
            </w:pPr>
            <w:r w:rsidRPr="00C062A1">
              <w:t>an indication of the uncertainties of the amount or timing of those payments</w:t>
            </w:r>
          </w:p>
          <w:p w14:paraId="630D6DAC" w14:textId="77777777" w:rsidR="00D9313C" w:rsidRPr="006644A8" w:rsidRDefault="00D9313C" w:rsidP="00AF0C04">
            <w:pPr>
              <w:pStyle w:val="Bullet"/>
              <w:keepNext/>
            </w:pPr>
            <w:r w:rsidRPr="00C062A1">
              <w:t>the amount of any expected reimbursement</w:t>
            </w:r>
            <w:r>
              <w:t>.</w:t>
            </w:r>
          </w:p>
        </w:tc>
      </w:tr>
      <w:tr w:rsidR="0013798E" w:rsidRPr="00FF7ADC" w14:paraId="17BAFB80" w14:textId="77777777" w:rsidTr="009456CC">
        <w:tblPrEx>
          <w:tblLook w:val="01E0" w:firstRow="1" w:lastRow="1" w:firstColumn="1" w:lastColumn="1" w:noHBand="0" w:noVBand="0"/>
        </w:tblPrEx>
        <w:tc>
          <w:tcPr>
            <w:tcW w:w="2629" w:type="pct"/>
            <w:tcBorders>
              <w:left w:val="nil"/>
              <w:bottom w:val="nil"/>
              <w:right w:val="nil"/>
            </w:tcBorders>
            <w:shd w:val="clear" w:color="auto" w:fill="auto"/>
          </w:tcPr>
          <w:p w14:paraId="2CBFDD34" w14:textId="77777777" w:rsidR="0013798E" w:rsidRPr="00FF7ADC" w:rsidRDefault="0013798E" w:rsidP="00021532">
            <w:pPr>
              <w:pStyle w:val="Bodytext"/>
              <w:keepNext/>
              <w:spacing w:after="60"/>
              <w:rPr>
                <w:b/>
              </w:rPr>
            </w:pPr>
          </w:p>
        </w:tc>
        <w:tc>
          <w:tcPr>
            <w:tcW w:w="747" w:type="pct"/>
            <w:tcBorders>
              <w:left w:val="nil"/>
              <w:bottom w:val="nil"/>
              <w:right w:val="nil"/>
            </w:tcBorders>
          </w:tcPr>
          <w:p w14:paraId="5795EEED" w14:textId="77777777" w:rsidR="0013798E" w:rsidRPr="00FF7ADC" w:rsidRDefault="0013798E" w:rsidP="00021532">
            <w:pPr>
              <w:pStyle w:val="Bodytext"/>
              <w:keepNext/>
              <w:spacing w:after="60"/>
              <w:jc w:val="right"/>
              <w:rPr>
                <w:b/>
              </w:rPr>
            </w:pPr>
          </w:p>
        </w:tc>
        <w:tc>
          <w:tcPr>
            <w:tcW w:w="856" w:type="pct"/>
            <w:tcBorders>
              <w:left w:val="nil"/>
              <w:bottom w:val="nil"/>
              <w:right w:val="nil"/>
            </w:tcBorders>
          </w:tcPr>
          <w:p w14:paraId="2DFBEE8A" w14:textId="77777777" w:rsidR="0013798E" w:rsidRPr="00FF7ADC" w:rsidRDefault="0013798E" w:rsidP="00021532">
            <w:pPr>
              <w:pStyle w:val="Bodytext"/>
              <w:keepNext/>
              <w:spacing w:after="60"/>
              <w:jc w:val="right"/>
              <w:rPr>
                <w:b/>
              </w:rPr>
            </w:pPr>
          </w:p>
        </w:tc>
        <w:tc>
          <w:tcPr>
            <w:tcW w:w="768" w:type="pct"/>
            <w:tcBorders>
              <w:left w:val="nil"/>
              <w:bottom w:val="nil"/>
              <w:right w:val="nil"/>
            </w:tcBorders>
            <w:shd w:val="clear" w:color="auto" w:fill="auto"/>
          </w:tcPr>
          <w:p w14:paraId="34FAE1F3" w14:textId="77777777" w:rsidR="0013798E" w:rsidRDefault="0013798E" w:rsidP="00021532">
            <w:pPr>
              <w:pStyle w:val="Bodytext"/>
              <w:keepNext/>
              <w:spacing w:after="60"/>
              <w:jc w:val="right"/>
              <w:rPr>
                <w:b/>
              </w:rPr>
            </w:pPr>
          </w:p>
        </w:tc>
      </w:tr>
      <w:tr w:rsidR="0013798E" w:rsidRPr="00FF7ADC" w14:paraId="3D75C053" w14:textId="77777777" w:rsidTr="009456CC">
        <w:tblPrEx>
          <w:tblLook w:val="01E0" w:firstRow="1" w:lastRow="1" w:firstColumn="1" w:lastColumn="1" w:noHBand="0" w:noVBand="0"/>
        </w:tblPrEx>
        <w:tc>
          <w:tcPr>
            <w:tcW w:w="2629" w:type="pct"/>
            <w:tcBorders>
              <w:top w:val="nil"/>
              <w:left w:val="nil"/>
              <w:bottom w:val="nil"/>
              <w:right w:val="nil"/>
            </w:tcBorders>
            <w:shd w:val="clear" w:color="auto" w:fill="auto"/>
          </w:tcPr>
          <w:p w14:paraId="37A562A6" w14:textId="77777777" w:rsidR="00D9313C" w:rsidRPr="00FF7ADC" w:rsidRDefault="00D9313C" w:rsidP="00021532">
            <w:pPr>
              <w:pStyle w:val="Bodytext"/>
              <w:keepNext/>
              <w:spacing w:after="60"/>
              <w:rPr>
                <w:b/>
              </w:rPr>
            </w:pPr>
          </w:p>
        </w:tc>
        <w:tc>
          <w:tcPr>
            <w:tcW w:w="747" w:type="pct"/>
            <w:tcBorders>
              <w:top w:val="nil"/>
              <w:left w:val="nil"/>
              <w:bottom w:val="nil"/>
              <w:right w:val="nil"/>
            </w:tcBorders>
          </w:tcPr>
          <w:p w14:paraId="5EC65CFC" w14:textId="77777777" w:rsidR="00D9313C" w:rsidRPr="00FF7ADC" w:rsidRDefault="00D9313C" w:rsidP="00021532">
            <w:pPr>
              <w:pStyle w:val="Bodytext"/>
              <w:keepNext/>
              <w:spacing w:after="60"/>
              <w:jc w:val="right"/>
              <w:rPr>
                <w:b/>
              </w:rPr>
            </w:pPr>
            <w:r w:rsidRPr="00FF7ADC">
              <w:rPr>
                <w:b/>
              </w:rPr>
              <w:t>Current liabilities</w:t>
            </w:r>
          </w:p>
        </w:tc>
        <w:tc>
          <w:tcPr>
            <w:tcW w:w="856" w:type="pct"/>
            <w:tcBorders>
              <w:top w:val="nil"/>
              <w:left w:val="nil"/>
              <w:bottom w:val="nil"/>
              <w:right w:val="nil"/>
            </w:tcBorders>
          </w:tcPr>
          <w:p w14:paraId="7AEA11D9" w14:textId="77777777" w:rsidR="00D9313C" w:rsidRPr="00FF7ADC" w:rsidRDefault="00D9313C" w:rsidP="00021532">
            <w:pPr>
              <w:pStyle w:val="Bodytext"/>
              <w:keepNext/>
              <w:spacing w:after="60"/>
              <w:jc w:val="right"/>
              <w:rPr>
                <w:b/>
              </w:rPr>
            </w:pPr>
            <w:r w:rsidRPr="00FF7ADC">
              <w:rPr>
                <w:b/>
              </w:rPr>
              <w:t xml:space="preserve">Non-current liabilities </w:t>
            </w:r>
          </w:p>
        </w:tc>
        <w:tc>
          <w:tcPr>
            <w:tcW w:w="768" w:type="pct"/>
            <w:tcBorders>
              <w:top w:val="nil"/>
              <w:left w:val="nil"/>
              <w:bottom w:val="nil"/>
              <w:right w:val="nil"/>
            </w:tcBorders>
            <w:shd w:val="clear" w:color="auto" w:fill="auto"/>
          </w:tcPr>
          <w:p w14:paraId="00BBBE07" w14:textId="77777777" w:rsidR="00D9313C" w:rsidRPr="00FF7ADC" w:rsidRDefault="00D9313C" w:rsidP="00021532">
            <w:pPr>
              <w:pStyle w:val="Bodytext"/>
              <w:keepNext/>
              <w:spacing w:after="60"/>
              <w:jc w:val="right"/>
              <w:rPr>
                <w:b/>
              </w:rPr>
            </w:pPr>
            <w:r>
              <w:rPr>
                <w:b/>
              </w:rPr>
              <w:t>Total</w:t>
            </w:r>
          </w:p>
        </w:tc>
      </w:tr>
      <w:tr w:rsidR="00D9313C" w:rsidRPr="00FF7ADC" w14:paraId="177605C5" w14:textId="77777777" w:rsidTr="009456CC">
        <w:tblPrEx>
          <w:tblLook w:val="01E0" w:firstRow="1" w:lastRow="1" w:firstColumn="1" w:lastColumn="1" w:noHBand="0" w:noVBand="0"/>
        </w:tblPrEx>
        <w:tc>
          <w:tcPr>
            <w:tcW w:w="2629" w:type="pct"/>
            <w:tcBorders>
              <w:top w:val="nil"/>
              <w:left w:val="nil"/>
              <w:bottom w:val="nil"/>
              <w:right w:val="nil"/>
            </w:tcBorders>
            <w:shd w:val="clear" w:color="auto" w:fill="auto"/>
          </w:tcPr>
          <w:p w14:paraId="69600951" w14:textId="77777777" w:rsidR="00D9313C" w:rsidRPr="00FF7ADC" w:rsidRDefault="00D9313C" w:rsidP="00021532">
            <w:pPr>
              <w:pStyle w:val="Bodytext"/>
              <w:keepNext/>
              <w:spacing w:after="60"/>
              <w:rPr>
                <w:b/>
              </w:rPr>
            </w:pPr>
          </w:p>
        </w:tc>
        <w:tc>
          <w:tcPr>
            <w:tcW w:w="747" w:type="pct"/>
            <w:tcBorders>
              <w:top w:val="nil"/>
              <w:left w:val="nil"/>
              <w:bottom w:val="nil"/>
              <w:right w:val="nil"/>
            </w:tcBorders>
          </w:tcPr>
          <w:p w14:paraId="24525393" w14:textId="77777777" w:rsidR="00D9313C" w:rsidRPr="00FF7ADC" w:rsidRDefault="00D9313C" w:rsidP="00021532">
            <w:pPr>
              <w:pStyle w:val="Bodytext"/>
              <w:keepNext/>
              <w:spacing w:after="60"/>
              <w:jc w:val="right"/>
              <w:rPr>
                <w:b/>
              </w:rPr>
            </w:pPr>
            <w:r>
              <w:rPr>
                <w:b/>
              </w:rPr>
              <w:t>£000</w:t>
            </w:r>
          </w:p>
        </w:tc>
        <w:tc>
          <w:tcPr>
            <w:tcW w:w="856" w:type="pct"/>
            <w:tcBorders>
              <w:top w:val="nil"/>
              <w:left w:val="nil"/>
              <w:bottom w:val="nil"/>
              <w:right w:val="nil"/>
            </w:tcBorders>
          </w:tcPr>
          <w:p w14:paraId="055CFE81" w14:textId="77777777" w:rsidR="00D9313C" w:rsidRPr="00FF7ADC" w:rsidRDefault="00D9313C" w:rsidP="00021532">
            <w:pPr>
              <w:pStyle w:val="Bodytext"/>
              <w:keepNext/>
              <w:spacing w:after="60"/>
              <w:jc w:val="right"/>
              <w:rPr>
                <w:b/>
              </w:rPr>
            </w:pPr>
            <w:r>
              <w:rPr>
                <w:b/>
              </w:rPr>
              <w:t>£000</w:t>
            </w:r>
          </w:p>
        </w:tc>
        <w:tc>
          <w:tcPr>
            <w:tcW w:w="768" w:type="pct"/>
            <w:tcBorders>
              <w:top w:val="nil"/>
              <w:left w:val="nil"/>
              <w:bottom w:val="nil"/>
              <w:right w:val="nil"/>
            </w:tcBorders>
            <w:shd w:val="clear" w:color="auto" w:fill="auto"/>
          </w:tcPr>
          <w:p w14:paraId="5B9C5502" w14:textId="77777777" w:rsidR="00D9313C" w:rsidRPr="00FF7ADC" w:rsidRDefault="00D9313C" w:rsidP="00021532">
            <w:pPr>
              <w:pStyle w:val="Bodytext"/>
              <w:keepNext/>
              <w:spacing w:after="60"/>
              <w:jc w:val="right"/>
              <w:rPr>
                <w:b/>
              </w:rPr>
            </w:pPr>
            <w:r>
              <w:rPr>
                <w:b/>
              </w:rPr>
              <w:t>£000</w:t>
            </w:r>
          </w:p>
        </w:tc>
      </w:tr>
      <w:tr w:rsidR="001212DC" w:rsidRPr="006644A8" w14:paraId="6F272C7C" w14:textId="77777777" w:rsidTr="00021532">
        <w:tblPrEx>
          <w:tblLook w:val="01E0" w:firstRow="1" w:lastRow="1" w:firstColumn="1" w:lastColumn="1" w:noHBand="0" w:noVBand="0"/>
        </w:tblPrEx>
        <w:tc>
          <w:tcPr>
            <w:tcW w:w="2629" w:type="pct"/>
            <w:tcBorders>
              <w:top w:val="nil"/>
              <w:left w:val="nil"/>
              <w:bottom w:val="nil"/>
              <w:right w:val="nil"/>
            </w:tcBorders>
            <w:shd w:val="clear" w:color="auto" w:fill="D9D9D9" w:themeFill="background1" w:themeFillShade="D9"/>
          </w:tcPr>
          <w:p w14:paraId="25C81A74" w14:textId="02105D99" w:rsidR="001212DC" w:rsidRPr="006644A8" w:rsidRDefault="001212DC" w:rsidP="00021532">
            <w:pPr>
              <w:pStyle w:val="Bodytext"/>
              <w:keepNext/>
              <w:spacing w:after="60"/>
            </w:pPr>
            <w:r w:rsidRPr="00D408DC">
              <w:rPr>
                <w:b/>
                <w:bCs/>
              </w:rPr>
              <w:t xml:space="preserve">Opening balance at 1 April </w:t>
            </w:r>
            <w:r>
              <w:rPr>
                <w:b/>
                <w:bCs/>
              </w:rPr>
              <w:t>202</w:t>
            </w:r>
            <w:r w:rsidR="00306CEE">
              <w:rPr>
                <w:b/>
                <w:bCs/>
              </w:rPr>
              <w:t>3</w:t>
            </w:r>
            <w:r w:rsidRPr="00052572">
              <w:t xml:space="preserve"> </w:t>
            </w:r>
            <w:r w:rsidRPr="006644A8">
              <w:t xml:space="preserve">(see note </w:t>
            </w:r>
            <w:r>
              <w:t>19</w:t>
            </w:r>
            <w:r w:rsidRPr="006644A8">
              <w:t>)</w:t>
            </w:r>
          </w:p>
        </w:tc>
        <w:tc>
          <w:tcPr>
            <w:tcW w:w="747" w:type="pct"/>
            <w:tcBorders>
              <w:top w:val="nil"/>
              <w:left w:val="nil"/>
              <w:bottom w:val="nil"/>
              <w:right w:val="nil"/>
            </w:tcBorders>
            <w:shd w:val="clear" w:color="auto" w:fill="D9D9D9" w:themeFill="background1" w:themeFillShade="D9"/>
          </w:tcPr>
          <w:p w14:paraId="08AB9D59" w14:textId="75521310" w:rsidR="001212DC" w:rsidRPr="006644A8" w:rsidRDefault="001212DC" w:rsidP="00021532">
            <w:pPr>
              <w:pStyle w:val="Bodytext"/>
              <w:keepNext/>
              <w:spacing w:after="60"/>
              <w:jc w:val="right"/>
            </w:pPr>
            <w:r w:rsidRPr="00173C53">
              <w:t xml:space="preserve">563 </w:t>
            </w:r>
          </w:p>
        </w:tc>
        <w:tc>
          <w:tcPr>
            <w:tcW w:w="856" w:type="pct"/>
            <w:tcBorders>
              <w:top w:val="nil"/>
              <w:left w:val="nil"/>
              <w:bottom w:val="nil"/>
              <w:right w:val="nil"/>
            </w:tcBorders>
            <w:shd w:val="clear" w:color="auto" w:fill="D9D9D9" w:themeFill="background1" w:themeFillShade="D9"/>
          </w:tcPr>
          <w:p w14:paraId="3AC02491" w14:textId="68B253E8" w:rsidR="001212DC" w:rsidRPr="006644A8" w:rsidRDefault="001212DC" w:rsidP="00021532">
            <w:pPr>
              <w:pStyle w:val="Bodytext"/>
              <w:keepNext/>
              <w:spacing w:after="60"/>
              <w:jc w:val="right"/>
            </w:pPr>
            <w:r w:rsidRPr="00173C53">
              <w:t xml:space="preserve">1,076 </w:t>
            </w:r>
          </w:p>
        </w:tc>
        <w:tc>
          <w:tcPr>
            <w:tcW w:w="768" w:type="pct"/>
            <w:tcBorders>
              <w:top w:val="nil"/>
              <w:left w:val="nil"/>
              <w:bottom w:val="nil"/>
              <w:right w:val="nil"/>
            </w:tcBorders>
            <w:shd w:val="clear" w:color="auto" w:fill="D9D9D9" w:themeFill="background1" w:themeFillShade="D9"/>
          </w:tcPr>
          <w:p w14:paraId="7847A238" w14:textId="1C49D84E" w:rsidR="001212DC" w:rsidRPr="006644A8" w:rsidRDefault="001212DC" w:rsidP="00021532">
            <w:pPr>
              <w:pStyle w:val="Bodytext"/>
              <w:keepNext/>
              <w:spacing w:after="60"/>
              <w:jc w:val="right"/>
            </w:pPr>
            <w:r w:rsidRPr="00173C53">
              <w:t xml:space="preserve">1,639 </w:t>
            </w:r>
          </w:p>
        </w:tc>
      </w:tr>
      <w:tr w:rsidR="001212DC" w:rsidRPr="006644A8" w14:paraId="0E10AF1B" w14:textId="77777777" w:rsidTr="000F6C2D">
        <w:tblPrEx>
          <w:tblLook w:val="01E0" w:firstRow="1" w:lastRow="1" w:firstColumn="1" w:lastColumn="1" w:noHBand="0" w:noVBand="0"/>
        </w:tblPrEx>
        <w:tc>
          <w:tcPr>
            <w:tcW w:w="2629" w:type="pct"/>
            <w:tcBorders>
              <w:top w:val="nil"/>
              <w:left w:val="nil"/>
              <w:bottom w:val="nil"/>
              <w:right w:val="nil"/>
            </w:tcBorders>
            <w:shd w:val="clear" w:color="auto" w:fill="D9D9D9" w:themeFill="background1" w:themeFillShade="D9"/>
          </w:tcPr>
          <w:p w14:paraId="4CE291D9" w14:textId="77777777" w:rsidR="001212DC" w:rsidRPr="006644A8" w:rsidRDefault="001212DC" w:rsidP="001212DC">
            <w:pPr>
              <w:pStyle w:val="Bodytext"/>
              <w:spacing w:after="60"/>
            </w:pPr>
            <w:r w:rsidRPr="006644A8">
              <w:t>Additional commitments made during the year</w:t>
            </w:r>
          </w:p>
        </w:tc>
        <w:tc>
          <w:tcPr>
            <w:tcW w:w="747" w:type="pct"/>
            <w:tcBorders>
              <w:top w:val="nil"/>
              <w:left w:val="nil"/>
              <w:bottom w:val="nil"/>
              <w:right w:val="nil"/>
            </w:tcBorders>
            <w:shd w:val="clear" w:color="auto" w:fill="D9D9D9" w:themeFill="background1" w:themeFillShade="D9"/>
          </w:tcPr>
          <w:p w14:paraId="2B0214F7" w14:textId="00BFBDE2" w:rsidR="001212DC" w:rsidRPr="006644A8" w:rsidRDefault="001212DC" w:rsidP="001212DC">
            <w:pPr>
              <w:pStyle w:val="Bodytext"/>
              <w:spacing w:after="60"/>
              <w:jc w:val="right"/>
            </w:pPr>
            <w:r w:rsidRPr="00173C53">
              <w:t>1,27</w:t>
            </w:r>
            <w:r w:rsidR="00A930AC">
              <w:t>1</w:t>
            </w:r>
            <w:r w:rsidRPr="00173C53">
              <w:t xml:space="preserve"> </w:t>
            </w:r>
          </w:p>
        </w:tc>
        <w:tc>
          <w:tcPr>
            <w:tcW w:w="856" w:type="pct"/>
            <w:tcBorders>
              <w:top w:val="nil"/>
              <w:left w:val="nil"/>
              <w:bottom w:val="nil"/>
              <w:right w:val="nil"/>
            </w:tcBorders>
            <w:shd w:val="clear" w:color="auto" w:fill="D9D9D9" w:themeFill="background1" w:themeFillShade="D9"/>
          </w:tcPr>
          <w:p w14:paraId="09EB0720" w14:textId="75D31938" w:rsidR="001212DC" w:rsidRPr="006644A8" w:rsidRDefault="001212DC" w:rsidP="001212DC">
            <w:pPr>
              <w:pStyle w:val="Bodytext"/>
              <w:spacing w:after="60"/>
              <w:jc w:val="right"/>
            </w:pPr>
            <w:r w:rsidRPr="00173C53">
              <w:t xml:space="preserve">1,583 </w:t>
            </w:r>
          </w:p>
        </w:tc>
        <w:tc>
          <w:tcPr>
            <w:tcW w:w="768" w:type="pct"/>
            <w:tcBorders>
              <w:top w:val="nil"/>
              <w:left w:val="nil"/>
              <w:bottom w:val="nil"/>
              <w:right w:val="nil"/>
            </w:tcBorders>
            <w:shd w:val="clear" w:color="auto" w:fill="D9D9D9" w:themeFill="background1" w:themeFillShade="D9"/>
          </w:tcPr>
          <w:p w14:paraId="187CFD5E" w14:textId="24989803" w:rsidR="001212DC" w:rsidRPr="006644A8" w:rsidRDefault="001212DC" w:rsidP="001212DC">
            <w:pPr>
              <w:pStyle w:val="Bodytext"/>
              <w:spacing w:after="60"/>
              <w:jc w:val="right"/>
            </w:pPr>
            <w:r w:rsidRPr="00173C53">
              <w:t>2,8</w:t>
            </w:r>
            <w:r w:rsidR="00F84B57">
              <w:t>54</w:t>
            </w:r>
            <w:r w:rsidRPr="00173C53">
              <w:t xml:space="preserve"> </w:t>
            </w:r>
          </w:p>
        </w:tc>
      </w:tr>
      <w:tr w:rsidR="001212DC" w:rsidRPr="006644A8" w14:paraId="63F88A86" w14:textId="77777777" w:rsidTr="000F6C2D">
        <w:tblPrEx>
          <w:tblLook w:val="01E0" w:firstRow="1" w:lastRow="1" w:firstColumn="1" w:lastColumn="1" w:noHBand="0" w:noVBand="0"/>
        </w:tblPrEx>
        <w:tc>
          <w:tcPr>
            <w:tcW w:w="2629" w:type="pct"/>
            <w:tcBorders>
              <w:top w:val="nil"/>
              <w:left w:val="nil"/>
              <w:bottom w:val="nil"/>
              <w:right w:val="nil"/>
            </w:tcBorders>
            <w:shd w:val="clear" w:color="auto" w:fill="D9D9D9" w:themeFill="background1" w:themeFillShade="D9"/>
          </w:tcPr>
          <w:p w14:paraId="311A5BE0" w14:textId="77777777" w:rsidR="001212DC" w:rsidRPr="006644A8" w:rsidRDefault="001212DC" w:rsidP="001212DC">
            <w:pPr>
              <w:pStyle w:val="Bodytext"/>
              <w:spacing w:after="60"/>
            </w:pPr>
            <w:r w:rsidRPr="006644A8">
              <w:t xml:space="preserve">Movement from </w:t>
            </w:r>
            <w:r>
              <w:t>non-</w:t>
            </w:r>
            <w:r w:rsidRPr="006644A8">
              <w:t>current to current</w:t>
            </w:r>
          </w:p>
        </w:tc>
        <w:tc>
          <w:tcPr>
            <w:tcW w:w="747" w:type="pct"/>
            <w:tcBorders>
              <w:top w:val="nil"/>
              <w:left w:val="nil"/>
              <w:bottom w:val="nil"/>
              <w:right w:val="nil"/>
            </w:tcBorders>
            <w:shd w:val="clear" w:color="auto" w:fill="D9D9D9" w:themeFill="background1" w:themeFillShade="D9"/>
          </w:tcPr>
          <w:p w14:paraId="5B437BA3" w14:textId="6B021E67" w:rsidR="001212DC" w:rsidRPr="006644A8" w:rsidRDefault="001212DC" w:rsidP="001212DC">
            <w:pPr>
              <w:pStyle w:val="Bodytext"/>
              <w:spacing w:after="60"/>
              <w:jc w:val="right"/>
            </w:pPr>
            <w:r w:rsidRPr="00173C53">
              <w:t xml:space="preserve">200 </w:t>
            </w:r>
          </w:p>
        </w:tc>
        <w:tc>
          <w:tcPr>
            <w:tcW w:w="856" w:type="pct"/>
            <w:tcBorders>
              <w:top w:val="nil"/>
              <w:left w:val="nil"/>
              <w:bottom w:val="nil"/>
              <w:right w:val="nil"/>
            </w:tcBorders>
            <w:shd w:val="clear" w:color="auto" w:fill="D9D9D9" w:themeFill="background1" w:themeFillShade="D9"/>
          </w:tcPr>
          <w:p w14:paraId="46EAFF32" w14:textId="110B9FD1" w:rsidR="001212DC" w:rsidRPr="006644A8" w:rsidRDefault="001212DC" w:rsidP="001212DC">
            <w:pPr>
              <w:pStyle w:val="Bodytext"/>
              <w:spacing w:after="60"/>
              <w:jc w:val="right"/>
            </w:pPr>
            <w:r w:rsidRPr="00173C53">
              <w:t xml:space="preserve">-200 </w:t>
            </w:r>
          </w:p>
        </w:tc>
        <w:tc>
          <w:tcPr>
            <w:tcW w:w="768" w:type="pct"/>
            <w:tcBorders>
              <w:top w:val="nil"/>
              <w:left w:val="nil"/>
              <w:bottom w:val="nil"/>
              <w:right w:val="nil"/>
            </w:tcBorders>
            <w:shd w:val="clear" w:color="auto" w:fill="D9D9D9" w:themeFill="background1" w:themeFillShade="D9"/>
          </w:tcPr>
          <w:p w14:paraId="404CF8FB" w14:textId="209C9834" w:rsidR="001212DC" w:rsidRPr="006644A8" w:rsidRDefault="001212DC" w:rsidP="001212DC">
            <w:pPr>
              <w:pStyle w:val="Bodytext"/>
              <w:spacing w:after="60"/>
              <w:jc w:val="right"/>
            </w:pPr>
            <w:r w:rsidRPr="00173C53">
              <w:t xml:space="preserve">0 </w:t>
            </w:r>
          </w:p>
        </w:tc>
      </w:tr>
      <w:tr w:rsidR="001212DC" w:rsidRPr="006644A8" w14:paraId="379D172C" w14:textId="77777777" w:rsidTr="000F6C2D">
        <w:tblPrEx>
          <w:tblLook w:val="01E0" w:firstRow="1" w:lastRow="1" w:firstColumn="1" w:lastColumn="1" w:noHBand="0" w:noVBand="0"/>
        </w:tblPrEx>
        <w:tc>
          <w:tcPr>
            <w:tcW w:w="2629" w:type="pct"/>
            <w:tcBorders>
              <w:top w:val="nil"/>
              <w:left w:val="nil"/>
              <w:bottom w:val="nil"/>
              <w:right w:val="nil"/>
            </w:tcBorders>
            <w:shd w:val="clear" w:color="auto" w:fill="D9D9D9" w:themeFill="background1" w:themeFillShade="D9"/>
          </w:tcPr>
          <w:p w14:paraId="50E7329C" w14:textId="77777777" w:rsidR="001212DC" w:rsidRPr="006644A8" w:rsidRDefault="001212DC" w:rsidP="001212DC">
            <w:pPr>
              <w:pStyle w:val="Bodytext"/>
              <w:spacing w:after="60"/>
            </w:pPr>
            <w:r w:rsidRPr="006644A8">
              <w:t>Amounts paid during the year</w:t>
            </w:r>
          </w:p>
        </w:tc>
        <w:tc>
          <w:tcPr>
            <w:tcW w:w="747" w:type="pct"/>
            <w:tcBorders>
              <w:top w:val="nil"/>
              <w:left w:val="nil"/>
              <w:bottom w:val="single" w:sz="4" w:space="0" w:color="auto"/>
              <w:right w:val="nil"/>
            </w:tcBorders>
            <w:shd w:val="clear" w:color="auto" w:fill="D9D9D9" w:themeFill="background1" w:themeFillShade="D9"/>
          </w:tcPr>
          <w:p w14:paraId="508D7525" w14:textId="1C71910A" w:rsidR="001212DC" w:rsidRPr="006644A8" w:rsidRDefault="001212DC" w:rsidP="001212DC">
            <w:pPr>
              <w:pStyle w:val="Bodytext"/>
              <w:spacing w:after="60"/>
              <w:jc w:val="right"/>
            </w:pPr>
            <w:r w:rsidRPr="00173C53">
              <w:t xml:space="preserve">-1,561 </w:t>
            </w:r>
          </w:p>
        </w:tc>
        <w:tc>
          <w:tcPr>
            <w:tcW w:w="856" w:type="pct"/>
            <w:tcBorders>
              <w:top w:val="nil"/>
              <w:left w:val="nil"/>
              <w:bottom w:val="single" w:sz="4" w:space="0" w:color="auto"/>
              <w:right w:val="nil"/>
            </w:tcBorders>
            <w:shd w:val="clear" w:color="auto" w:fill="D9D9D9" w:themeFill="background1" w:themeFillShade="D9"/>
          </w:tcPr>
          <w:p w14:paraId="5DD3EA8D" w14:textId="670EE353" w:rsidR="001212DC" w:rsidRPr="006644A8" w:rsidRDefault="001212DC" w:rsidP="001212DC">
            <w:pPr>
              <w:pStyle w:val="Bodytext"/>
              <w:spacing w:after="60"/>
              <w:jc w:val="right"/>
            </w:pPr>
            <w:r w:rsidRPr="00173C53">
              <w:t xml:space="preserve">-1,322 </w:t>
            </w:r>
          </w:p>
        </w:tc>
        <w:tc>
          <w:tcPr>
            <w:tcW w:w="768" w:type="pct"/>
            <w:tcBorders>
              <w:top w:val="nil"/>
              <w:left w:val="nil"/>
              <w:bottom w:val="single" w:sz="4" w:space="0" w:color="auto"/>
              <w:right w:val="nil"/>
            </w:tcBorders>
            <w:shd w:val="clear" w:color="auto" w:fill="D9D9D9" w:themeFill="background1" w:themeFillShade="D9"/>
          </w:tcPr>
          <w:p w14:paraId="25DA0275" w14:textId="7CB5BCF4" w:rsidR="001212DC" w:rsidRPr="006644A8" w:rsidRDefault="001212DC" w:rsidP="001212DC">
            <w:pPr>
              <w:pStyle w:val="Bodytext"/>
              <w:spacing w:after="60"/>
              <w:jc w:val="right"/>
            </w:pPr>
            <w:r w:rsidRPr="00173C53">
              <w:t xml:space="preserve">-2,883 </w:t>
            </w:r>
          </w:p>
        </w:tc>
      </w:tr>
      <w:tr w:rsidR="001212DC" w:rsidRPr="006644A8" w14:paraId="52DFC9EE" w14:textId="77777777" w:rsidTr="000F6C2D">
        <w:tblPrEx>
          <w:tblLook w:val="01E0" w:firstRow="1" w:lastRow="1" w:firstColumn="1" w:lastColumn="1" w:noHBand="0" w:noVBand="0"/>
        </w:tblPrEx>
        <w:tc>
          <w:tcPr>
            <w:tcW w:w="2629" w:type="pct"/>
            <w:tcBorders>
              <w:top w:val="nil"/>
              <w:left w:val="nil"/>
              <w:bottom w:val="nil"/>
              <w:right w:val="nil"/>
            </w:tcBorders>
            <w:shd w:val="clear" w:color="auto" w:fill="D9D9D9" w:themeFill="background1" w:themeFillShade="D9"/>
          </w:tcPr>
          <w:p w14:paraId="208ED691" w14:textId="56885D36" w:rsidR="001212DC" w:rsidRPr="006644A8" w:rsidRDefault="001212DC" w:rsidP="001212DC">
            <w:pPr>
              <w:pStyle w:val="Bodytext"/>
              <w:spacing w:after="60"/>
            </w:pPr>
            <w:r w:rsidRPr="00D408DC">
              <w:rPr>
                <w:b/>
                <w:bCs/>
              </w:rPr>
              <w:t xml:space="preserve">Closing balance at </w:t>
            </w:r>
            <w:r>
              <w:rPr>
                <w:b/>
                <w:bCs/>
              </w:rPr>
              <w:t>31 March</w:t>
            </w:r>
            <w:r w:rsidRPr="00D408DC">
              <w:rPr>
                <w:b/>
                <w:bCs/>
              </w:rPr>
              <w:t xml:space="preserve"> </w:t>
            </w:r>
            <w:r>
              <w:rPr>
                <w:b/>
                <w:bCs/>
              </w:rPr>
              <w:t>202</w:t>
            </w:r>
            <w:r w:rsidR="00306CEE">
              <w:rPr>
                <w:b/>
                <w:bCs/>
              </w:rPr>
              <w:t>4</w:t>
            </w:r>
            <w:r w:rsidRPr="00052572">
              <w:t xml:space="preserve"> </w:t>
            </w:r>
            <w:r w:rsidRPr="006644A8">
              <w:t xml:space="preserve">(see note </w:t>
            </w:r>
            <w:r>
              <w:t>19</w:t>
            </w:r>
            <w:r w:rsidRPr="006644A8">
              <w:t>)</w:t>
            </w:r>
          </w:p>
        </w:tc>
        <w:tc>
          <w:tcPr>
            <w:tcW w:w="747" w:type="pct"/>
            <w:tcBorders>
              <w:top w:val="single" w:sz="4" w:space="0" w:color="auto"/>
              <w:left w:val="nil"/>
              <w:bottom w:val="double" w:sz="4" w:space="0" w:color="auto"/>
              <w:right w:val="nil"/>
            </w:tcBorders>
            <w:shd w:val="clear" w:color="auto" w:fill="D9D9D9" w:themeFill="background1" w:themeFillShade="D9"/>
          </w:tcPr>
          <w:p w14:paraId="22CA3B84" w14:textId="33920AA1" w:rsidR="001212DC" w:rsidRPr="006644A8" w:rsidRDefault="001212DC" w:rsidP="001212DC">
            <w:pPr>
              <w:pStyle w:val="Bodytext"/>
              <w:spacing w:after="60"/>
              <w:jc w:val="right"/>
            </w:pPr>
            <w:r w:rsidRPr="00173C53">
              <w:t xml:space="preserve">480 </w:t>
            </w:r>
          </w:p>
        </w:tc>
        <w:tc>
          <w:tcPr>
            <w:tcW w:w="856" w:type="pct"/>
            <w:tcBorders>
              <w:top w:val="single" w:sz="4" w:space="0" w:color="auto"/>
              <w:left w:val="nil"/>
              <w:bottom w:val="double" w:sz="4" w:space="0" w:color="auto"/>
              <w:right w:val="nil"/>
            </w:tcBorders>
            <w:shd w:val="clear" w:color="auto" w:fill="D9D9D9" w:themeFill="background1" w:themeFillShade="D9"/>
          </w:tcPr>
          <w:p w14:paraId="4359EB54" w14:textId="04AE8B79" w:rsidR="001212DC" w:rsidRPr="006644A8" w:rsidRDefault="001212DC" w:rsidP="001212DC">
            <w:pPr>
              <w:pStyle w:val="Bodytext"/>
              <w:spacing w:after="60"/>
              <w:jc w:val="right"/>
            </w:pPr>
            <w:r w:rsidRPr="00173C53">
              <w:t xml:space="preserve">1,137 </w:t>
            </w:r>
          </w:p>
        </w:tc>
        <w:tc>
          <w:tcPr>
            <w:tcW w:w="768" w:type="pct"/>
            <w:tcBorders>
              <w:top w:val="single" w:sz="4" w:space="0" w:color="auto"/>
              <w:left w:val="nil"/>
              <w:bottom w:val="double" w:sz="4" w:space="0" w:color="auto"/>
              <w:right w:val="nil"/>
            </w:tcBorders>
            <w:shd w:val="clear" w:color="auto" w:fill="D9D9D9" w:themeFill="background1" w:themeFillShade="D9"/>
          </w:tcPr>
          <w:p w14:paraId="6BA5CE14" w14:textId="37295149" w:rsidR="001212DC" w:rsidRPr="006644A8" w:rsidRDefault="001212DC" w:rsidP="001212DC">
            <w:pPr>
              <w:pStyle w:val="Bodytext"/>
              <w:spacing w:after="60"/>
              <w:jc w:val="right"/>
            </w:pPr>
            <w:r w:rsidRPr="00173C53">
              <w:t xml:space="preserve">1,617 </w:t>
            </w:r>
          </w:p>
        </w:tc>
      </w:tr>
      <w:tr w:rsidR="00C96195" w:rsidRPr="006644A8" w14:paraId="47B66C52" w14:textId="77777777" w:rsidTr="007E5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629" w:type="pct"/>
            <w:shd w:val="clear" w:color="auto" w:fill="auto"/>
          </w:tcPr>
          <w:p w14:paraId="705190EC" w14:textId="77777777" w:rsidR="00C96195" w:rsidRPr="00D408DC" w:rsidRDefault="00C96195" w:rsidP="00EC1B15">
            <w:pPr>
              <w:pStyle w:val="Bodytext"/>
              <w:spacing w:after="60"/>
              <w:rPr>
                <w:b/>
                <w:bCs/>
              </w:rPr>
            </w:pPr>
          </w:p>
        </w:tc>
        <w:tc>
          <w:tcPr>
            <w:tcW w:w="747" w:type="pct"/>
            <w:shd w:val="clear" w:color="auto" w:fill="auto"/>
            <w:vAlign w:val="bottom"/>
          </w:tcPr>
          <w:p w14:paraId="043196B7" w14:textId="77777777" w:rsidR="00C96195" w:rsidRPr="006644A8" w:rsidRDefault="00C96195" w:rsidP="00EC1B15">
            <w:pPr>
              <w:pStyle w:val="Bodytext"/>
              <w:spacing w:after="60"/>
              <w:jc w:val="right"/>
            </w:pPr>
          </w:p>
        </w:tc>
        <w:tc>
          <w:tcPr>
            <w:tcW w:w="856" w:type="pct"/>
            <w:shd w:val="clear" w:color="auto" w:fill="auto"/>
            <w:vAlign w:val="bottom"/>
          </w:tcPr>
          <w:p w14:paraId="7D6F8A06" w14:textId="77777777" w:rsidR="00C96195" w:rsidRPr="006644A8" w:rsidRDefault="00C96195" w:rsidP="00EC1B15">
            <w:pPr>
              <w:pStyle w:val="Bodytext"/>
              <w:spacing w:after="60"/>
              <w:jc w:val="right"/>
            </w:pPr>
          </w:p>
        </w:tc>
        <w:tc>
          <w:tcPr>
            <w:tcW w:w="768" w:type="pct"/>
            <w:shd w:val="clear" w:color="auto" w:fill="auto"/>
            <w:vAlign w:val="bottom"/>
          </w:tcPr>
          <w:p w14:paraId="3B0EF414" w14:textId="77777777" w:rsidR="00C96195" w:rsidRPr="006644A8" w:rsidRDefault="00C96195" w:rsidP="00EC1B15">
            <w:pPr>
              <w:pStyle w:val="Bodytext"/>
              <w:spacing w:after="60"/>
              <w:jc w:val="right"/>
            </w:pPr>
          </w:p>
        </w:tc>
      </w:tr>
      <w:tr w:rsidR="00D9313C" w:rsidRPr="00FF7ADC" w14:paraId="00082CC0" w14:textId="77777777" w:rsidTr="007E51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629" w:type="pct"/>
            <w:shd w:val="clear" w:color="auto" w:fill="auto"/>
          </w:tcPr>
          <w:p w14:paraId="6E528241" w14:textId="77777777" w:rsidR="00D9313C" w:rsidRPr="006773BF" w:rsidRDefault="00D9313C" w:rsidP="00EC1B15">
            <w:pPr>
              <w:pStyle w:val="Bodytext"/>
              <w:spacing w:after="60"/>
              <w:rPr>
                <w:color w:val="A6A6A6" w:themeColor="background1" w:themeShade="A6"/>
              </w:rPr>
            </w:pPr>
          </w:p>
        </w:tc>
        <w:tc>
          <w:tcPr>
            <w:tcW w:w="747" w:type="pct"/>
            <w:vAlign w:val="bottom"/>
          </w:tcPr>
          <w:p w14:paraId="6E5BECCC" w14:textId="77777777" w:rsidR="00D9313C" w:rsidRPr="006773BF" w:rsidRDefault="00D9313C" w:rsidP="00EC1B15">
            <w:pPr>
              <w:pStyle w:val="Bodytext"/>
              <w:spacing w:after="60"/>
              <w:jc w:val="right"/>
              <w:rPr>
                <w:b/>
                <w:color w:val="A6A6A6" w:themeColor="background1" w:themeShade="A6"/>
              </w:rPr>
            </w:pPr>
            <w:r w:rsidRPr="006773BF">
              <w:rPr>
                <w:b/>
                <w:color w:val="A6A6A6" w:themeColor="background1" w:themeShade="A6"/>
              </w:rPr>
              <w:t>Current liabilities</w:t>
            </w:r>
          </w:p>
        </w:tc>
        <w:tc>
          <w:tcPr>
            <w:tcW w:w="856" w:type="pct"/>
            <w:vAlign w:val="bottom"/>
          </w:tcPr>
          <w:p w14:paraId="5798519B" w14:textId="77777777" w:rsidR="00D9313C" w:rsidRPr="006773BF" w:rsidRDefault="00D9313C" w:rsidP="00EC1B15">
            <w:pPr>
              <w:pStyle w:val="Bodytext"/>
              <w:spacing w:after="60"/>
              <w:jc w:val="right"/>
              <w:rPr>
                <w:b/>
                <w:color w:val="A6A6A6" w:themeColor="background1" w:themeShade="A6"/>
              </w:rPr>
            </w:pPr>
            <w:r w:rsidRPr="006773BF">
              <w:rPr>
                <w:b/>
                <w:color w:val="A6A6A6" w:themeColor="background1" w:themeShade="A6"/>
              </w:rPr>
              <w:t xml:space="preserve">Non-current liabilities </w:t>
            </w:r>
          </w:p>
        </w:tc>
        <w:tc>
          <w:tcPr>
            <w:tcW w:w="768" w:type="pct"/>
            <w:shd w:val="clear" w:color="auto" w:fill="auto"/>
            <w:vAlign w:val="bottom"/>
          </w:tcPr>
          <w:p w14:paraId="097F9F1F" w14:textId="77777777" w:rsidR="00D9313C" w:rsidRPr="006773BF" w:rsidRDefault="00D9313C" w:rsidP="00EC1B15">
            <w:pPr>
              <w:pStyle w:val="Bodytext"/>
              <w:spacing w:after="60"/>
              <w:jc w:val="right"/>
              <w:rPr>
                <w:b/>
                <w:color w:val="A6A6A6" w:themeColor="background1" w:themeShade="A6"/>
              </w:rPr>
            </w:pPr>
            <w:r w:rsidRPr="006773BF">
              <w:rPr>
                <w:b/>
                <w:color w:val="A6A6A6" w:themeColor="background1" w:themeShade="A6"/>
              </w:rPr>
              <w:t>Total</w:t>
            </w:r>
          </w:p>
        </w:tc>
      </w:tr>
      <w:tr w:rsidR="00D9313C" w:rsidRPr="00FF7ADC" w14:paraId="496F0AD7" w14:textId="77777777" w:rsidTr="00EC1B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629" w:type="pct"/>
            <w:shd w:val="clear" w:color="auto" w:fill="auto"/>
          </w:tcPr>
          <w:p w14:paraId="54A975F9" w14:textId="77777777" w:rsidR="00D9313C" w:rsidRPr="006773BF" w:rsidRDefault="00D9313C" w:rsidP="00EC1B15">
            <w:pPr>
              <w:pStyle w:val="Bodytext"/>
              <w:spacing w:after="60"/>
              <w:rPr>
                <w:color w:val="A6A6A6" w:themeColor="background1" w:themeShade="A6"/>
              </w:rPr>
            </w:pPr>
          </w:p>
        </w:tc>
        <w:tc>
          <w:tcPr>
            <w:tcW w:w="747" w:type="pct"/>
            <w:vAlign w:val="bottom"/>
          </w:tcPr>
          <w:p w14:paraId="041FC274" w14:textId="77777777" w:rsidR="00D9313C" w:rsidRPr="006773BF" w:rsidRDefault="00D9313C" w:rsidP="00EC1B15">
            <w:pPr>
              <w:pStyle w:val="Bodytext"/>
              <w:spacing w:after="60"/>
              <w:jc w:val="right"/>
              <w:rPr>
                <w:b/>
                <w:color w:val="A6A6A6" w:themeColor="background1" w:themeShade="A6"/>
              </w:rPr>
            </w:pPr>
            <w:r w:rsidRPr="006773BF">
              <w:rPr>
                <w:b/>
                <w:color w:val="A6A6A6" w:themeColor="background1" w:themeShade="A6"/>
              </w:rPr>
              <w:t>£000</w:t>
            </w:r>
          </w:p>
        </w:tc>
        <w:tc>
          <w:tcPr>
            <w:tcW w:w="856" w:type="pct"/>
            <w:vAlign w:val="bottom"/>
          </w:tcPr>
          <w:p w14:paraId="517399F5" w14:textId="77777777" w:rsidR="00D9313C" w:rsidRPr="006773BF" w:rsidRDefault="00D9313C" w:rsidP="00EC1B15">
            <w:pPr>
              <w:pStyle w:val="Bodytext"/>
              <w:spacing w:after="60"/>
              <w:jc w:val="right"/>
              <w:rPr>
                <w:b/>
                <w:color w:val="A6A6A6" w:themeColor="background1" w:themeShade="A6"/>
              </w:rPr>
            </w:pPr>
            <w:r w:rsidRPr="006773BF">
              <w:rPr>
                <w:b/>
                <w:color w:val="A6A6A6" w:themeColor="background1" w:themeShade="A6"/>
              </w:rPr>
              <w:t>£000</w:t>
            </w:r>
          </w:p>
        </w:tc>
        <w:tc>
          <w:tcPr>
            <w:tcW w:w="768" w:type="pct"/>
            <w:shd w:val="clear" w:color="auto" w:fill="auto"/>
            <w:vAlign w:val="bottom"/>
          </w:tcPr>
          <w:p w14:paraId="5AE62039" w14:textId="77777777" w:rsidR="00D9313C" w:rsidRPr="006773BF" w:rsidRDefault="00D9313C" w:rsidP="00EC1B15">
            <w:pPr>
              <w:pStyle w:val="Bodytext"/>
              <w:spacing w:after="60"/>
              <w:jc w:val="right"/>
              <w:rPr>
                <w:b/>
                <w:color w:val="A6A6A6" w:themeColor="background1" w:themeShade="A6"/>
              </w:rPr>
            </w:pPr>
            <w:r w:rsidRPr="006773BF">
              <w:rPr>
                <w:b/>
                <w:color w:val="A6A6A6" w:themeColor="background1" w:themeShade="A6"/>
              </w:rPr>
              <w:t>£000</w:t>
            </w:r>
          </w:p>
        </w:tc>
      </w:tr>
      <w:tr w:rsidR="0008549D" w:rsidRPr="006644A8" w14:paraId="452FEEC1" w14:textId="77777777" w:rsidTr="000F6C2D">
        <w:tblPrEx>
          <w:tblLook w:val="01E0" w:firstRow="1" w:lastRow="1" w:firstColumn="1" w:lastColumn="1" w:noHBand="0" w:noVBand="0"/>
        </w:tblPrEx>
        <w:tc>
          <w:tcPr>
            <w:tcW w:w="2629" w:type="pct"/>
            <w:tcBorders>
              <w:top w:val="nil"/>
              <w:left w:val="nil"/>
              <w:bottom w:val="nil"/>
              <w:right w:val="nil"/>
            </w:tcBorders>
            <w:shd w:val="clear" w:color="auto" w:fill="auto"/>
          </w:tcPr>
          <w:p w14:paraId="43FFB5AB" w14:textId="0E090E61" w:rsidR="0008549D" w:rsidRPr="00D408DC" w:rsidRDefault="0008549D" w:rsidP="0008549D">
            <w:pPr>
              <w:pStyle w:val="Bodytext"/>
              <w:spacing w:after="60"/>
              <w:rPr>
                <w:b/>
                <w:bCs/>
                <w:color w:val="A6A6A6" w:themeColor="background1" w:themeShade="A6"/>
              </w:rPr>
            </w:pPr>
            <w:r w:rsidRPr="00D408DC">
              <w:rPr>
                <w:b/>
                <w:bCs/>
                <w:color w:val="A6A6A6" w:themeColor="background1" w:themeShade="A6"/>
              </w:rPr>
              <w:t xml:space="preserve">Opening balance at 1 April </w:t>
            </w:r>
            <w:r>
              <w:rPr>
                <w:b/>
                <w:bCs/>
                <w:color w:val="A6A6A6" w:themeColor="background1" w:themeShade="A6"/>
              </w:rPr>
              <w:t>202</w:t>
            </w:r>
            <w:r w:rsidR="00306CEE">
              <w:rPr>
                <w:b/>
                <w:bCs/>
                <w:color w:val="A6A6A6" w:themeColor="background1" w:themeShade="A6"/>
              </w:rPr>
              <w:t>2</w:t>
            </w:r>
          </w:p>
        </w:tc>
        <w:tc>
          <w:tcPr>
            <w:tcW w:w="747" w:type="pct"/>
            <w:tcBorders>
              <w:top w:val="nil"/>
              <w:left w:val="nil"/>
              <w:bottom w:val="nil"/>
              <w:right w:val="nil"/>
            </w:tcBorders>
          </w:tcPr>
          <w:p w14:paraId="43E9399D" w14:textId="171C7E58" w:rsidR="0008549D" w:rsidRPr="00052572" w:rsidRDefault="0008549D" w:rsidP="00052572">
            <w:pPr>
              <w:pStyle w:val="Bodytext"/>
              <w:keepNext/>
              <w:spacing w:after="60"/>
              <w:jc w:val="right"/>
              <w:rPr>
                <w:rFonts w:cs="Arial"/>
                <w:color w:val="A6A6A6"/>
                <w:szCs w:val="22"/>
              </w:rPr>
            </w:pPr>
            <w:r w:rsidRPr="00052572">
              <w:rPr>
                <w:rFonts w:cs="Arial"/>
                <w:color w:val="A6A6A6"/>
                <w:szCs w:val="22"/>
              </w:rPr>
              <w:t>467</w:t>
            </w:r>
          </w:p>
        </w:tc>
        <w:tc>
          <w:tcPr>
            <w:tcW w:w="856" w:type="pct"/>
            <w:tcBorders>
              <w:top w:val="nil"/>
              <w:left w:val="nil"/>
              <w:bottom w:val="nil"/>
              <w:right w:val="nil"/>
            </w:tcBorders>
          </w:tcPr>
          <w:p w14:paraId="6554035D" w14:textId="74EA7140" w:rsidR="0008549D" w:rsidRPr="00052572" w:rsidRDefault="0008549D" w:rsidP="00052572">
            <w:pPr>
              <w:pStyle w:val="Bodytext"/>
              <w:keepNext/>
              <w:spacing w:after="60"/>
              <w:jc w:val="right"/>
              <w:rPr>
                <w:rFonts w:cs="Arial"/>
                <w:color w:val="A6A6A6"/>
                <w:szCs w:val="22"/>
              </w:rPr>
            </w:pPr>
            <w:r w:rsidRPr="00052572">
              <w:rPr>
                <w:rFonts w:cs="Arial"/>
                <w:color w:val="A6A6A6"/>
                <w:szCs w:val="22"/>
              </w:rPr>
              <w:t>1,406</w:t>
            </w:r>
          </w:p>
        </w:tc>
        <w:tc>
          <w:tcPr>
            <w:tcW w:w="768" w:type="pct"/>
            <w:tcBorders>
              <w:top w:val="nil"/>
              <w:left w:val="nil"/>
              <w:bottom w:val="nil"/>
              <w:right w:val="nil"/>
            </w:tcBorders>
            <w:shd w:val="clear" w:color="auto" w:fill="auto"/>
          </w:tcPr>
          <w:p w14:paraId="631203FD" w14:textId="7866264D" w:rsidR="0008549D" w:rsidRPr="00052572" w:rsidRDefault="0008549D" w:rsidP="00052572">
            <w:pPr>
              <w:pStyle w:val="Bodytext"/>
              <w:keepNext/>
              <w:spacing w:after="60"/>
              <w:jc w:val="right"/>
              <w:rPr>
                <w:rFonts w:cs="Arial"/>
                <w:color w:val="A6A6A6"/>
                <w:szCs w:val="22"/>
              </w:rPr>
            </w:pPr>
            <w:r w:rsidRPr="00052572">
              <w:rPr>
                <w:rFonts w:cs="Arial"/>
                <w:color w:val="A6A6A6"/>
                <w:szCs w:val="22"/>
              </w:rPr>
              <w:t>1,873</w:t>
            </w:r>
          </w:p>
        </w:tc>
      </w:tr>
      <w:tr w:rsidR="0008549D" w:rsidRPr="006644A8" w14:paraId="007920A6" w14:textId="77777777" w:rsidTr="000F6C2D">
        <w:tblPrEx>
          <w:tblLook w:val="01E0" w:firstRow="1" w:lastRow="1" w:firstColumn="1" w:lastColumn="1" w:noHBand="0" w:noVBand="0"/>
        </w:tblPrEx>
        <w:tc>
          <w:tcPr>
            <w:tcW w:w="2629" w:type="pct"/>
            <w:tcBorders>
              <w:top w:val="nil"/>
              <w:left w:val="nil"/>
              <w:bottom w:val="nil"/>
              <w:right w:val="nil"/>
            </w:tcBorders>
            <w:shd w:val="clear" w:color="auto" w:fill="auto"/>
          </w:tcPr>
          <w:p w14:paraId="5AE746E4" w14:textId="77777777" w:rsidR="0008549D" w:rsidRPr="006773BF" w:rsidRDefault="0008549D" w:rsidP="0008549D">
            <w:pPr>
              <w:pStyle w:val="Bodytext"/>
              <w:spacing w:after="60"/>
              <w:rPr>
                <w:color w:val="A6A6A6" w:themeColor="background1" w:themeShade="A6"/>
              </w:rPr>
            </w:pPr>
            <w:r w:rsidRPr="006773BF">
              <w:rPr>
                <w:color w:val="A6A6A6" w:themeColor="background1" w:themeShade="A6"/>
              </w:rPr>
              <w:t>Additional commitments made during the year</w:t>
            </w:r>
          </w:p>
        </w:tc>
        <w:tc>
          <w:tcPr>
            <w:tcW w:w="747" w:type="pct"/>
            <w:tcBorders>
              <w:top w:val="nil"/>
              <w:left w:val="nil"/>
              <w:bottom w:val="nil"/>
              <w:right w:val="nil"/>
            </w:tcBorders>
          </w:tcPr>
          <w:p w14:paraId="75977E6E" w14:textId="6E688CD5" w:rsidR="0008549D" w:rsidRPr="00052572" w:rsidRDefault="0008549D" w:rsidP="00052572">
            <w:pPr>
              <w:pStyle w:val="Bodytext"/>
              <w:keepNext/>
              <w:spacing w:after="60"/>
              <w:jc w:val="right"/>
              <w:rPr>
                <w:rFonts w:cs="Arial"/>
                <w:color w:val="A6A6A6"/>
                <w:szCs w:val="22"/>
              </w:rPr>
            </w:pPr>
            <w:r w:rsidRPr="00052572">
              <w:rPr>
                <w:rFonts w:cs="Arial"/>
                <w:color w:val="A6A6A6"/>
                <w:szCs w:val="22"/>
              </w:rPr>
              <w:t>1,</w:t>
            </w:r>
            <w:r w:rsidR="00DF7035" w:rsidRPr="00052572">
              <w:rPr>
                <w:rFonts w:cs="Arial"/>
                <w:color w:val="A6A6A6"/>
                <w:szCs w:val="22"/>
              </w:rPr>
              <w:t>9</w:t>
            </w:r>
            <w:r w:rsidR="00DF7035">
              <w:rPr>
                <w:rFonts w:cs="Arial"/>
                <w:color w:val="A6A6A6"/>
                <w:szCs w:val="22"/>
              </w:rPr>
              <w:t>26</w:t>
            </w:r>
          </w:p>
        </w:tc>
        <w:tc>
          <w:tcPr>
            <w:tcW w:w="856" w:type="pct"/>
            <w:tcBorders>
              <w:top w:val="nil"/>
              <w:left w:val="nil"/>
              <w:bottom w:val="nil"/>
              <w:right w:val="nil"/>
            </w:tcBorders>
          </w:tcPr>
          <w:p w14:paraId="4FDA277D" w14:textId="20E1EE26" w:rsidR="0008549D" w:rsidRPr="00052572" w:rsidRDefault="0008549D" w:rsidP="00052572">
            <w:pPr>
              <w:pStyle w:val="Bodytext"/>
              <w:keepNext/>
              <w:spacing w:after="60"/>
              <w:jc w:val="right"/>
              <w:rPr>
                <w:rFonts w:cs="Arial"/>
                <w:color w:val="A6A6A6"/>
                <w:szCs w:val="22"/>
              </w:rPr>
            </w:pPr>
            <w:r w:rsidRPr="00052572">
              <w:rPr>
                <w:rFonts w:cs="Arial"/>
                <w:color w:val="A6A6A6"/>
                <w:szCs w:val="22"/>
              </w:rPr>
              <w:t>1</w:t>
            </w:r>
            <w:r w:rsidR="00530947">
              <w:rPr>
                <w:rFonts w:cs="Arial"/>
                <w:color w:val="A6A6A6"/>
                <w:szCs w:val="22"/>
              </w:rPr>
              <w:t>,</w:t>
            </w:r>
            <w:r w:rsidRPr="00052572">
              <w:rPr>
                <w:rFonts w:cs="Arial"/>
                <w:color w:val="A6A6A6"/>
                <w:szCs w:val="22"/>
              </w:rPr>
              <w:t>877</w:t>
            </w:r>
          </w:p>
        </w:tc>
        <w:tc>
          <w:tcPr>
            <w:tcW w:w="768" w:type="pct"/>
            <w:tcBorders>
              <w:top w:val="nil"/>
              <w:left w:val="nil"/>
              <w:bottom w:val="nil"/>
              <w:right w:val="nil"/>
            </w:tcBorders>
            <w:shd w:val="clear" w:color="auto" w:fill="auto"/>
          </w:tcPr>
          <w:p w14:paraId="7F29C50B" w14:textId="47F435C6" w:rsidR="0008549D" w:rsidRPr="00052572" w:rsidRDefault="0008549D" w:rsidP="00052572">
            <w:pPr>
              <w:pStyle w:val="Bodytext"/>
              <w:keepNext/>
              <w:spacing w:after="60"/>
              <w:jc w:val="right"/>
              <w:rPr>
                <w:rFonts w:cs="Arial"/>
                <w:color w:val="A6A6A6"/>
                <w:szCs w:val="22"/>
              </w:rPr>
            </w:pPr>
            <w:r w:rsidRPr="00052572">
              <w:rPr>
                <w:rFonts w:cs="Arial"/>
                <w:color w:val="A6A6A6"/>
                <w:szCs w:val="22"/>
              </w:rPr>
              <w:t>3,</w:t>
            </w:r>
            <w:r w:rsidR="00533B20" w:rsidRPr="00052572">
              <w:rPr>
                <w:rFonts w:cs="Arial"/>
                <w:color w:val="A6A6A6"/>
                <w:szCs w:val="22"/>
              </w:rPr>
              <w:t>8</w:t>
            </w:r>
            <w:r w:rsidR="00533B20">
              <w:rPr>
                <w:rFonts w:cs="Arial"/>
                <w:color w:val="A6A6A6"/>
                <w:szCs w:val="22"/>
              </w:rPr>
              <w:t>03</w:t>
            </w:r>
          </w:p>
        </w:tc>
      </w:tr>
      <w:tr w:rsidR="0008549D" w:rsidRPr="006644A8" w14:paraId="1EE1D065" w14:textId="77777777" w:rsidTr="000F6C2D">
        <w:tblPrEx>
          <w:tblLook w:val="01E0" w:firstRow="1" w:lastRow="1" w:firstColumn="1" w:lastColumn="1" w:noHBand="0" w:noVBand="0"/>
        </w:tblPrEx>
        <w:tc>
          <w:tcPr>
            <w:tcW w:w="2629" w:type="pct"/>
            <w:tcBorders>
              <w:top w:val="nil"/>
              <w:left w:val="nil"/>
              <w:bottom w:val="nil"/>
              <w:right w:val="nil"/>
            </w:tcBorders>
            <w:shd w:val="clear" w:color="auto" w:fill="auto"/>
          </w:tcPr>
          <w:p w14:paraId="41E63847" w14:textId="77777777" w:rsidR="0008549D" w:rsidRPr="006773BF" w:rsidRDefault="0008549D" w:rsidP="0008549D">
            <w:pPr>
              <w:pStyle w:val="Bodytext"/>
              <w:spacing w:after="60"/>
              <w:rPr>
                <w:color w:val="A6A6A6" w:themeColor="background1" w:themeShade="A6"/>
              </w:rPr>
            </w:pPr>
            <w:r w:rsidRPr="006773BF">
              <w:rPr>
                <w:color w:val="A6A6A6" w:themeColor="background1" w:themeShade="A6"/>
              </w:rPr>
              <w:t xml:space="preserve">Movement from </w:t>
            </w:r>
            <w:r>
              <w:rPr>
                <w:color w:val="A6A6A6" w:themeColor="background1" w:themeShade="A6"/>
              </w:rPr>
              <w:t>non-</w:t>
            </w:r>
            <w:r w:rsidRPr="006773BF">
              <w:rPr>
                <w:color w:val="A6A6A6" w:themeColor="background1" w:themeShade="A6"/>
              </w:rPr>
              <w:t>current to current</w:t>
            </w:r>
          </w:p>
        </w:tc>
        <w:tc>
          <w:tcPr>
            <w:tcW w:w="747" w:type="pct"/>
            <w:tcBorders>
              <w:top w:val="nil"/>
              <w:left w:val="nil"/>
              <w:bottom w:val="nil"/>
              <w:right w:val="nil"/>
            </w:tcBorders>
          </w:tcPr>
          <w:p w14:paraId="3809C992" w14:textId="2EC4D38C" w:rsidR="0008549D" w:rsidRPr="00052572" w:rsidRDefault="0008549D" w:rsidP="00052572">
            <w:pPr>
              <w:pStyle w:val="Bodytext"/>
              <w:keepNext/>
              <w:spacing w:after="60"/>
              <w:jc w:val="right"/>
              <w:rPr>
                <w:rFonts w:cs="Arial"/>
                <w:color w:val="A6A6A6"/>
                <w:szCs w:val="22"/>
              </w:rPr>
            </w:pPr>
            <w:r w:rsidRPr="00052572">
              <w:rPr>
                <w:rFonts w:cs="Arial"/>
                <w:color w:val="A6A6A6"/>
                <w:szCs w:val="22"/>
              </w:rPr>
              <w:t>393</w:t>
            </w:r>
          </w:p>
        </w:tc>
        <w:tc>
          <w:tcPr>
            <w:tcW w:w="856" w:type="pct"/>
            <w:tcBorders>
              <w:top w:val="nil"/>
              <w:left w:val="nil"/>
              <w:bottom w:val="nil"/>
              <w:right w:val="nil"/>
            </w:tcBorders>
          </w:tcPr>
          <w:p w14:paraId="6A86B9CE" w14:textId="0C9DF204" w:rsidR="0008549D" w:rsidRPr="00052572" w:rsidRDefault="0008549D" w:rsidP="00052572">
            <w:pPr>
              <w:pStyle w:val="Bodytext"/>
              <w:keepNext/>
              <w:spacing w:after="60"/>
              <w:jc w:val="right"/>
              <w:rPr>
                <w:rFonts w:cs="Arial"/>
                <w:color w:val="A6A6A6"/>
                <w:szCs w:val="22"/>
              </w:rPr>
            </w:pPr>
            <w:r w:rsidRPr="00052572">
              <w:rPr>
                <w:rFonts w:cs="Arial"/>
                <w:color w:val="A6A6A6"/>
                <w:szCs w:val="22"/>
              </w:rPr>
              <w:t>-393</w:t>
            </w:r>
          </w:p>
        </w:tc>
        <w:tc>
          <w:tcPr>
            <w:tcW w:w="768" w:type="pct"/>
            <w:tcBorders>
              <w:top w:val="nil"/>
              <w:left w:val="nil"/>
              <w:bottom w:val="nil"/>
              <w:right w:val="nil"/>
            </w:tcBorders>
            <w:shd w:val="clear" w:color="auto" w:fill="auto"/>
          </w:tcPr>
          <w:p w14:paraId="4D9316E3" w14:textId="34B0189E" w:rsidR="0008549D" w:rsidRPr="00052572" w:rsidRDefault="0008549D" w:rsidP="00052572">
            <w:pPr>
              <w:pStyle w:val="Bodytext"/>
              <w:keepNext/>
              <w:spacing w:after="60"/>
              <w:jc w:val="right"/>
              <w:rPr>
                <w:rFonts w:cs="Arial"/>
                <w:color w:val="A6A6A6"/>
                <w:szCs w:val="22"/>
              </w:rPr>
            </w:pPr>
            <w:r w:rsidRPr="00052572">
              <w:rPr>
                <w:rFonts w:cs="Arial"/>
                <w:color w:val="A6A6A6"/>
                <w:szCs w:val="22"/>
              </w:rPr>
              <w:t>0</w:t>
            </w:r>
          </w:p>
        </w:tc>
      </w:tr>
      <w:tr w:rsidR="0008549D" w:rsidRPr="006644A8" w14:paraId="65BEA317" w14:textId="77777777" w:rsidTr="000F6C2D">
        <w:tblPrEx>
          <w:tblLook w:val="01E0" w:firstRow="1" w:lastRow="1" w:firstColumn="1" w:lastColumn="1" w:noHBand="0" w:noVBand="0"/>
        </w:tblPrEx>
        <w:tc>
          <w:tcPr>
            <w:tcW w:w="2629" w:type="pct"/>
            <w:tcBorders>
              <w:top w:val="nil"/>
              <w:left w:val="nil"/>
              <w:bottom w:val="nil"/>
              <w:right w:val="nil"/>
            </w:tcBorders>
            <w:shd w:val="clear" w:color="auto" w:fill="auto"/>
          </w:tcPr>
          <w:p w14:paraId="58046292" w14:textId="77777777" w:rsidR="0008549D" w:rsidRPr="006773BF" w:rsidRDefault="0008549D" w:rsidP="0008549D">
            <w:pPr>
              <w:pStyle w:val="Bodytext"/>
              <w:spacing w:after="60"/>
              <w:rPr>
                <w:color w:val="A6A6A6" w:themeColor="background1" w:themeShade="A6"/>
              </w:rPr>
            </w:pPr>
            <w:r w:rsidRPr="006773BF">
              <w:rPr>
                <w:color w:val="A6A6A6" w:themeColor="background1" w:themeShade="A6"/>
              </w:rPr>
              <w:t>Amounts paid during the year</w:t>
            </w:r>
          </w:p>
        </w:tc>
        <w:tc>
          <w:tcPr>
            <w:tcW w:w="747" w:type="pct"/>
            <w:tcBorders>
              <w:top w:val="nil"/>
              <w:left w:val="nil"/>
              <w:bottom w:val="single" w:sz="4" w:space="0" w:color="auto"/>
              <w:right w:val="nil"/>
            </w:tcBorders>
          </w:tcPr>
          <w:p w14:paraId="3B465780" w14:textId="43747720" w:rsidR="0008549D" w:rsidRPr="00052572" w:rsidRDefault="0008549D" w:rsidP="00052572">
            <w:pPr>
              <w:pStyle w:val="Bodytext"/>
              <w:keepNext/>
              <w:spacing w:after="60"/>
              <w:jc w:val="right"/>
              <w:rPr>
                <w:rFonts w:cs="Arial"/>
                <w:color w:val="A6A6A6"/>
                <w:szCs w:val="22"/>
              </w:rPr>
            </w:pPr>
            <w:r w:rsidRPr="00052572">
              <w:rPr>
                <w:rFonts w:cs="Arial"/>
                <w:color w:val="A6A6A6"/>
                <w:szCs w:val="22"/>
              </w:rPr>
              <w:t>-2,2</w:t>
            </w:r>
            <w:r w:rsidR="00901A83">
              <w:rPr>
                <w:rFonts w:cs="Arial"/>
                <w:color w:val="A6A6A6"/>
                <w:szCs w:val="22"/>
              </w:rPr>
              <w:t>23</w:t>
            </w:r>
          </w:p>
        </w:tc>
        <w:tc>
          <w:tcPr>
            <w:tcW w:w="856" w:type="pct"/>
            <w:tcBorders>
              <w:top w:val="nil"/>
              <w:left w:val="nil"/>
              <w:bottom w:val="single" w:sz="4" w:space="0" w:color="auto"/>
              <w:right w:val="nil"/>
            </w:tcBorders>
          </w:tcPr>
          <w:p w14:paraId="1497A8E3" w14:textId="7AEB8F44" w:rsidR="0008549D" w:rsidRPr="00052572" w:rsidRDefault="0008549D" w:rsidP="00052572">
            <w:pPr>
              <w:pStyle w:val="Bodytext"/>
              <w:keepNext/>
              <w:spacing w:after="60"/>
              <w:jc w:val="right"/>
              <w:rPr>
                <w:rFonts w:cs="Arial"/>
                <w:color w:val="A6A6A6"/>
                <w:szCs w:val="22"/>
              </w:rPr>
            </w:pPr>
            <w:r w:rsidRPr="00052572">
              <w:rPr>
                <w:rFonts w:cs="Arial"/>
                <w:color w:val="A6A6A6"/>
                <w:szCs w:val="22"/>
              </w:rPr>
              <w:t>-1,814</w:t>
            </w:r>
          </w:p>
        </w:tc>
        <w:tc>
          <w:tcPr>
            <w:tcW w:w="768" w:type="pct"/>
            <w:tcBorders>
              <w:top w:val="nil"/>
              <w:left w:val="nil"/>
              <w:bottom w:val="single" w:sz="4" w:space="0" w:color="auto"/>
              <w:right w:val="nil"/>
            </w:tcBorders>
            <w:shd w:val="clear" w:color="auto" w:fill="auto"/>
          </w:tcPr>
          <w:p w14:paraId="1936C8B6" w14:textId="710187A7" w:rsidR="0008549D" w:rsidRPr="00052572" w:rsidRDefault="0008549D" w:rsidP="00052572">
            <w:pPr>
              <w:pStyle w:val="Bodytext"/>
              <w:keepNext/>
              <w:spacing w:after="60"/>
              <w:jc w:val="right"/>
              <w:rPr>
                <w:rFonts w:cs="Arial"/>
                <w:color w:val="A6A6A6"/>
                <w:szCs w:val="22"/>
              </w:rPr>
            </w:pPr>
            <w:r w:rsidRPr="00052572">
              <w:rPr>
                <w:rFonts w:cs="Arial"/>
                <w:color w:val="A6A6A6"/>
                <w:szCs w:val="22"/>
              </w:rPr>
              <w:t>-4,</w:t>
            </w:r>
            <w:r w:rsidR="00901A83" w:rsidRPr="00052572">
              <w:rPr>
                <w:rFonts w:cs="Arial"/>
                <w:color w:val="A6A6A6"/>
                <w:szCs w:val="22"/>
              </w:rPr>
              <w:t>0</w:t>
            </w:r>
            <w:r w:rsidR="00901A83">
              <w:rPr>
                <w:rFonts w:cs="Arial"/>
                <w:color w:val="A6A6A6"/>
                <w:szCs w:val="22"/>
              </w:rPr>
              <w:t>37</w:t>
            </w:r>
            <w:r w:rsidR="00901A83" w:rsidRPr="00052572">
              <w:rPr>
                <w:rFonts w:cs="Arial"/>
                <w:color w:val="A6A6A6"/>
                <w:szCs w:val="22"/>
              </w:rPr>
              <w:t xml:space="preserve"> </w:t>
            </w:r>
          </w:p>
        </w:tc>
      </w:tr>
      <w:tr w:rsidR="0008549D" w:rsidRPr="006644A8" w14:paraId="22D068DB" w14:textId="77777777" w:rsidTr="000F6C2D">
        <w:tblPrEx>
          <w:tblLook w:val="01E0" w:firstRow="1" w:lastRow="1" w:firstColumn="1" w:lastColumn="1" w:noHBand="0" w:noVBand="0"/>
        </w:tblPrEx>
        <w:tc>
          <w:tcPr>
            <w:tcW w:w="2629" w:type="pct"/>
            <w:tcBorders>
              <w:top w:val="nil"/>
              <w:left w:val="nil"/>
              <w:bottom w:val="nil"/>
              <w:right w:val="nil"/>
            </w:tcBorders>
            <w:shd w:val="clear" w:color="auto" w:fill="auto"/>
          </w:tcPr>
          <w:p w14:paraId="5D83934D" w14:textId="2455F471" w:rsidR="0008549D" w:rsidRPr="006773BF" w:rsidRDefault="0008549D" w:rsidP="0008549D">
            <w:pPr>
              <w:pStyle w:val="Bodytext"/>
              <w:spacing w:after="60"/>
              <w:rPr>
                <w:color w:val="A6A6A6" w:themeColor="background1" w:themeShade="A6"/>
              </w:rPr>
            </w:pPr>
            <w:r w:rsidRPr="00D408DC">
              <w:rPr>
                <w:b/>
                <w:bCs/>
                <w:color w:val="A6A6A6" w:themeColor="background1" w:themeShade="A6"/>
              </w:rPr>
              <w:t xml:space="preserve">Closing balance at </w:t>
            </w:r>
            <w:r>
              <w:rPr>
                <w:b/>
                <w:bCs/>
                <w:color w:val="A6A6A6" w:themeColor="background1" w:themeShade="A6"/>
              </w:rPr>
              <w:t>31 March 202</w:t>
            </w:r>
            <w:r w:rsidR="00306CEE">
              <w:rPr>
                <w:b/>
                <w:bCs/>
                <w:color w:val="A6A6A6" w:themeColor="background1" w:themeShade="A6"/>
              </w:rPr>
              <w:t>3</w:t>
            </w:r>
            <w:r>
              <w:rPr>
                <w:b/>
                <w:bCs/>
                <w:color w:val="A6A6A6" w:themeColor="background1" w:themeShade="A6"/>
              </w:rPr>
              <w:t xml:space="preserve"> </w:t>
            </w:r>
            <w:r w:rsidRPr="006773BF">
              <w:rPr>
                <w:color w:val="A6A6A6" w:themeColor="background1" w:themeShade="A6"/>
              </w:rPr>
              <w:t>(see note 19)</w:t>
            </w:r>
          </w:p>
        </w:tc>
        <w:tc>
          <w:tcPr>
            <w:tcW w:w="747" w:type="pct"/>
            <w:tcBorders>
              <w:top w:val="single" w:sz="4" w:space="0" w:color="auto"/>
              <w:left w:val="nil"/>
              <w:bottom w:val="double" w:sz="4" w:space="0" w:color="auto"/>
              <w:right w:val="nil"/>
            </w:tcBorders>
          </w:tcPr>
          <w:p w14:paraId="1BB6EB09" w14:textId="499E73DE" w:rsidR="0008549D" w:rsidRPr="00052572" w:rsidRDefault="0008549D" w:rsidP="00052572">
            <w:pPr>
              <w:pStyle w:val="Bodytext"/>
              <w:keepNext/>
              <w:spacing w:after="60"/>
              <w:jc w:val="right"/>
              <w:rPr>
                <w:rFonts w:cs="Arial"/>
                <w:color w:val="A6A6A6"/>
                <w:szCs w:val="22"/>
              </w:rPr>
            </w:pPr>
            <w:r w:rsidRPr="00052572">
              <w:rPr>
                <w:rFonts w:cs="Arial"/>
                <w:color w:val="A6A6A6"/>
                <w:szCs w:val="22"/>
              </w:rPr>
              <w:t>563</w:t>
            </w:r>
          </w:p>
        </w:tc>
        <w:tc>
          <w:tcPr>
            <w:tcW w:w="856" w:type="pct"/>
            <w:tcBorders>
              <w:top w:val="single" w:sz="4" w:space="0" w:color="auto"/>
              <w:left w:val="nil"/>
              <w:bottom w:val="double" w:sz="4" w:space="0" w:color="auto"/>
              <w:right w:val="nil"/>
            </w:tcBorders>
          </w:tcPr>
          <w:p w14:paraId="536367A0" w14:textId="5ECFF55F" w:rsidR="0008549D" w:rsidRPr="00052572" w:rsidRDefault="0008549D" w:rsidP="00052572">
            <w:pPr>
              <w:pStyle w:val="Bodytext"/>
              <w:keepNext/>
              <w:spacing w:after="60"/>
              <w:jc w:val="right"/>
              <w:rPr>
                <w:rFonts w:cs="Arial"/>
                <w:color w:val="A6A6A6"/>
                <w:szCs w:val="22"/>
              </w:rPr>
            </w:pPr>
            <w:r w:rsidRPr="00052572">
              <w:rPr>
                <w:rFonts w:cs="Arial"/>
                <w:color w:val="A6A6A6"/>
                <w:szCs w:val="22"/>
              </w:rPr>
              <w:t>1,076</w:t>
            </w:r>
          </w:p>
        </w:tc>
        <w:tc>
          <w:tcPr>
            <w:tcW w:w="768" w:type="pct"/>
            <w:tcBorders>
              <w:top w:val="single" w:sz="4" w:space="0" w:color="auto"/>
              <w:left w:val="nil"/>
              <w:bottom w:val="double" w:sz="4" w:space="0" w:color="auto"/>
              <w:right w:val="nil"/>
            </w:tcBorders>
            <w:shd w:val="clear" w:color="auto" w:fill="auto"/>
          </w:tcPr>
          <w:p w14:paraId="278B372C" w14:textId="6B05304D" w:rsidR="0008549D" w:rsidRPr="00052572" w:rsidRDefault="0008549D" w:rsidP="00052572">
            <w:pPr>
              <w:pStyle w:val="Bodytext"/>
              <w:keepNext/>
              <w:spacing w:after="60"/>
              <w:jc w:val="right"/>
              <w:rPr>
                <w:rFonts w:cs="Arial"/>
                <w:color w:val="A6A6A6"/>
                <w:szCs w:val="22"/>
              </w:rPr>
            </w:pPr>
            <w:r w:rsidRPr="00052572">
              <w:rPr>
                <w:rFonts w:cs="Arial"/>
                <w:color w:val="A6A6A6"/>
                <w:szCs w:val="22"/>
              </w:rPr>
              <w:t>1,639</w:t>
            </w:r>
          </w:p>
        </w:tc>
      </w:tr>
    </w:tbl>
    <w:p w14:paraId="3053532E" w14:textId="77777777" w:rsidR="00D9313C" w:rsidRPr="006644A8" w:rsidRDefault="00D9313C" w:rsidP="00D9313C">
      <w:pPr>
        <w:tabs>
          <w:tab w:val="left" w:pos="9072"/>
        </w:tabs>
        <w:ind w:right="249"/>
        <w:rPr>
          <w:rFonts w:asciiTheme="minorHAnsi" w:hAnsiTheme="minorHAnsi" w:cstheme="minorHAnsi"/>
          <w:szCs w:val="22"/>
          <w:highlight w:val="yellow"/>
        </w:rPr>
      </w:pPr>
    </w:p>
    <w:p w14:paraId="07AAD957" w14:textId="77777777" w:rsidR="00D9313C" w:rsidRDefault="00D9313C" w:rsidP="00D9313C">
      <w:pPr>
        <w:pStyle w:val="Bodytext"/>
        <w:sectPr w:rsidR="00D9313C" w:rsidSect="00237BC5">
          <w:type w:val="continuous"/>
          <w:pgSz w:w="16840" w:h="11900" w:orient="landscape"/>
          <w:pgMar w:top="1021" w:right="1701" w:bottom="1021" w:left="851" w:header="851" w:footer="851" w:gutter="0"/>
          <w:cols w:space="720"/>
          <w:titlePg/>
          <w:docGrid w:linePitch="360"/>
        </w:sectPr>
      </w:pPr>
    </w:p>
    <w:p w14:paraId="54D97567" w14:textId="5282590B" w:rsidR="00D9313C" w:rsidRPr="006644A8" w:rsidRDefault="00D9313C" w:rsidP="00D9313C">
      <w:pPr>
        <w:pStyle w:val="Bodytext"/>
      </w:pPr>
      <w:r w:rsidRPr="006644A8">
        <w:t xml:space="preserve">As described in notes </w:t>
      </w:r>
      <w:r>
        <w:t>10</w:t>
      </w:r>
      <w:r w:rsidRPr="006644A8">
        <w:t xml:space="preserve"> and</w:t>
      </w:r>
      <w:r>
        <w:t xml:space="preserve"> 11</w:t>
      </w:r>
      <w:r w:rsidRPr="006644A8">
        <w:t>, the charity awards a number of grants in the year.</w:t>
      </w:r>
      <w:r>
        <w:t xml:space="preserve"> </w:t>
      </w:r>
      <w:r w:rsidRPr="006644A8">
        <w:t>Many grants are awarded and paid out in the same financial year.</w:t>
      </w:r>
      <w:r>
        <w:t xml:space="preserve"> </w:t>
      </w:r>
      <w:r w:rsidRPr="006644A8">
        <w:t>However, some grants, especially those relating to research a</w:t>
      </w:r>
      <w:r>
        <w:t xml:space="preserve">nd development or for funding </w:t>
      </w:r>
      <w:r w:rsidRPr="006644A8">
        <w:t>specific posts are multi-year grants paid over a longer period.</w:t>
      </w:r>
      <w:r w:rsidR="00162A85">
        <w:t xml:space="preserve"> </w:t>
      </w:r>
      <w:r w:rsidRPr="006644A8">
        <w:t xml:space="preserve">As the charity has control over </w:t>
      </w:r>
      <w:r w:rsidRPr="006644A8">
        <w:t>the award and timing of grants there is little uncertainty around these payments.</w:t>
      </w:r>
    </w:p>
    <w:p w14:paraId="0BD70BBA" w14:textId="77777777" w:rsidR="00D9313C" w:rsidRDefault="00D9313C" w:rsidP="00D9313C">
      <w:pPr>
        <w:pStyle w:val="Heading3"/>
      </w:pPr>
      <w:bookmarkStart w:id="62" w:name="_Ref431896003"/>
    </w:p>
    <w:p w14:paraId="654F138F" w14:textId="77777777" w:rsidR="002669D5" w:rsidRDefault="002669D5" w:rsidP="002669D5"/>
    <w:p w14:paraId="3579CE4E" w14:textId="77777777" w:rsidR="002669D5" w:rsidRPr="002669D5" w:rsidRDefault="002669D5" w:rsidP="00C71C34">
      <w:pPr>
        <w:sectPr w:rsidR="002669D5" w:rsidRPr="002669D5" w:rsidSect="00237BC5">
          <w:type w:val="continuous"/>
          <w:pgSz w:w="16840" w:h="11900" w:orient="landscape"/>
          <w:pgMar w:top="1021" w:right="1701" w:bottom="1021" w:left="851" w:header="851" w:footer="851" w:gutter="0"/>
          <w:cols w:num="2" w:space="720"/>
          <w:titlePg/>
          <w:docGrid w:linePitch="360"/>
        </w:sectPr>
      </w:pPr>
    </w:p>
    <w:p w14:paraId="3A5D5729" w14:textId="77777777" w:rsidR="00621136" w:rsidRDefault="00621136" w:rsidP="00B95D8E">
      <w:pPr>
        <w:pStyle w:val="TableTitle"/>
      </w:pPr>
    </w:p>
    <w:p w14:paraId="1CEC50AB" w14:textId="1D9D65F6" w:rsidR="00D9313C" w:rsidRPr="006644A8" w:rsidRDefault="00D9313C" w:rsidP="00B95D8E">
      <w:pPr>
        <w:pStyle w:val="TableTitle"/>
      </w:pPr>
      <w:r>
        <w:lastRenderedPageBreak/>
        <w:t xml:space="preserve">12 </w:t>
      </w:r>
      <w:r w:rsidRPr="006644A8">
        <w:t>Allocation of support costs and overheads</w:t>
      </w:r>
      <w:bookmarkEnd w:id="6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8"/>
      </w:tblGrid>
      <w:tr w:rsidR="00D9313C" w:rsidRPr="006644A8" w14:paraId="48506A82" w14:textId="77777777" w:rsidTr="00EC1B15">
        <w:tc>
          <w:tcPr>
            <w:tcW w:w="5000" w:type="pct"/>
            <w:shd w:val="clear" w:color="auto" w:fill="auto"/>
          </w:tcPr>
          <w:p w14:paraId="25D6A142" w14:textId="77777777" w:rsidR="00D9313C" w:rsidRDefault="00D9313C" w:rsidP="00B95D8E">
            <w:pPr>
              <w:pStyle w:val="Bodytext"/>
            </w:pPr>
            <w:r w:rsidRPr="006644A8">
              <w:t xml:space="preserve">Paragraph 8.7 of the </w:t>
            </w:r>
            <w:r>
              <w:t>SORP FRS 102</w:t>
            </w:r>
            <w:r w:rsidRPr="006644A8">
              <w:t xml:space="preserve"> states that governance costs are a support costs which should be apportioned across the activities that the charity disclosed on the face of the </w:t>
            </w:r>
            <w:r w:rsidR="00A7642E">
              <w:t>s</w:t>
            </w:r>
            <w:r w:rsidRPr="006644A8">
              <w:t xml:space="preserve">tatement of </w:t>
            </w:r>
            <w:r w:rsidR="00A7642E">
              <w:t>f</w:t>
            </w:r>
            <w:r w:rsidRPr="006644A8">
              <w:t xml:space="preserve">inancial </w:t>
            </w:r>
            <w:r w:rsidR="00A7642E">
              <w:t>a</w:t>
            </w:r>
            <w:r w:rsidRPr="006644A8">
              <w:t>ctivities.</w:t>
            </w:r>
            <w:r>
              <w:t xml:space="preserve"> </w:t>
            </w:r>
            <w:r w:rsidRPr="006644A8">
              <w:t xml:space="preserve">The required disclosures are set out in paragraph 8.13 of the </w:t>
            </w:r>
            <w:r>
              <w:t>SORP FRS 102,</w:t>
            </w:r>
            <w:r w:rsidRPr="006644A8">
              <w:t xml:space="preserve"> and an example is provided in table 4 of chapter 8.</w:t>
            </w:r>
          </w:p>
          <w:p w14:paraId="0610A9D8" w14:textId="557A5999" w:rsidR="00C71C34" w:rsidRPr="00950A26" w:rsidRDefault="00C71C34" w:rsidP="00B95D8E">
            <w:pPr>
              <w:pStyle w:val="Bodytext"/>
              <w:rPr>
                <w:b/>
                <w:bCs/>
                <w:i/>
                <w:iCs/>
              </w:rPr>
            </w:pPr>
            <w:r w:rsidRPr="00A12F66">
              <w:rPr>
                <w:b/>
                <w:bCs/>
                <w:i/>
                <w:iCs/>
              </w:rPr>
              <w:t xml:space="preserve">The HFMA briefing </w:t>
            </w:r>
            <w:hyperlink r:id="rId32" w:history="1">
              <w:r w:rsidRPr="00A12F66">
                <w:rPr>
                  <w:b/>
                  <w:bCs/>
                  <w:i/>
                  <w:iCs/>
                </w:rPr>
                <w:t>NHS trust to NHS charity recharges</w:t>
              </w:r>
            </w:hyperlink>
            <w:r>
              <w:rPr>
                <w:rStyle w:val="FootnoteReference"/>
                <w:b/>
                <w:bCs/>
                <w:i/>
                <w:iCs/>
              </w:rPr>
              <w:footnoteReference w:id="28"/>
            </w:r>
            <w:r w:rsidRPr="00A12F66">
              <w:rPr>
                <w:b/>
                <w:bCs/>
                <w:i/>
                <w:iCs/>
              </w:rPr>
              <w:t xml:space="preserve"> outlines the legal position, identifies risks to be considered and outlines the decision making and governance processes the trustee must follow before spending resources from charitable funds on NHS staff, so provides further information for allocation rationale.</w:t>
            </w:r>
          </w:p>
        </w:tc>
      </w:tr>
    </w:tbl>
    <w:p w14:paraId="5012C90E" w14:textId="77777777" w:rsidR="00D9313C" w:rsidRPr="006644A8" w:rsidRDefault="00D9313C" w:rsidP="00D9313C">
      <w:pPr>
        <w:tabs>
          <w:tab w:val="left" w:pos="9072"/>
        </w:tabs>
        <w:ind w:right="249"/>
        <w:rPr>
          <w:rFonts w:asciiTheme="minorHAnsi" w:hAnsiTheme="minorHAnsi" w:cstheme="minorHAnsi"/>
          <w:szCs w:val="22"/>
        </w:rPr>
      </w:pPr>
    </w:p>
    <w:p w14:paraId="7BB7F107" w14:textId="77777777" w:rsidR="00D9313C" w:rsidRDefault="00D9313C" w:rsidP="00D9313C">
      <w:pPr>
        <w:pStyle w:val="Bodytext"/>
        <w:sectPr w:rsidR="00D9313C" w:rsidSect="00237BC5">
          <w:type w:val="continuous"/>
          <w:pgSz w:w="16840" w:h="11900" w:orient="landscape"/>
          <w:pgMar w:top="1021" w:right="1701" w:bottom="1021" w:left="851" w:header="851" w:footer="851" w:gutter="0"/>
          <w:cols w:space="720"/>
          <w:titlePg/>
          <w:docGrid w:linePitch="360"/>
        </w:sectPr>
      </w:pPr>
    </w:p>
    <w:p w14:paraId="5AA69CAB" w14:textId="5C52A0D1" w:rsidR="00D9313C" w:rsidRPr="00022450" w:rsidRDefault="00D9313C" w:rsidP="00D9313C">
      <w:pPr>
        <w:pStyle w:val="Bodytext"/>
        <w:rPr>
          <w:b/>
          <w:bCs/>
          <w:i/>
          <w:iCs/>
        </w:rPr>
      </w:pPr>
      <w:r w:rsidRPr="006644A8">
        <w:t>Support and overhead costs are allocated between fundraising activities and charitable activities.</w:t>
      </w:r>
      <w:r>
        <w:t xml:space="preserve"> </w:t>
      </w:r>
    </w:p>
    <w:p w14:paraId="44D5212A" w14:textId="77777777" w:rsidR="00D9313C" w:rsidRDefault="00D9313C" w:rsidP="00D9313C">
      <w:pPr>
        <w:pStyle w:val="Bodytext"/>
      </w:pPr>
      <w:r w:rsidRPr="006644A8">
        <w:t>The bases of allocation used are as follows:</w:t>
      </w:r>
      <w:r w:rsidRPr="006644A8" w:rsidDel="00EA690D">
        <w:t xml:space="preserve"> </w:t>
      </w:r>
    </w:p>
    <w:p w14:paraId="3F662851" w14:textId="77777777" w:rsidR="00D9313C" w:rsidRPr="00B95D8E" w:rsidRDefault="00D9313C" w:rsidP="00B95D8E">
      <w:pPr>
        <w:pStyle w:val="Bullet"/>
      </w:pPr>
      <w:r w:rsidRPr="00B95D8E">
        <w:t>time: based the charity’s two staff members’ timesheets</w:t>
      </w:r>
    </w:p>
    <w:p w14:paraId="4D258005" w14:textId="77777777" w:rsidR="00D9313C" w:rsidRPr="00B95D8E" w:rsidRDefault="00D9313C" w:rsidP="00B95D8E">
      <w:pPr>
        <w:pStyle w:val="Bullet"/>
      </w:pPr>
      <w:r w:rsidRPr="00B95D8E">
        <w:t xml:space="preserve">direct allocation: where a cost is wholly attributable to a particular activity. </w:t>
      </w:r>
    </w:p>
    <w:p w14:paraId="6F33522D" w14:textId="77777777" w:rsidR="001F3BDE" w:rsidRDefault="001F3BDE" w:rsidP="00B95D8E">
      <w:pPr>
        <w:pStyle w:val="Bullet"/>
        <w:sectPr w:rsidR="001F3BDE" w:rsidSect="00237BC5">
          <w:type w:val="continuous"/>
          <w:pgSz w:w="16840" w:h="11900" w:orient="landscape"/>
          <w:pgMar w:top="1021" w:right="1701" w:bottom="1021" w:left="851" w:header="851" w:footer="851" w:gutter="0"/>
          <w:cols w:space="720"/>
          <w:titlePg/>
          <w:docGrid w:linePitch="360"/>
        </w:sectPr>
      </w:pPr>
    </w:p>
    <w:p w14:paraId="32AD1C6E" w14:textId="696F5596" w:rsidR="00D9313C" w:rsidRPr="00B95D8E" w:rsidRDefault="00D9313C" w:rsidP="00B95D8E">
      <w:pPr>
        <w:pStyle w:val="Bullet"/>
      </w:pPr>
      <w:r w:rsidRPr="00B95D8E">
        <w:t>expenditure: this is a proportion based on the fund balance at the start of the year. This is used where the trustee considers this is a more equitable treatment to avoid disadvantaging funds with high volume, low value transactions.</w:t>
      </w:r>
    </w:p>
    <w:p w14:paraId="36286EEB" w14:textId="043477C8" w:rsidR="00D9313C" w:rsidRDefault="00D9313C" w:rsidP="00B95D8E">
      <w:pPr>
        <w:pStyle w:val="Bullet"/>
      </w:pPr>
      <w:r w:rsidRPr="00B95D8E">
        <w:t>salaries: this is proportionate to staff salaries where costs are relate</w:t>
      </w:r>
      <w:r w:rsidRPr="006644A8">
        <w:t>d to the employed staff.</w:t>
      </w:r>
    </w:p>
    <w:p w14:paraId="6BE3E4D8" w14:textId="77777777" w:rsidR="00DE4BC1" w:rsidRPr="006644A8" w:rsidRDefault="00DE4BC1" w:rsidP="000F6C2D">
      <w:pPr>
        <w:pStyle w:val="Bullet"/>
        <w:numPr>
          <w:ilvl w:val="0"/>
          <w:numId w:val="0"/>
        </w:numPr>
        <w:ind w:left="357" w:hanging="357"/>
      </w:pPr>
    </w:p>
    <w:p w14:paraId="10C85DF1" w14:textId="77777777" w:rsidR="007360F1" w:rsidRDefault="007360F1" w:rsidP="00FA08D2">
      <w:pPr>
        <w:pStyle w:val="Bodytext"/>
        <w:spacing w:after="60"/>
        <w:rPr>
          <w:rFonts w:asciiTheme="minorHAnsi" w:hAnsiTheme="minorHAnsi" w:cstheme="minorHAnsi"/>
          <w:szCs w:val="22"/>
        </w:rPr>
        <w:sectPr w:rsidR="007360F1" w:rsidSect="00237BC5">
          <w:type w:val="continuous"/>
          <w:pgSz w:w="16840" w:h="11900" w:orient="landscape"/>
          <w:pgMar w:top="1021" w:right="1701" w:bottom="1021" w:left="851" w:header="851" w:footer="851" w:gutter="0"/>
          <w:cols w:num="2" w:space="720"/>
          <w:titlePg/>
          <w:docGrid w:linePitch="360"/>
        </w:sectPr>
      </w:pPr>
    </w:p>
    <w:p w14:paraId="2418C303" w14:textId="0474D2D1" w:rsidR="00FA08D2" w:rsidRDefault="00FA08D2" w:rsidP="00FA08D2">
      <w:pPr>
        <w:pStyle w:val="Bodytext"/>
        <w:spacing w:after="60"/>
        <w:rPr>
          <w:rFonts w:asciiTheme="minorHAnsi" w:hAnsiTheme="minorHAnsi" w:cstheme="minorHAnsi"/>
          <w:szCs w:val="22"/>
        </w:rPr>
        <w:sectPr w:rsidR="00FA08D2" w:rsidSect="00237BC5">
          <w:pgSz w:w="16840" w:h="11900" w:orient="landscape"/>
          <w:pgMar w:top="1021" w:right="1701" w:bottom="1021" w:left="851" w:header="851" w:footer="851" w:gutter="0"/>
          <w:cols w:num="2" w:space="720"/>
          <w:titlePg/>
          <w:docGrid w:linePitch="360"/>
        </w:sectPr>
      </w:pPr>
    </w:p>
    <w:tbl>
      <w:tblPr>
        <w:tblW w:w="5000" w:type="pct"/>
        <w:tblLayout w:type="fixed"/>
        <w:tblLook w:val="0000" w:firstRow="0" w:lastRow="0" w:firstColumn="0" w:lastColumn="0" w:noHBand="0" w:noVBand="0"/>
      </w:tblPr>
      <w:tblGrid>
        <w:gridCol w:w="2694"/>
        <w:gridCol w:w="23"/>
        <w:gridCol w:w="1395"/>
        <w:gridCol w:w="57"/>
        <w:gridCol w:w="1452"/>
        <w:gridCol w:w="49"/>
        <w:gridCol w:w="1420"/>
        <w:gridCol w:w="11"/>
        <w:gridCol w:w="1546"/>
        <w:gridCol w:w="14"/>
        <w:gridCol w:w="1403"/>
        <w:gridCol w:w="49"/>
        <w:gridCol w:w="1512"/>
        <w:gridCol w:w="2663"/>
      </w:tblGrid>
      <w:tr w:rsidR="00D9313C" w:rsidRPr="006644A8" w14:paraId="23689D58" w14:textId="77777777" w:rsidTr="003A1E46">
        <w:trPr>
          <w:trHeight w:val="264"/>
        </w:trPr>
        <w:tc>
          <w:tcPr>
            <w:tcW w:w="951" w:type="pct"/>
            <w:gridSpan w:val="2"/>
            <w:shd w:val="clear" w:color="auto" w:fill="auto"/>
            <w:noWrap/>
            <w:vAlign w:val="center"/>
          </w:tcPr>
          <w:p w14:paraId="0F199363" w14:textId="77777777" w:rsidR="00D9313C" w:rsidRPr="006644A8" w:rsidRDefault="00D9313C" w:rsidP="003A1E46">
            <w:pPr>
              <w:pStyle w:val="Bodytext"/>
              <w:spacing w:after="60"/>
            </w:pPr>
            <w:bookmarkStart w:id="63" w:name="OLE_LINK1"/>
          </w:p>
        </w:tc>
        <w:tc>
          <w:tcPr>
            <w:tcW w:w="1016" w:type="pct"/>
            <w:gridSpan w:val="3"/>
            <w:vAlign w:val="center"/>
          </w:tcPr>
          <w:p w14:paraId="6337F981" w14:textId="77777777" w:rsidR="00D9313C" w:rsidRPr="00FF7ADC" w:rsidRDefault="00D9313C" w:rsidP="003A1E46">
            <w:pPr>
              <w:pStyle w:val="Bodytext"/>
              <w:spacing w:after="60"/>
              <w:jc w:val="center"/>
              <w:rPr>
                <w:b/>
              </w:rPr>
            </w:pPr>
            <w:r w:rsidRPr="00FF7ADC">
              <w:rPr>
                <w:b/>
              </w:rPr>
              <w:t>Raising funds</w:t>
            </w:r>
          </w:p>
        </w:tc>
        <w:tc>
          <w:tcPr>
            <w:tcW w:w="1064" w:type="pct"/>
            <w:gridSpan w:val="5"/>
            <w:vAlign w:val="center"/>
          </w:tcPr>
          <w:p w14:paraId="756BC112" w14:textId="77777777" w:rsidR="00D9313C" w:rsidDel="00381803" w:rsidRDefault="00D9313C" w:rsidP="003A1E46">
            <w:pPr>
              <w:pStyle w:val="Bodytext"/>
              <w:spacing w:after="60"/>
              <w:jc w:val="center"/>
              <w:rPr>
                <w:b/>
              </w:rPr>
            </w:pPr>
            <w:r w:rsidRPr="00FF7ADC">
              <w:rPr>
                <w:b/>
              </w:rPr>
              <w:t>Charitable activities</w:t>
            </w:r>
          </w:p>
        </w:tc>
        <w:tc>
          <w:tcPr>
            <w:tcW w:w="1037" w:type="pct"/>
            <w:gridSpan w:val="3"/>
            <w:shd w:val="clear" w:color="auto" w:fill="auto"/>
            <w:noWrap/>
            <w:vAlign w:val="center"/>
          </w:tcPr>
          <w:p w14:paraId="41DACF5E" w14:textId="77777777" w:rsidR="00D9313C" w:rsidRPr="00FF7ADC" w:rsidRDefault="00D9313C" w:rsidP="003A1E46">
            <w:pPr>
              <w:pStyle w:val="Bodytext"/>
              <w:spacing w:after="60"/>
              <w:jc w:val="center"/>
              <w:rPr>
                <w:b/>
              </w:rPr>
            </w:pPr>
            <w:r w:rsidRPr="00FF7ADC">
              <w:rPr>
                <w:b/>
              </w:rPr>
              <w:t>Total</w:t>
            </w:r>
          </w:p>
        </w:tc>
        <w:tc>
          <w:tcPr>
            <w:tcW w:w="932" w:type="pct"/>
            <w:vAlign w:val="center"/>
          </w:tcPr>
          <w:p w14:paraId="02521E7F" w14:textId="77777777" w:rsidR="00D9313C" w:rsidRPr="006644A8" w:rsidRDefault="00D9313C" w:rsidP="003A1E46">
            <w:pPr>
              <w:pStyle w:val="Bodytext"/>
              <w:spacing w:after="60"/>
            </w:pPr>
            <w:r w:rsidRPr="006644A8">
              <w:t>Basis</w:t>
            </w:r>
          </w:p>
        </w:tc>
      </w:tr>
      <w:tr w:rsidR="003E31E2" w:rsidRPr="006644A8" w14:paraId="6BCF28F5" w14:textId="77777777" w:rsidTr="003A1E46">
        <w:trPr>
          <w:trHeight w:val="264"/>
        </w:trPr>
        <w:tc>
          <w:tcPr>
            <w:tcW w:w="951" w:type="pct"/>
            <w:gridSpan w:val="2"/>
            <w:shd w:val="clear" w:color="auto" w:fill="auto"/>
            <w:noWrap/>
            <w:vAlign w:val="center"/>
          </w:tcPr>
          <w:p w14:paraId="7F68FD14" w14:textId="77777777" w:rsidR="003E31E2" w:rsidRPr="006644A8" w:rsidRDefault="003E31E2" w:rsidP="003A1E46">
            <w:pPr>
              <w:pStyle w:val="Bodytext"/>
              <w:spacing w:after="60"/>
            </w:pPr>
          </w:p>
        </w:tc>
        <w:tc>
          <w:tcPr>
            <w:tcW w:w="508" w:type="pct"/>
            <w:gridSpan w:val="2"/>
            <w:shd w:val="clear" w:color="auto" w:fill="D9D9D9" w:themeFill="background1" w:themeFillShade="D9"/>
          </w:tcPr>
          <w:p w14:paraId="6C5B7AAA" w14:textId="767B75B8" w:rsidR="003E31E2" w:rsidRDefault="003E31E2" w:rsidP="003A1E46">
            <w:pPr>
              <w:pStyle w:val="Bodytext"/>
              <w:spacing w:after="60"/>
              <w:jc w:val="right"/>
              <w:rPr>
                <w:b/>
              </w:rPr>
            </w:pPr>
            <w:r>
              <w:rPr>
                <w:b/>
              </w:rPr>
              <w:t>202</w:t>
            </w:r>
            <w:r w:rsidR="00B4192D">
              <w:rPr>
                <w:b/>
              </w:rPr>
              <w:t>3/</w:t>
            </w:r>
            <w:r>
              <w:rPr>
                <w:b/>
              </w:rPr>
              <w:t>2</w:t>
            </w:r>
            <w:r w:rsidR="00B4192D">
              <w:rPr>
                <w:b/>
              </w:rPr>
              <w:t>4</w:t>
            </w:r>
          </w:p>
          <w:p w14:paraId="1D56A87C" w14:textId="38280EDC" w:rsidR="003E31E2" w:rsidRPr="006644A8" w:rsidDel="006809FF" w:rsidRDefault="003E31E2" w:rsidP="003A1E46">
            <w:pPr>
              <w:pStyle w:val="Bodytext"/>
              <w:spacing w:after="60"/>
              <w:jc w:val="right"/>
            </w:pPr>
            <w:r>
              <w:rPr>
                <w:b/>
              </w:rPr>
              <w:t>£000</w:t>
            </w:r>
          </w:p>
        </w:tc>
        <w:tc>
          <w:tcPr>
            <w:tcW w:w="508" w:type="pct"/>
          </w:tcPr>
          <w:p w14:paraId="5D2E5513" w14:textId="37F1B96A" w:rsidR="003E31E2" w:rsidRPr="002B08DA" w:rsidRDefault="003E31E2" w:rsidP="003A1E46">
            <w:pPr>
              <w:pStyle w:val="Bodytext"/>
              <w:spacing w:after="60"/>
              <w:jc w:val="right"/>
              <w:rPr>
                <w:b/>
                <w:color w:val="A6A6A6" w:themeColor="background1" w:themeShade="A6"/>
              </w:rPr>
            </w:pPr>
            <w:r>
              <w:rPr>
                <w:b/>
                <w:color w:val="A6A6A6" w:themeColor="background1" w:themeShade="A6"/>
              </w:rPr>
              <w:t>202</w:t>
            </w:r>
            <w:r w:rsidR="00B4192D">
              <w:rPr>
                <w:b/>
                <w:color w:val="A6A6A6" w:themeColor="background1" w:themeShade="A6"/>
              </w:rPr>
              <w:t>2</w:t>
            </w:r>
            <w:r>
              <w:rPr>
                <w:b/>
                <w:color w:val="A6A6A6" w:themeColor="background1" w:themeShade="A6"/>
              </w:rPr>
              <w:t>/2</w:t>
            </w:r>
            <w:r w:rsidR="00B4192D">
              <w:rPr>
                <w:b/>
                <w:color w:val="A6A6A6" w:themeColor="background1" w:themeShade="A6"/>
              </w:rPr>
              <w:t>3</w:t>
            </w:r>
          </w:p>
          <w:p w14:paraId="75A771B1" w14:textId="425AABD7" w:rsidR="003E31E2" w:rsidRPr="008D0DFF" w:rsidDel="006809FF" w:rsidRDefault="003E31E2" w:rsidP="003A1E46">
            <w:pPr>
              <w:pStyle w:val="Bodytext"/>
              <w:spacing w:after="60"/>
              <w:jc w:val="right"/>
              <w:rPr>
                <w:b/>
                <w:color w:val="A6A6A6" w:themeColor="background1" w:themeShade="A6"/>
              </w:rPr>
            </w:pPr>
            <w:r w:rsidRPr="002B08DA">
              <w:rPr>
                <w:b/>
                <w:color w:val="A6A6A6" w:themeColor="background1" w:themeShade="A6"/>
              </w:rPr>
              <w:t>£000</w:t>
            </w:r>
          </w:p>
        </w:tc>
        <w:tc>
          <w:tcPr>
            <w:tcW w:w="518" w:type="pct"/>
            <w:gridSpan w:val="3"/>
            <w:shd w:val="clear" w:color="auto" w:fill="D9D9D9" w:themeFill="background1" w:themeFillShade="D9"/>
          </w:tcPr>
          <w:p w14:paraId="2B425DF6" w14:textId="688A9D1F" w:rsidR="003E31E2" w:rsidRDefault="003E31E2" w:rsidP="003A1E46">
            <w:pPr>
              <w:pStyle w:val="Bodytext"/>
              <w:spacing w:after="60"/>
              <w:jc w:val="right"/>
              <w:rPr>
                <w:b/>
              </w:rPr>
            </w:pPr>
            <w:r>
              <w:rPr>
                <w:b/>
              </w:rPr>
              <w:t>202</w:t>
            </w:r>
            <w:r w:rsidR="00B4192D">
              <w:rPr>
                <w:b/>
              </w:rPr>
              <w:t>3</w:t>
            </w:r>
            <w:r>
              <w:rPr>
                <w:b/>
              </w:rPr>
              <w:t>/2</w:t>
            </w:r>
            <w:r w:rsidR="00B4192D">
              <w:rPr>
                <w:b/>
              </w:rPr>
              <w:t>4</w:t>
            </w:r>
          </w:p>
          <w:p w14:paraId="24F6C598" w14:textId="7CE61B2C" w:rsidR="003E31E2" w:rsidRPr="006644A8" w:rsidDel="006809FF" w:rsidRDefault="003E31E2" w:rsidP="003A1E46">
            <w:pPr>
              <w:pStyle w:val="Bodytext"/>
              <w:spacing w:after="60"/>
              <w:jc w:val="right"/>
            </w:pPr>
            <w:r>
              <w:rPr>
                <w:b/>
              </w:rPr>
              <w:t>£000</w:t>
            </w:r>
          </w:p>
        </w:tc>
        <w:tc>
          <w:tcPr>
            <w:tcW w:w="546" w:type="pct"/>
            <w:gridSpan w:val="2"/>
          </w:tcPr>
          <w:p w14:paraId="3ECAD2D4" w14:textId="73AD1F0E" w:rsidR="003E31E2" w:rsidRPr="002B08DA" w:rsidRDefault="003E31E2" w:rsidP="003A1E46">
            <w:pPr>
              <w:pStyle w:val="Bodytext"/>
              <w:spacing w:after="60"/>
              <w:jc w:val="right"/>
              <w:rPr>
                <w:b/>
                <w:color w:val="A6A6A6" w:themeColor="background1" w:themeShade="A6"/>
              </w:rPr>
            </w:pPr>
            <w:r>
              <w:rPr>
                <w:b/>
                <w:color w:val="A6A6A6" w:themeColor="background1" w:themeShade="A6"/>
              </w:rPr>
              <w:t>202</w:t>
            </w:r>
            <w:r w:rsidR="00B4192D">
              <w:rPr>
                <w:b/>
                <w:color w:val="A6A6A6" w:themeColor="background1" w:themeShade="A6"/>
              </w:rPr>
              <w:t>2</w:t>
            </w:r>
            <w:r>
              <w:rPr>
                <w:b/>
                <w:color w:val="A6A6A6" w:themeColor="background1" w:themeShade="A6"/>
              </w:rPr>
              <w:t>/2</w:t>
            </w:r>
            <w:r w:rsidR="00B4192D">
              <w:rPr>
                <w:b/>
                <w:color w:val="A6A6A6" w:themeColor="background1" w:themeShade="A6"/>
              </w:rPr>
              <w:t>3</w:t>
            </w:r>
          </w:p>
          <w:p w14:paraId="6E46BB94" w14:textId="2C169C08" w:rsidR="003E31E2" w:rsidRPr="008D0DFF" w:rsidDel="006809FF" w:rsidRDefault="003E31E2" w:rsidP="003A1E46">
            <w:pPr>
              <w:pStyle w:val="Bodytext"/>
              <w:spacing w:after="60"/>
              <w:jc w:val="right"/>
              <w:rPr>
                <w:color w:val="A6A6A6" w:themeColor="background1" w:themeShade="A6"/>
              </w:rPr>
            </w:pPr>
            <w:r w:rsidRPr="002B08DA">
              <w:rPr>
                <w:b/>
                <w:color w:val="A6A6A6" w:themeColor="background1" w:themeShade="A6"/>
              </w:rPr>
              <w:t>£000</w:t>
            </w:r>
          </w:p>
        </w:tc>
        <w:tc>
          <w:tcPr>
            <w:tcW w:w="508" w:type="pct"/>
            <w:gridSpan w:val="2"/>
            <w:shd w:val="clear" w:color="auto" w:fill="D9D9D9" w:themeFill="background1" w:themeFillShade="D9"/>
            <w:noWrap/>
          </w:tcPr>
          <w:p w14:paraId="4EB9DC92" w14:textId="3BD24147" w:rsidR="003E31E2" w:rsidRDefault="003E31E2" w:rsidP="003A1E46">
            <w:pPr>
              <w:pStyle w:val="Bodytext"/>
              <w:spacing w:after="60"/>
              <w:jc w:val="right"/>
              <w:rPr>
                <w:b/>
              </w:rPr>
            </w:pPr>
            <w:r>
              <w:rPr>
                <w:b/>
              </w:rPr>
              <w:t>202</w:t>
            </w:r>
            <w:r w:rsidR="00B4192D">
              <w:rPr>
                <w:b/>
              </w:rPr>
              <w:t>3</w:t>
            </w:r>
            <w:r>
              <w:rPr>
                <w:b/>
              </w:rPr>
              <w:t>/2</w:t>
            </w:r>
            <w:r w:rsidR="00B4192D">
              <w:rPr>
                <w:b/>
              </w:rPr>
              <w:t>4</w:t>
            </w:r>
          </w:p>
          <w:p w14:paraId="01F74B27" w14:textId="33CB7993" w:rsidR="003E31E2" w:rsidRPr="006644A8" w:rsidDel="006809FF" w:rsidRDefault="003E31E2" w:rsidP="003A1E46">
            <w:pPr>
              <w:pStyle w:val="Bodytext"/>
              <w:spacing w:after="60"/>
              <w:jc w:val="right"/>
            </w:pPr>
            <w:r>
              <w:rPr>
                <w:b/>
              </w:rPr>
              <w:t>£000</w:t>
            </w:r>
          </w:p>
        </w:tc>
        <w:tc>
          <w:tcPr>
            <w:tcW w:w="529" w:type="pct"/>
            <w:shd w:val="clear" w:color="auto" w:fill="auto"/>
            <w:noWrap/>
          </w:tcPr>
          <w:p w14:paraId="04E00370" w14:textId="21EE3466" w:rsidR="003E31E2" w:rsidRPr="002B08DA" w:rsidRDefault="003E31E2" w:rsidP="003A1E46">
            <w:pPr>
              <w:pStyle w:val="Bodytext"/>
              <w:spacing w:after="60"/>
              <w:jc w:val="right"/>
              <w:rPr>
                <w:b/>
                <w:color w:val="A6A6A6" w:themeColor="background1" w:themeShade="A6"/>
              </w:rPr>
            </w:pPr>
            <w:r>
              <w:rPr>
                <w:b/>
                <w:color w:val="A6A6A6" w:themeColor="background1" w:themeShade="A6"/>
              </w:rPr>
              <w:t>202</w:t>
            </w:r>
            <w:r w:rsidR="00B4192D">
              <w:rPr>
                <w:b/>
                <w:color w:val="A6A6A6" w:themeColor="background1" w:themeShade="A6"/>
              </w:rPr>
              <w:t>2</w:t>
            </w:r>
            <w:r>
              <w:rPr>
                <w:b/>
                <w:color w:val="A6A6A6" w:themeColor="background1" w:themeShade="A6"/>
              </w:rPr>
              <w:t>/2</w:t>
            </w:r>
            <w:r w:rsidR="00B4192D">
              <w:rPr>
                <w:b/>
                <w:color w:val="A6A6A6" w:themeColor="background1" w:themeShade="A6"/>
              </w:rPr>
              <w:t>3</w:t>
            </w:r>
          </w:p>
          <w:p w14:paraId="44438B29" w14:textId="2808A1BB" w:rsidR="003E31E2" w:rsidRPr="008D0DFF" w:rsidDel="006809FF" w:rsidRDefault="003E31E2" w:rsidP="003A1E46">
            <w:pPr>
              <w:pStyle w:val="Bodytext"/>
              <w:spacing w:after="60"/>
              <w:jc w:val="right"/>
              <w:rPr>
                <w:color w:val="A6A6A6" w:themeColor="background1" w:themeShade="A6"/>
              </w:rPr>
            </w:pPr>
            <w:r w:rsidRPr="002B08DA">
              <w:rPr>
                <w:b/>
                <w:color w:val="A6A6A6" w:themeColor="background1" w:themeShade="A6"/>
              </w:rPr>
              <w:t>£000</w:t>
            </w:r>
          </w:p>
        </w:tc>
        <w:tc>
          <w:tcPr>
            <w:tcW w:w="932" w:type="pct"/>
            <w:vAlign w:val="center"/>
          </w:tcPr>
          <w:p w14:paraId="6E3E6C57" w14:textId="77777777" w:rsidR="003E31E2" w:rsidRPr="006644A8" w:rsidRDefault="003E31E2" w:rsidP="003A1E46">
            <w:pPr>
              <w:pStyle w:val="Bodytext"/>
              <w:spacing w:after="60"/>
            </w:pPr>
          </w:p>
        </w:tc>
      </w:tr>
      <w:tr w:rsidR="002120A5" w:rsidRPr="006644A8" w14:paraId="6426483C" w14:textId="77777777" w:rsidTr="003A1E46">
        <w:trPr>
          <w:trHeight w:val="264"/>
        </w:trPr>
        <w:tc>
          <w:tcPr>
            <w:tcW w:w="951" w:type="pct"/>
            <w:gridSpan w:val="2"/>
            <w:shd w:val="clear" w:color="auto" w:fill="auto"/>
            <w:noWrap/>
            <w:vAlign w:val="center"/>
          </w:tcPr>
          <w:p w14:paraId="056339D1" w14:textId="77777777" w:rsidR="002120A5" w:rsidRPr="006644A8" w:rsidRDefault="002120A5" w:rsidP="003A1E46">
            <w:pPr>
              <w:pStyle w:val="Bodytext"/>
              <w:spacing w:after="60"/>
            </w:pPr>
            <w:r w:rsidRPr="006644A8">
              <w:t>Internal audit</w:t>
            </w:r>
          </w:p>
        </w:tc>
        <w:tc>
          <w:tcPr>
            <w:tcW w:w="508" w:type="pct"/>
            <w:gridSpan w:val="2"/>
            <w:shd w:val="clear" w:color="auto" w:fill="D9D9D9" w:themeFill="background1" w:themeFillShade="D9"/>
            <w:vAlign w:val="center"/>
          </w:tcPr>
          <w:p w14:paraId="4AADAF50" w14:textId="6E31410C" w:rsidR="002120A5" w:rsidRPr="006644A8" w:rsidDel="006809FF" w:rsidRDefault="002120A5" w:rsidP="003A1E46">
            <w:pPr>
              <w:pStyle w:val="Bodytext"/>
              <w:spacing w:after="60"/>
              <w:jc w:val="right"/>
            </w:pPr>
            <w:r>
              <w:rPr>
                <w:rFonts w:cs="Arial"/>
                <w:color w:val="424141"/>
                <w:szCs w:val="22"/>
              </w:rPr>
              <w:t>2</w:t>
            </w:r>
          </w:p>
        </w:tc>
        <w:tc>
          <w:tcPr>
            <w:tcW w:w="508" w:type="pct"/>
            <w:vAlign w:val="center"/>
          </w:tcPr>
          <w:p w14:paraId="042B663C" w14:textId="72995973" w:rsidR="002120A5" w:rsidRPr="008D0DFF" w:rsidRDefault="002120A5" w:rsidP="003A1E46">
            <w:pPr>
              <w:pStyle w:val="Bodytext"/>
              <w:spacing w:after="60"/>
              <w:jc w:val="right"/>
              <w:rPr>
                <w:color w:val="A6A6A6" w:themeColor="background1" w:themeShade="A6"/>
              </w:rPr>
            </w:pPr>
            <w:r>
              <w:rPr>
                <w:rFonts w:cs="Arial"/>
                <w:color w:val="A6A6A6"/>
                <w:szCs w:val="22"/>
              </w:rPr>
              <w:t>2</w:t>
            </w:r>
          </w:p>
        </w:tc>
        <w:tc>
          <w:tcPr>
            <w:tcW w:w="518" w:type="pct"/>
            <w:gridSpan w:val="3"/>
            <w:shd w:val="clear" w:color="auto" w:fill="D9D9D9" w:themeFill="background1" w:themeFillShade="D9"/>
            <w:vAlign w:val="center"/>
          </w:tcPr>
          <w:p w14:paraId="0FFDBAEE" w14:textId="000986CB" w:rsidR="002120A5" w:rsidRPr="006644A8" w:rsidDel="006809FF" w:rsidRDefault="002120A5" w:rsidP="003A1E46">
            <w:pPr>
              <w:pStyle w:val="Bodytext"/>
              <w:spacing w:after="60"/>
              <w:jc w:val="right"/>
            </w:pPr>
            <w:r>
              <w:rPr>
                <w:rFonts w:cs="Arial"/>
                <w:color w:val="424141"/>
                <w:szCs w:val="22"/>
              </w:rPr>
              <w:t>5</w:t>
            </w:r>
          </w:p>
        </w:tc>
        <w:tc>
          <w:tcPr>
            <w:tcW w:w="546" w:type="pct"/>
            <w:gridSpan w:val="2"/>
            <w:vAlign w:val="center"/>
          </w:tcPr>
          <w:p w14:paraId="13F8F99B" w14:textId="0884D086" w:rsidR="002120A5" w:rsidRPr="008D0DFF" w:rsidRDefault="002120A5" w:rsidP="003A1E46">
            <w:pPr>
              <w:pStyle w:val="Bodytext"/>
              <w:spacing w:after="60"/>
              <w:jc w:val="right"/>
              <w:rPr>
                <w:color w:val="A6A6A6" w:themeColor="background1" w:themeShade="A6"/>
              </w:rPr>
            </w:pPr>
            <w:r>
              <w:rPr>
                <w:rFonts w:cs="Arial"/>
                <w:color w:val="A6A6A6"/>
                <w:szCs w:val="22"/>
              </w:rPr>
              <w:t>10</w:t>
            </w:r>
          </w:p>
        </w:tc>
        <w:tc>
          <w:tcPr>
            <w:tcW w:w="508" w:type="pct"/>
            <w:gridSpan w:val="2"/>
            <w:shd w:val="clear" w:color="auto" w:fill="D9D9D9" w:themeFill="background1" w:themeFillShade="D9"/>
            <w:noWrap/>
            <w:vAlign w:val="center"/>
          </w:tcPr>
          <w:p w14:paraId="518C6B2D" w14:textId="6A404FB0" w:rsidR="002120A5" w:rsidRPr="006644A8" w:rsidRDefault="002120A5" w:rsidP="003A1E46">
            <w:pPr>
              <w:pStyle w:val="Bodytext"/>
              <w:spacing w:after="60"/>
              <w:jc w:val="right"/>
            </w:pPr>
            <w:r>
              <w:rPr>
                <w:rFonts w:cs="Arial"/>
                <w:color w:val="424141"/>
                <w:szCs w:val="22"/>
              </w:rPr>
              <w:t>7</w:t>
            </w:r>
          </w:p>
        </w:tc>
        <w:tc>
          <w:tcPr>
            <w:tcW w:w="529" w:type="pct"/>
            <w:shd w:val="clear" w:color="auto" w:fill="auto"/>
            <w:noWrap/>
            <w:vAlign w:val="center"/>
          </w:tcPr>
          <w:p w14:paraId="12F87C36" w14:textId="403E0479" w:rsidR="002120A5" w:rsidRPr="008D0DFF" w:rsidRDefault="002120A5" w:rsidP="003A1E46">
            <w:pPr>
              <w:pStyle w:val="Bodytext"/>
              <w:spacing w:after="60"/>
              <w:jc w:val="right"/>
              <w:rPr>
                <w:color w:val="A6A6A6" w:themeColor="background1" w:themeShade="A6"/>
              </w:rPr>
            </w:pPr>
            <w:r>
              <w:rPr>
                <w:rFonts w:cs="Arial"/>
                <w:color w:val="A6A6A6"/>
                <w:szCs w:val="22"/>
              </w:rPr>
              <w:t>12</w:t>
            </w:r>
          </w:p>
        </w:tc>
        <w:tc>
          <w:tcPr>
            <w:tcW w:w="932" w:type="pct"/>
            <w:vAlign w:val="center"/>
          </w:tcPr>
          <w:p w14:paraId="61C1D571" w14:textId="77777777" w:rsidR="002120A5" w:rsidRPr="006644A8" w:rsidDel="006809FF" w:rsidRDefault="002120A5" w:rsidP="003A1E46">
            <w:pPr>
              <w:pStyle w:val="Bodytext"/>
              <w:spacing w:after="60"/>
            </w:pPr>
            <w:r w:rsidRPr="006644A8">
              <w:t>Expenditure</w:t>
            </w:r>
          </w:p>
        </w:tc>
      </w:tr>
      <w:tr w:rsidR="002120A5" w:rsidRPr="006644A8" w14:paraId="77991DD7" w14:textId="77777777" w:rsidTr="003A1E46">
        <w:trPr>
          <w:trHeight w:val="264"/>
        </w:trPr>
        <w:tc>
          <w:tcPr>
            <w:tcW w:w="951" w:type="pct"/>
            <w:gridSpan w:val="2"/>
            <w:shd w:val="clear" w:color="auto" w:fill="auto"/>
            <w:noWrap/>
            <w:vAlign w:val="center"/>
          </w:tcPr>
          <w:p w14:paraId="2BAE0D20" w14:textId="77777777" w:rsidR="002120A5" w:rsidRPr="006644A8" w:rsidRDefault="002120A5" w:rsidP="003A1E46">
            <w:pPr>
              <w:pStyle w:val="Bodytext"/>
              <w:spacing w:after="60"/>
            </w:pPr>
            <w:r w:rsidRPr="006644A8">
              <w:t>External audit</w:t>
            </w:r>
          </w:p>
        </w:tc>
        <w:tc>
          <w:tcPr>
            <w:tcW w:w="508" w:type="pct"/>
            <w:gridSpan w:val="2"/>
            <w:shd w:val="clear" w:color="auto" w:fill="D9D9D9" w:themeFill="background1" w:themeFillShade="D9"/>
            <w:vAlign w:val="center"/>
          </w:tcPr>
          <w:p w14:paraId="4F3A4A9C" w14:textId="263E6F0C" w:rsidR="002120A5" w:rsidRPr="006644A8" w:rsidRDefault="002120A5" w:rsidP="003A1E46">
            <w:pPr>
              <w:pStyle w:val="Bodytext"/>
              <w:spacing w:after="60"/>
              <w:jc w:val="right"/>
            </w:pPr>
            <w:r>
              <w:rPr>
                <w:rFonts w:cs="Arial"/>
                <w:color w:val="424141"/>
                <w:szCs w:val="22"/>
              </w:rPr>
              <w:t>4</w:t>
            </w:r>
          </w:p>
        </w:tc>
        <w:tc>
          <w:tcPr>
            <w:tcW w:w="508" w:type="pct"/>
            <w:vAlign w:val="center"/>
          </w:tcPr>
          <w:p w14:paraId="0A4D0F2D" w14:textId="4436F813" w:rsidR="002120A5" w:rsidRPr="008D0DFF" w:rsidRDefault="002120A5" w:rsidP="003A1E46">
            <w:pPr>
              <w:pStyle w:val="Bodytext"/>
              <w:spacing w:after="60"/>
              <w:jc w:val="right"/>
              <w:rPr>
                <w:color w:val="A6A6A6" w:themeColor="background1" w:themeShade="A6"/>
              </w:rPr>
            </w:pPr>
            <w:r>
              <w:rPr>
                <w:rFonts w:cs="Arial"/>
                <w:color w:val="A6A6A6"/>
                <w:szCs w:val="22"/>
              </w:rPr>
              <w:t>4</w:t>
            </w:r>
          </w:p>
        </w:tc>
        <w:tc>
          <w:tcPr>
            <w:tcW w:w="518" w:type="pct"/>
            <w:gridSpan w:val="3"/>
            <w:shd w:val="clear" w:color="auto" w:fill="D9D9D9" w:themeFill="background1" w:themeFillShade="D9"/>
            <w:vAlign w:val="center"/>
          </w:tcPr>
          <w:p w14:paraId="494BF648" w14:textId="0BD7CD25" w:rsidR="002120A5" w:rsidRPr="006644A8" w:rsidRDefault="002120A5" w:rsidP="003A1E46">
            <w:pPr>
              <w:pStyle w:val="Bodytext"/>
              <w:spacing w:after="60"/>
              <w:jc w:val="right"/>
            </w:pPr>
            <w:r>
              <w:rPr>
                <w:rFonts w:cs="Arial"/>
                <w:color w:val="424141"/>
                <w:szCs w:val="22"/>
              </w:rPr>
              <w:t>17</w:t>
            </w:r>
          </w:p>
        </w:tc>
        <w:tc>
          <w:tcPr>
            <w:tcW w:w="546" w:type="pct"/>
            <w:gridSpan w:val="2"/>
            <w:vAlign w:val="center"/>
          </w:tcPr>
          <w:p w14:paraId="02340632" w14:textId="70E5A88E" w:rsidR="002120A5" w:rsidRPr="008D0DFF" w:rsidRDefault="002120A5" w:rsidP="003A1E46">
            <w:pPr>
              <w:pStyle w:val="Bodytext"/>
              <w:spacing w:after="60"/>
              <w:jc w:val="right"/>
              <w:rPr>
                <w:color w:val="A6A6A6" w:themeColor="background1" w:themeShade="A6"/>
              </w:rPr>
            </w:pPr>
            <w:r>
              <w:rPr>
                <w:rFonts w:cs="Arial"/>
                <w:color w:val="A6A6A6"/>
                <w:szCs w:val="22"/>
              </w:rPr>
              <w:t>16</w:t>
            </w:r>
          </w:p>
        </w:tc>
        <w:tc>
          <w:tcPr>
            <w:tcW w:w="508" w:type="pct"/>
            <w:gridSpan w:val="2"/>
            <w:shd w:val="clear" w:color="auto" w:fill="D9D9D9" w:themeFill="background1" w:themeFillShade="D9"/>
            <w:noWrap/>
            <w:vAlign w:val="center"/>
          </w:tcPr>
          <w:p w14:paraId="20DE5E12" w14:textId="35803E8E" w:rsidR="002120A5" w:rsidRPr="006644A8" w:rsidRDefault="002120A5" w:rsidP="003A1E46">
            <w:pPr>
              <w:pStyle w:val="Bodytext"/>
              <w:spacing w:after="60"/>
              <w:jc w:val="right"/>
            </w:pPr>
            <w:r>
              <w:rPr>
                <w:rFonts w:cs="Arial"/>
                <w:color w:val="424141"/>
                <w:szCs w:val="22"/>
              </w:rPr>
              <w:t>21</w:t>
            </w:r>
          </w:p>
        </w:tc>
        <w:tc>
          <w:tcPr>
            <w:tcW w:w="529" w:type="pct"/>
            <w:shd w:val="clear" w:color="auto" w:fill="auto"/>
            <w:noWrap/>
            <w:vAlign w:val="center"/>
          </w:tcPr>
          <w:p w14:paraId="0DCB8AF9" w14:textId="1920EBE4" w:rsidR="002120A5" w:rsidRPr="008D0DFF" w:rsidRDefault="002120A5" w:rsidP="003A1E46">
            <w:pPr>
              <w:pStyle w:val="Bodytext"/>
              <w:spacing w:after="60"/>
              <w:jc w:val="right"/>
              <w:rPr>
                <w:color w:val="A6A6A6" w:themeColor="background1" w:themeShade="A6"/>
              </w:rPr>
            </w:pPr>
            <w:r>
              <w:rPr>
                <w:rFonts w:cs="Arial"/>
                <w:color w:val="A6A6A6"/>
                <w:szCs w:val="22"/>
              </w:rPr>
              <w:t>2</w:t>
            </w:r>
            <w:r w:rsidR="0035765F">
              <w:rPr>
                <w:rFonts w:cs="Arial"/>
                <w:color w:val="A6A6A6"/>
                <w:szCs w:val="22"/>
              </w:rPr>
              <w:t>0</w:t>
            </w:r>
          </w:p>
        </w:tc>
        <w:tc>
          <w:tcPr>
            <w:tcW w:w="932" w:type="pct"/>
            <w:vAlign w:val="center"/>
          </w:tcPr>
          <w:p w14:paraId="549F1FF0" w14:textId="77777777" w:rsidR="002120A5" w:rsidRPr="006644A8" w:rsidDel="006809FF" w:rsidRDefault="002120A5" w:rsidP="003A1E46">
            <w:pPr>
              <w:pStyle w:val="Bodytext"/>
              <w:spacing w:after="60"/>
            </w:pPr>
            <w:r w:rsidRPr="006644A8">
              <w:t>Expenditure</w:t>
            </w:r>
          </w:p>
        </w:tc>
      </w:tr>
      <w:tr w:rsidR="002120A5" w:rsidRPr="006644A8" w14:paraId="7B1DFD2F" w14:textId="77777777" w:rsidTr="003A1E46">
        <w:trPr>
          <w:trHeight w:val="264"/>
        </w:trPr>
        <w:tc>
          <w:tcPr>
            <w:tcW w:w="951" w:type="pct"/>
            <w:gridSpan w:val="2"/>
            <w:shd w:val="clear" w:color="auto" w:fill="auto"/>
            <w:noWrap/>
            <w:vAlign w:val="center"/>
          </w:tcPr>
          <w:p w14:paraId="481AB146" w14:textId="77777777" w:rsidR="002120A5" w:rsidRPr="006644A8" w:rsidRDefault="002120A5" w:rsidP="003A1E46">
            <w:pPr>
              <w:pStyle w:val="Bodytext"/>
              <w:spacing w:after="60"/>
            </w:pPr>
            <w:r w:rsidRPr="006644A8">
              <w:t>Staff training</w:t>
            </w:r>
          </w:p>
        </w:tc>
        <w:tc>
          <w:tcPr>
            <w:tcW w:w="508" w:type="pct"/>
            <w:gridSpan w:val="2"/>
            <w:shd w:val="clear" w:color="auto" w:fill="D9D9D9" w:themeFill="background1" w:themeFillShade="D9"/>
            <w:vAlign w:val="center"/>
          </w:tcPr>
          <w:p w14:paraId="430FA11F" w14:textId="78F1117E" w:rsidR="002120A5" w:rsidRPr="006644A8" w:rsidDel="006809FF" w:rsidRDefault="002120A5" w:rsidP="003A1E46">
            <w:pPr>
              <w:pStyle w:val="Bodytext"/>
              <w:spacing w:after="60"/>
              <w:jc w:val="right"/>
            </w:pPr>
            <w:r>
              <w:rPr>
                <w:rFonts w:cs="Arial"/>
                <w:color w:val="424141"/>
                <w:szCs w:val="22"/>
              </w:rPr>
              <w:t> </w:t>
            </w:r>
          </w:p>
        </w:tc>
        <w:tc>
          <w:tcPr>
            <w:tcW w:w="508" w:type="pct"/>
            <w:vAlign w:val="center"/>
          </w:tcPr>
          <w:p w14:paraId="49A5022B" w14:textId="5338F5CD" w:rsidR="002120A5" w:rsidRPr="008D0DFF" w:rsidRDefault="002120A5" w:rsidP="003A1E46">
            <w:pPr>
              <w:pStyle w:val="Bodytext"/>
              <w:spacing w:after="60"/>
              <w:jc w:val="right"/>
              <w:rPr>
                <w:color w:val="A6A6A6" w:themeColor="background1" w:themeShade="A6"/>
              </w:rPr>
            </w:pPr>
            <w:r>
              <w:rPr>
                <w:rFonts w:cs="Arial"/>
                <w:color w:val="A6A6A6"/>
                <w:szCs w:val="22"/>
              </w:rPr>
              <w:t> </w:t>
            </w:r>
          </w:p>
        </w:tc>
        <w:tc>
          <w:tcPr>
            <w:tcW w:w="518" w:type="pct"/>
            <w:gridSpan w:val="3"/>
            <w:shd w:val="clear" w:color="auto" w:fill="D9D9D9" w:themeFill="background1" w:themeFillShade="D9"/>
            <w:vAlign w:val="center"/>
          </w:tcPr>
          <w:p w14:paraId="5A5118A4" w14:textId="4B3A8A05" w:rsidR="002120A5" w:rsidRPr="006644A8" w:rsidDel="006809FF" w:rsidRDefault="002120A5" w:rsidP="003A1E46">
            <w:pPr>
              <w:pStyle w:val="Bodytext"/>
              <w:spacing w:after="60"/>
              <w:jc w:val="right"/>
            </w:pPr>
            <w:r>
              <w:rPr>
                <w:rFonts w:cs="Arial"/>
                <w:color w:val="424141"/>
                <w:szCs w:val="22"/>
              </w:rPr>
              <w:t>2</w:t>
            </w:r>
          </w:p>
        </w:tc>
        <w:tc>
          <w:tcPr>
            <w:tcW w:w="546" w:type="pct"/>
            <w:gridSpan w:val="2"/>
            <w:vAlign w:val="center"/>
          </w:tcPr>
          <w:p w14:paraId="742B306E" w14:textId="1FCDC5C6" w:rsidR="002120A5" w:rsidRPr="008D0DFF" w:rsidRDefault="002120A5" w:rsidP="003A1E46">
            <w:pPr>
              <w:pStyle w:val="Bodytext"/>
              <w:spacing w:after="60"/>
              <w:jc w:val="right"/>
              <w:rPr>
                <w:color w:val="A6A6A6" w:themeColor="background1" w:themeShade="A6"/>
              </w:rPr>
            </w:pPr>
            <w:r>
              <w:rPr>
                <w:rFonts w:cs="Arial"/>
                <w:color w:val="A6A6A6"/>
                <w:szCs w:val="22"/>
              </w:rPr>
              <w:t> </w:t>
            </w:r>
          </w:p>
        </w:tc>
        <w:tc>
          <w:tcPr>
            <w:tcW w:w="508" w:type="pct"/>
            <w:gridSpan w:val="2"/>
            <w:shd w:val="clear" w:color="auto" w:fill="D9D9D9" w:themeFill="background1" w:themeFillShade="D9"/>
            <w:noWrap/>
            <w:vAlign w:val="center"/>
          </w:tcPr>
          <w:p w14:paraId="37EDD888" w14:textId="3428FC3F" w:rsidR="002120A5" w:rsidRPr="006644A8" w:rsidRDefault="002120A5" w:rsidP="003A1E46">
            <w:pPr>
              <w:pStyle w:val="Bodytext"/>
              <w:spacing w:after="60"/>
              <w:jc w:val="right"/>
            </w:pPr>
            <w:r>
              <w:rPr>
                <w:rFonts w:cs="Arial"/>
                <w:color w:val="424141"/>
                <w:szCs w:val="22"/>
              </w:rPr>
              <w:t>2</w:t>
            </w:r>
          </w:p>
        </w:tc>
        <w:tc>
          <w:tcPr>
            <w:tcW w:w="529" w:type="pct"/>
            <w:shd w:val="clear" w:color="auto" w:fill="auto"/>
            <w:noWrap/>
            <w:vAlign w:val="center"/>
          </w:tcPr>
          <w:p w14:paraId="3A98BAE3" w14:textId="2F335F6A" w:rsidR="002120A5" w:rsidRPr="008D0DFF" w:rsidRDefault="002120A5" w:rsidP="003A1E46">
            <w:pPr>
              <w:pStyle w:val="Bodytext"/>
              <w:spacing w:after="60"/>
              <w:jc w:val="right"/>
              <w:rPr>
                <w:color w:val="A6A6A6" w:themeColor="background1" w:themeShade="A6"/>
              </w:rPr>
            </w:pPr>
          </w:p>
        </w:tc>
        <w:tc>
          <w:tcPr>
            <w:tcW w:w="932" w:type="pct"/>
            <w:vAlign w:val="center"/>
          </w:tcPr>
          <w:p w14:paraId="10467C5F" w14:textId="77777777" w:rsidR="002120A5" w:rsidRPr="006644A8" w:rsidDel="006809FF" w:rsidRDefault="002120A5" w:rsidP="003A1E46">
            <w:pPr>
              <w:pStyle w:val="Bodytext"/>
              <w:spacing w:after="60"/>
            </w:pPr>
            <w:r w:rsidRPr="006644A8">
              <w:t>Direct allocation</w:t>
            </w:r>
          </w:p>
        </w:tc>
      </w:tr>
      <w:tr w:rsidR="002120A5" w:rsidRPr="006644A8" w14:paraId="07D5E9C8" w14:textId="77777777" w:rsidTr="003A1E46">
        <w:trPr>
          <w:trHeight w:val="264"/>
        </w:trPr>
        <w:tc>
          <w:tcPr>
            <w:tcW w:w="951" w:type="pct"/>
            <w:gridSpan w:val="2"/>
            <w:shd w:val="clear" w:color="auto" w:fill="auto"/>
            <w:noWrap/>
            <w:vAlign w:val="center"/>
          </w:tcPr>
          <w:p w14:paraId="4886E883" w14:textId="77777777" w:rsidR="002120A5" w:rsidRPr="006644A8" w:rsidRDefault="002120A5" w:rsidP="003A1E46">
            <w:pPr>
              <w:pStyle w:val="Bodytext"/>
              <w:spacing w:after="60"/>
            </w:pPr>
            <w:r w:rsidRPr="006644A8">
              <w:t>Staff recruitment</w:t>
            </w:r>
          </w:p>
        </w:tc>
        <w:tc>
          <w:tcPr>
            <w:tcW w:w="508" w:type="pct"/>
            <w:gridSpan w:val="2"/>
            <w:shd w:val="clear" w:color="auto" w:fill="D9D9D9" w:themeFill="background1" w:themeFillShade="D9"/>
            <w:vAlign w:val="center"/>
          </w:tcPr>
          <w:p w14:paraId="7A92CDEA" w14:textId="78837140" w:rsidR="002120A5" w:rsidRPr="006644A8" w:rsidDel="006809FF" w:rsidRDefault="002120A5" w:rsidP="003A1E46">
            <w:pPr>
              <w:pStyle w:val="Bodytext"/>
              <w:spacing w:after="60"/>
              <w:jc w:val="right"/>
            </w:pPr>
            <w:r>
              <w:rPr>
                <w:rFonts w:cs="Arial"/>
                <w:color w:val="424141"/>
                <w:szCs w:val="22"/>
              </w:rPr>
              <w:t> </w:t>
            </w:r>
          </w:p>
        </w:tc>
        <w:tc>
          <w:tcPr>
            <w:tcW w:w="508" w:type="pct"/>
            <w:vAlign w:val="center"/>
          </w:tcPr>
          <w:p w14:paraId="6CF29286" w14:textId="659CADAB" w:rsidR="002120A5" w:rsidRPr="008D0DFF" w:rsidDel="006809FF" w:rsidRDefault="002120A5" w:rsidP="003A1E46">
            <w:pPr>
              <w:pStyle w:val="Bodytext"/>
              <w:spacing w:after="60"/>
              <w:jc w:val="right"/>
              <w:rPr>
                <w:color w:val="A6A6A6" w:themeColor="background1" w:themeShade="A6"/>
              </w:rPr>
            </w:pPr>
            <w:r>
              <w:rPr>
                <w:rFonts w:cs="Arial"/>
                <w:color w:val="A6A6A6"/>
                <w:szCs w:val="22"/>
              </w:rPr>
              <w:t> </w:t>
            </w:r>
          </w:p>
        </w:tc>
        <w:tc>
          <w:tcPr>
            <w:tcW w:w="518" w:type="pct"/>
            <w:gridSpan w:val="3"/>
            <w:shd w:val="clear" w:color="auto" w:fill="D9D9D9" w:themeFill="background1" w:themeFillShade="D9"/>
            <w:vAlign w:val="center"/>
          </w:tcPr>
          <w:p w14:paraId="30EC1D16" w14:textId="46BF580E" w:rsidR="002120A5" w:rsidRPr="006644A8" w:rsidDel="006809FF" w:rsidRDefault="002120A5" w:rsidP="003A1E46">
            <w:pPr>
              <w:pStyle w:val="Bodytext"/>
              <w:spacing w:after="60"/>
              <w:jc w:val="right"/>
            </w:pPr>
            <w:r>
              <w:rPr>
                <w:rFonts w:cs="Arial"/>
                <w:color w:val="424141"/>
                <w:szCs w:val="22"/>
              </w:rPr>
              <w:t>1</w:t>
            </w:r>
          </w:p>
        </w:tc>
        <w:tc>
          <w:tcPr>
            <w:tcW w:w="546" w:type="pct"/>
            <w:gridSpan w:val="2"/>
            <w:vAlign w:val="center"/>
          </w:tcPr>
          <w:p w14:paraId="6D2498F3" w14:textId="35A1F03F" w:rsidR="002120A5" w:rsidRPr="008D0DFF" w:rsidRDefault="002120A5" w:rsidP="003A1E46">
            <w:pPr>
              <w:pStyle w:val="Bodytext"/>
              <w:spacing w:after="60"/>
              <w:jc w:val="right"/>
              <w:rPr>
                <w:color w:val="A6A6A6" w:themeColor="background1" w:themeShade="A6"/>
              </w:rPr>
            </w:pPr>
            <w:r>
              <w:rPr>
                <w:rFonts w:cs="Arial"/>
                <w:color w:val="A6A6A6"/>
                <w:szCs w:val="22"/>
              </w:rPr>
              <w:t>1</w:t>
            </w:r>
          </w:p>
        </w:tc>
        <w:tc>
          <w:tcPr>
            <w:tcW w:w="508" w:type="pct"/>
            <w:gridSpan w:val="2"/>
            <w:shd w:val="clear" w:color="auto" w:fill="D9D9D9" w:themeFill="background1" w:themeFillShade="D9"/>
            <w:noWrap/>
            <w:vAlign w:val="center"/>
          </w:tcPr>
          <w:p w14:paraId="300C98D1" w14:textId="208A6E97" w:rsidR="002120A5" w:rsidRPr="006644A8" w:rsidRDefault="002120A5" w:rsidP="003A1E46">
            <w:pPr>
              <w:pStyle w:val="Bodytext"/>
              <w:spacing w:after="60"/>
              <w:jc w:val="right"/>
            </w:pPr>
            <w:r>
              <w:rPr>
                <w:rFonts w:cs="Arial"/>
                <w:color w:val="424141"/>
                <w:szCs w:val="22"/>
              </w:rPr>
              <w:t>1</w:t>
            </w:r>
          </w:p>
        </w:tc>
        <w:tc>
          <w:tcPr>
            <w:tcW w:w="529" w:type="pct"/>
            <w:shd w:val="clear" w:color="auto" w:fill="auto"/>
            <w:noWrap/>
            <w:vAlign w:val="center"/>
          </w:tcPr>
          <w:p w14:paraId="6E4F4B30" w14:textId="79C15831" w:rsidR="002120A5" w:rsidRPr="008D0DFF" w:rsidRDefault="002120A5" w:rsidP="003A1E46">
            <w:pPr>
              <w:pStyle w:val="Bodytext"/>
              <w:spacing w:after="60"/>
              <w:jc w:val="right"/>
              <w:rPr>
                <w:color w:val="A6A6A6" w:themeColor="background1" w:themeShade="A6"/>
              </w:rPr>
            </w:pPr>
            <w:r>
              <w:rPr>
                <w:rFonts w:cs="Arial"/>
                <w:color w:val="A6A6A6"/>
                <w:szCs w:val="22"/>
              </w:rPr>
              <w:t>1</w:t>
            </w:r>
          </w:p>
        </w:tc>
        <w:tc>
          <w:tcPr>
            <w:tcW w:w="932" w:type="pct"/>
            <w:vAlign w:val="center"/>
          </w:tcPr>
          <w:p w14:paraId="7304524B" w14:textId="77777777" w:rsidR="002120A5" w:rsidRPr="006644A8" w:rsidDel="006809FF" w:rsidRDefault="002120A5" w:rsidP="003A1E46">
            <w:pPr>
              <w:pStyle w:val="Bodytext"/>
              <w:spacing w:after="60"/>
            </w:pPr>
            <w:r w:rsidRPr="006644A8">
              <w:t>Direct allocation</w:t>
            </w:r>
          </w:p>
        </w:tc>
      </w:tr>
      <w:tr w:rsidR="002120A5" w:rsidRPr="006644A8" w14:paraId="45F1AD61" w14:textId="77777777" w:rsidTr="003A1E46">
        <w:trPr>
          <w:trHeight w:val="264"/>
        </w:trPr>
        <w:tc>
          <w:tcPr>
            <w:tcW w:w="951" w:type="pct"/>
            <w:gridSpan w:val="2"/>
            <w:shd w:val="clear" w:color="auto" w:fill="auto"/>
            <w:noWrap/>
            <w:vAlign w:val="center"/>
          </w:tcPr>
          <w:p w14:paraId="14D63BC1" w14:textId="1CCF8F10" w:rsidR="002120A5" w:rsidRPr="006644A8" w:rsidRDefault="002120A5" w:rsidP="003A1E46">
            <w:pPr>
              <w:pStyle w:val="Bodytext"/>
              <w:spacing w:after="60"/>
            </w:pPr>
            <w:r>
              <w:t>NHS Charities Together membership</w:t>
            </w:r>
          </w:p>
        </w:tc>
        <w:tc>
          <w:tcPr>
            <w:tcW w:w="508" w:type="pct"/>
            <w:gridSpan w:val="2"/>
            <w:shd w:val="clear" w:color="auto" w:fill="D9D9D9" w:themeFill="background1" w:themeFillShade="D9"/>
            <w:vAlign w:val="center"/>
          </w:tcPr>
          <w:p w14:paraId="79BF1B79" w14:textId="096138A1" w:rsidR="002120A5" w:rsidRDefault="002120A5" w:rsidP="003A1E46">
            <w:pPr>
              <w:pStyle w:val="Bodytext"/>
              <w:spacing w:after="60"/>
              <w:jc w:val="right"/>
              <w:rPr>
                <w:rFonts w:cs="Arial"/>
                <w:color w:val="424141"/>
                <w:szCs w:val="22"/>
              </w:rPr>
            </w:pPr>
            <w:r>
              <w:rPr>
                <w:rFonts w:cs="Arial"/>
                <w:color w:val="424141"/>
                <w:szCs w:val="22"/>
              </w:rPr>
              <w:t>1</w:t>
            </w:r>
          </w:p>
        </w:tc>
        <w:tc>
          <w:tcPr>
            <w:tcW w:w="508" w:type="pct"/>
            <w:vAlign w:val="center"/>
          </w:tcPr>
          <w:p w14:paraId="338DF249" w14:textId="46E17BE2" w:rsidR="002120A5" w:rsidRDefault="002120A5" w:rsidP="003A1E46">
            <w:pPr>
              <w:pStyle w:val="Bodytext"/>
              <w:spacing w:after="60"/>
              <w:jc w:val="right"/>
              <w:rPr>
                <w:rFonts w:cs="Arial"/>
                <w:color w:val="A6A6A6"/>
                <w:szCs w:val="22"/>
              </w:rPr>
            </w:pPr>
            <w:r>
              <w:rPr>
                <w:rFonts w:cs="Arial"/>
                <w:color w:val="A6A6A6"/>
                <w:szCs w:val="22"/>
              </w:rPr>
              <w:t>0</w:t>
            </w:r>
          </w:p>
        </w:tc>
        <w:tc>
          <w:tcPr>
            <w:tcW w:w="518" w:type="pct"/>
            <w:gridSpan w:val="3"/>
            <w:shd w:val="clear" w:color="auto" w:fill="D9D9D9" w:themeFill="background1" w:themeFillShade="D9"/>
            <w:vAlign w:val="center"/>
          </w:tcPr>
          <w:p w14:paraId="6794A1C6" w14:textId="71C63075" w:rsidR="002120A5" w:rsidRDefault="002120A5" w:rsidP="003A1E46">
            <w:pPr>
              <w:pStyle w:val="Bodytext"/>
              <w:spacing w:after="60"/>
              <w:jc w:val="right"/>
              <w:rPr>
                <w:rFonts w:cs="Arial"/>
                <w:color w:val="424141"/>
                <w:szCs w:val="22"/>
              </w:rPr>
            </w:pPr>
            <w:r>
              <w:rPr>
                <w:rFonts w:cs="Arial"/>
                <w:color w:val="424141"/>
                <w:szCs w:val="22"/>
              </w:rPr>
              <w:t>3</w:t>
            </w:r>
          </w:p>
        </w:tc>
        <w:tc>
          <w:tcPr>
            <w:tcW w:w="546" w:type="pct"/>
            <w:gridSpan w:val="2"/>
            <w:vAlign w:val="center"/>
          </w:tcPr>
          <w:p w14:paraId="4C0F1F2B" w14:textId="5B3DECA4" w:rsidR="002120A5" w:rsidRDefault="002120A5" w:rsidP="003A1E46">
            <w:pPr>
              <w:pStyle w:val="Bodytext"/>
              <w:spacing w:after="60"/>
              <w:jc w:val="right"/>
              <w:rPr>
                <w:rFonts w:cs="Arial"/>
                <w:color w:val="A6A6A6"/>
                <w:szCs w:val="22"/>
              </w:rPr>
            </w:pPr>
            <w:r>
              <w:rPr>
                <w:rFonts w:cs="Arial"/>
                <w:color w:val="A6A6A6"/>
                <w:szCs w:val="22"/>
              </w:rPr>
              <w:t>1</w:t>
            </w:r>
          </w:p>
        </w:tc>
        <w:tc>
          <w:tcPr>
            <w:tcW w:w="508" w:type="pct"/>
            <w:gridSpan w:val="2"/>
            <w:shd w:val="clear" w:color="auto" w:fill="D9D9D9" w:themeFill="background1" w:themeFillShade="D9"/>
            <w:noWrap/>
            <w:vAlign w:val="center"/>
          </w:tcPr>
          <w:p w14:paraId="7B2B8038" w14:textId="71AC3E65" w:rsidR="002120A5" w:rsidRDefault="002120A5" w:rsidP="003A1E46">
            <w:pPr>
              <w:pStyle w:val="Bodytext"/>
              <w:spacing w:after="60"/>
              <w:jc w:val="right"/>
              <w:rPr>
                <w:rFonts w:cs="Arial"/>
                <w:color w:val="424141"/>
                <w:szCs w:val="22"/>
              </w:rPr>
            </w:pPr>
            <w:r>
              <w:rPr>
                <w:rFonts w:cs="Arial"/>
                <w:color w:val="424141"/>
                <w:szCs w:val="22"/>
              </w:rPr>
              <w:t>4</w:t>
            </w:r>
          </w:p>
        </w:tc>
        <w:tc>
          <w:tcPr>
            <w:tcW w:w="529" w:type="pct"/>
            <w:shd w:val="clear" w:color="auto" w:fill="auto"/>
            <w:noWrap/>
            <w:vAlign w:val="center"/>
          </w:tcPr>
          <w:p w14:paraId="4EE2EF1C" w14:textId="60E03B86" w:rsidR="002120A5" w:rsidRDefault="00FE549D" w:rsidP="003A1E46">
            <w:pPr>
              <w:pStyle w:val="Bodytext"/>
              <w:spacing w:after="60"/>
              <w:jc w:val="right"/>
              <w:rPr>
                <w:rFonts w:cs="Arial"/>
                <w:color w:val="A6A6A6"/>
                <w:szCs w:val="22"/>
              </w:rPr>
            </w:pPr>
            <w:r>
              <w:rPr>
                <w:rFonts w:cs="Arial"/>
                <w:color w:val="A6A6A6"/>
                <w:szCs w:val="22"/>
              </w:rPr>
              <w:t>1</w:t>
            </w:r>
          </w:p>
        </w:tc>
        <w:tc>
          <w:tcPr>
            <w:tcW w:w="932" w:type="pct"/>
            <w:vAlign w:val="center"/>
          </w:tcPr>
          <w:p w14:paraId="72FBEE4B" w14:textId="623672DE" w:rsidR="002120A5" w:rsidRPr="006644A8" w:rsidRDefault="002120A5" w:rsidP="003A1E46">
            <w:pPr>
              <w:pStyle w:val="Bodytext"/>
              <w:spacing w:after="60"/>
            </w:pPr>
            <w:r>
              <w:t>Expenditure</w:t>
            </w:r>
          </w:p>
        </w:tc>
      </w:tr>
      <w:tr w:rsidR="002120A5" w:rsidRPr="006644A8" w14:paraId="3999D95D" w14:textId="77777777" w:rsidTr="003A1E46">
        <w:trPr>
          <w:trHeight w:val="264"/>
        </w:trPr>
        <w:tc>
          <w:tcPr>
            <w:tcW w:w="951" w:type="pct"/>
            <w:gridSpan w:val="2"/>
            <w:shd w:val="clear" w:color="auto" w:fill="auto"/>
            <w:noWrap/>
            <w:vAlign w:val="center"/>
          </w:tcPr>
          <w:p w14:paraId="34764BBD" w14:textId="77777777" w:rsidR="002120A5" w:rsidRPr="006644A8" w:rsidRDefault="002120A5" w:rsidP="003A1E46">
            <w:pPr>
              <w:pStyle w:val="Bodytext"/>
              <w:spacing w:after="60"/>
            </w:pPr>
            <w:r w:rsidRPr="006644A8">
              <w:t>Other professional fees</w:t>
            </w:r>
          </w:p>
        </w:tc>
        <w:tc>
          <w:tcPr>
            <w:tcW w:w="508" w:type="pct"/>
            <w:gridSpan w:val="2"/>
            <w:shd w:val="clear" w:color="auto" w:fill="D9D9D9" w:themeFill="background1" w:themeFillShade="D9"/>
            <w:vAlign w:val="center"/>
          </w:tcPr>
          <w:p w14:paraId="39446056" w14:textId="4B6DE26C" w:rsidR="002120A5" w:rsidRPr="006644A8" w:rsidDel="006809FF" w:rsidRDefault="002120A5" w:rsidP="003A1E46">
            <w:pPr>
              <w:pStyle w:val="Bodytext"/>
              <w:spacing w:after="60"/>
              <w:jc w:val="right"/>
            </w:pPr>
            <w:r>
              <w:rPr>
                <w:rFonts w:cs="Arial"/>
                <w:color w:val="424141"/>
                <w:szCs w:val="22"/>
              </w:rPr>
              <w:t> </w:t>
            </w:r>
          </w:p>
        </w:tc>
        <w:tc>
          <w:tcPr>
            <w:tcW w:w="508" w:type="pct"/>
            <w:vAlign w:val="center"/>
          </w:tcPr>
          <w:p w14:paraId="0F309272" w14:textId="51941B48" w:rsidR="002120A5" w:rsidRPr="008D0DFF" w:rsidRDefault="002120A5" w:rsidP="003A1E46">
            <w:pPr>
              <w:pStyle w:val="Bodytext"/>
              <w:spacing w:after="60"/>
              <w:jc w:val="right"/>
              <w:rPr>
                <w:color w:val="A6A6A6" w:themeColor="background1" w:themeShade="A6"/>
              </w:rPr>
            </w:pPr>
            <w:r>
              <w:rPr>
                <w:rFonts w:cs="Arial"/>
                <w:color w:val="A6A6A6"/>
                <w:szCs w:val="22"/>
              </w:rPr>
              <w:t> </w:t>
            </w:r>
          </w:p>
        </w:tc>
        <w:tc>
          <w:tcPr>
            <w:tcW w:w="518" w:type="pct"/>
            <w:gridSpan w:val="3"/>
            <w:shd w:val="clear" w:color="auto" w:fill="D9D9D9" w:themeFill="background1" w:themeFillShade="D9"/>
            <w:vAlign w:val="center"/>
          </w:tcPr>
          <w:p w14:paraId="556ED2AA" w14:textId="39E76F06" w:rsidR="002120A5" w:rsidRPr="006644A8" w:rsidDel="006809FF" w:rsidRDefault="002120A5" w:rsidP="003A1E46">
            <w:pPr>
              <w:pStyle w:val="Bodytext"/>
              <w:spacing w:after="60"/>
              <w:jc w:val="right"/>
            </w:pPr>
            <w:r>
              <w:rPr>
                <w:rFonts w:cs="Arial"/>
                <w:color w:val="424141"/>
                <w:szCs w:val="22"/>
              </w:rPr>
              <w:t>2</w:t>
            </w:r>
          </w:p>
        </w:tc>
        <w:tc>
          <w:tcPr>
            <w:tcW w:w="546" w:type="pct"/>
            <w:gridSpan w:val="2"/>
            <w:vAlign w:val="center"/>
          </w:tcPr>
          <w:p w14:paraId="1794A6E4" w14:textId="1558719A" w:rsidR="002120A5" w:rsidRPr="008D0DFF" w:rsidRDefault="00C21ECE" w:rsidP="003A1E46">
            <w:pPr>
              <w:pStyle w:val="Bodytext"/>
              <w:spacing w:after="60"/>
              <w:jc w:val="right"/>
              <w:rPr>
                <w:color w:val="A6A6A6" w:themeColor="background1" w:themeShade="A6"/>
              </w:rPr>
            </w:pPr>
            <w:r>
              <w:rPr>
                <w:rFonts w:cs="Arial"/>
                <w:color w:val="A6A6A6"/>
                <w:szCs w:val="22"/>
              </w:rPr>
              <w:t>2</w:t>
            </w:r>
          </w:p>
        </w:tc>
        <w:tc>
          <w:tcPr>
            <w:tcW w:w="508" w:type="pct"/>
            <w:gridSpan w:val="2"/>
            <w:shd w:val="clear" w:color="auto" w:fill="D9D9D9" w:themeFill="background1" w:themeFillShade="D9"/>
            <w:noWrap/>
            <w:vAlign w:val="center"/>
          </w:tcPr>
          <w:p w14:paraId="3CD33838" w14:textId="1F212DE3" w:rsidR="002120A5" w:rsidRPr="006644A8" w:rsidRDefault="002120A5" w:rsidP="003A1E46">
            <w:pPr>
              <w:pStyle w:val="Bodytext"/>
              <w:spacing w:after="60"/>
              <w:jc w:val="right"/>
            </w:pPr>
            <w:r>
              <w:rPr>
                <w:rFonts w:cs="Arial"/>
                <w:color w:val="424141"/>
                <w:szCs w:val="22"/>
              </w:rPr>
              <w:t>2</w:t>
            </w:r>
          </w:p>
        </w:tc>
        <w:tc>
          <w:tcPr>
            <w:tcW w:w="529" w:type="pct"/>
            <w:shd w:val="clear" w:color="auto" w:fill="auto"/>
            <w:noWrap/>
            <w:vAlign w:val="center"/>
          </w:tcPr>
          <w:p w14:paraId="0E208973" w14:textId="7D0AE653" w:rsidR="002120A5" w:rsidRPr="008D0DFF" w:rsidRDefault="006974DD" w:rsidP="003A1E46">
            <w:pPr>
              <w:pStyle w:val="Bodytext"/>
              <w:spacing w:after="60"/>
              <w:jc w:val="right"/>
              <w:rPr>
                <w:color w:val="A6A6A6" w:themeColor="background1" w:themeShade="A6"/>
              </w:rPr>
            </w:pPr>
            <w:r>
              <w:rPr>
                <w:rFonts w:cs="Arial"/>
                <w:color w:val="A6A6A6"/>
                <w:szCs w:val="22"/>
              </w:rPr>
              <w:t>2</w:t>
            </w:r>
          </w:p>
        </w:tc>
        <w:tc>
          <w:tcPr>
            <w:tcW w:w="932" w:type="pct"/>
            <w:vAlign w:val="center"/>
          </w:tcPr>
          <w:p w14:paraId="1145B0BC" w14:textId="77777777" w:rsidR="002120A5" w:rsidRPr="006644A8" w:rsidDel="006809FF" w:rsidRDefault="002120A5" w:rsidP="003A1E46">
            <w:pPr>
              <w:pStyle w:val="Bodytext"/>
              <w:spacing w:after="60"/>
            </w:pPr>
            <w:r w:rsidRPr="006644A8">
              <w:t>Expenditure</w:t>
            </w:r>
          </w:p>
        </w:tc>
      </w:tr>
      <w:tr w:rsidR="002120A5" w:rsidRPr="006644A8" w14:paraId="677E9535" w14:textId="77777777" w:rsidTr="003A1E46">
        <w:trPr>
          <w:trHeight w:val="264"/>
        </w:trPr>
        <w:tc>
          <w:tcPr>
            <w:tcW w:w="951" w:type="pct"/>
            <w:gridSpan w:val="2"/>
            <w:shd w:val="clear" w:color="auto" w:fill="auto"/>
            <w:noWrap/>
            <w:vAlign w:val="center"/>
          </w:tcPr>
          <w:p w14:paraId="5E34A00C" w14:textId="77777777" w:rsidR="002120A5" w:rsidRPr="006644A8" w:rsidRDefault="002120A5" w:rsidP="003A1E46">
            <w:pPr>
              <w:pStyle w:val="Bodytext"/>
              <w:spacing w:after="60"/>
            </w:pPr>
            <w:r>
              <w:t>Administration</w:t>
            </w:r>
          </w:p>
        </w:tc>
        <w:tc>
          <w:tcPr>
            <w:tcW w:w="508" w:type="pct"/>
            <w:gridSpan w:val="2"/>
            <w:shd w:val="clear" w:color="auto" w:fill="D9D9D9" w:themeFill="background1" w:themeFillShade="D9"/>
            <w:vAlign w:val="center"/>
          </w:tcPr>
          <w:p w14:paraId="23ECCF57" w14:textId="6DA13352" w:rsidR="002120A5" w:rsidRPr="006644A8" w:rsidRDefault="002120A5" w:rsidP="003A1E46">
            <w:pPr>
              <w:pStyle w:val="Bodytext"/>
              <w:spacing w:after="60"/>
              <w:jc w:val="right"/>
            </w:pPr>
            <w:r>
              <w:rPr>
                <w:rFonts w:cs="Arial"/>
                <w:color w:val="424141"/>
                <w:szCs w:val="22"/>
              </w:rPr>
              <w:t>4</w:t>
            </w:r>
          </w:p>
        </w:tc>
        <w:tc>
          <w:tcPr>
            <w:tcW w:w="508" w:type="pct"/>
            <w:vAlign w:val="center"/>
          </w:tcPr>
          <w:p w14:paraId="4EDB146C" w14:textId="5C3AD509" w:rsidR="002120A5" w:rsidRPr="008D0DFF" w:rsidRDefault="002120A5" w:rsidP="003A1E46">
            <w:pPr>
              <w:pStyle w:val="Bodytext"/>
              <w:spacing w:after="60"/>
              <w:jc w:val="right"/>
              <w:rPr>
                <w:color w:val="A6A6A6" w:themeColor="background1" w:themeShade="A6"/>
              </w:rPr>
            </w:pPr>
            <w:r>
              <w:rPr>
                <w:rFonts w:cs="Arial"/>
                <w:color w:val="A6A6A6"/>
                <w:szCs w:val="22"/>
              </w:rPr>
              <w:t>5</w:t>
            </w:r>
          </w:p>
        </w:tc>
        <w:tc>
          <w:tcPr>
            <w:tcW w:w="518" w:type="pct"/>
            <w:gridSpan w:val="3"/>
            <w:shd w:val="clear" w:color="auto" w:fill="D9D9D9" w:themeFill="background1" w:themeFillShade="D9"/>
            <w:vAlign w:val="center"/>
          </w:tcPr>
          <w:p w14:paraId="45AB4894" w14:textId="580BAB09" w:rsidR="002120A5" w:rsidRPr="006644A8" w:rsidRDefault="002120A5" w:rsidP="003A1E46">
            <w:pPr>
              <w:pStyle w:val="Bodytext"/>
              <w:spacing w:after="60"/>
              <w:jc w:val="right"/>
            </w:pPr>
            <w:r>
              <w:rPr>
                <w:rFonts w:cs="Arial"/>
                <w:color w:val="424141"/>
                <w:szCs w:val="22"/>
              </w:rPr>
              <w:t>164</w:t>
            </w:r>
          </w:p>
        </w:tc>
        <w:tc>
          <w:tcPr>
            <w:tcW w:w="546" w:type="pct"/>
            <w:gridSpan w:val="2"/>
            <w:vAlign w:val="center"/>
          </w:tcPr>
          <w:p w14:paraId="570C2B55" w14:textId="26330600" w:rsidR="002120A5" w:rsidRPr="008D0DFF" w:rsidRDefault="006974DD" w:rsidP="003A1E46">
            <w:pPr>
              <w:pStyle w:val="Bodytext"/>
              <w:spacing w:after="60"/>
              <w:jc w:val="right"/>
              <w:rPr>
                <w:color w:val="A6A6A6" w:themeColor="background1" w:themeShade="A6"/>
              </w:rPr>
            </w:pPr>
            <w:r>
              <w:rPr>
                <w:rFonts w:cs="Arial"/>
                <w:color w:val="A6A6A6"/>
                <w:szCs w:val="22"/>
              </w:rPr>
              <w:t>152</w:t>
            </w:r>
          </w:p>
        </w:tc>
        <w:tc>
          <w:tcPr>
            <w:tcW w:w="508" w:type="pct"/>
            <w:gridSpan w:val="2"/>
            <w:shd w:val="clear" w:color="auto" w:fill="D9D9D9" w:themeFill="background1" w:themeFillShade="D9"/>
            <w:noWrap/>
            <w:vAlign w:val="center"/>
          </w:tcPr>
          <w:p w14:paraId="08E7465B" w14:textId="60531566" w:rsidR="002120A5" w:rsidRPr="006644A8" w:rsidDel="006809FF" w:rsidRDefault="002120A5" w:rsidP="003A1E46">
            <w:pPr>
              <w:pStyle w:val="Bodytext"/>
              <w:spacing w:after="60"/>
              <w:jc w:val="right"/>
            </w:pPr>
            <w:r>
              <w:rPr>
                <w:rFonts w:cs="Arial"/>
                <w:color w:val="424141"/>
                <w:szCs w:val="22"/>
              </w:rPr>
              <w:t>168</w:t>
            </w:r>
          </w:p>
        </w:tc>
        <w:tc>
          <w:tcPr>
            <w:tcW w:w="529" w:type="pct"/>
            <w:shd w:val="clear" w:color="auto" w:fill="auto"/>
            <w:noWrap/>
            <w:vAlign w:val="center"/>
          </w:tcPr>
          <w:p w14:paraId="2B82C8CF" w14:textId="1813665B" w:rsidR="002120A5" w:rsidRPr="008D0DFF" w:rsidRDefault="00403F6E" w:rsidP="003A1E46">
            <w:pPr>
              <w:pStyle w:val="Bodytext"/>
              <w:spacing w:after="60"/>
              <w:jc w:val="right"/>
              <w:rPr>
                <w:color w:val="A6A6A6" w:themeColor="background1" w:themeShade="A6"/>
              </w:rPr>
            </w:pPr>
            <w:r>
              <w:rPr>
                <w:rFonts w:cs="Arial"/>
                <w:color w:val="A6A6A6"/>
                <w:szCs w:val="22"/>
              </w:rPr>
              <w:t>157</w:t>
            </w:r>
          </w:p>
        </w:tc>
        <w:tc>
          <w:tcPr>
            <w:tcW w:w="932" w:type="pct"/>
            <w:vAlign w:val="center"/>
          </w:tcPr>
          <w:p w14:paraId="535E6612" w14:textId="77777777" w:rsidR="002120A5" w:rsidRPr="006644A8" w:rsidRDefault="002120A5" w:rsidP="003A1E46">
            <w:pPr>
              <w:pStyle w:val="Bodytext"/>
              <w:spacing w:after="60"/>
            </w:pPr>
            <w:r>
              <w:t>Expenditure</w:t>
            </w:r>
          </w:p>
        </w:tc>
      </w:tr>
      <w:tr w:rsidR="002120A5" w:rsidRPr="006644A8" w14:paraId="3C49111B" w14:textId="77777777" w:rsidTr="003A1E46">
        <w:trPr>
          <w:trHeight w:val="264"/>
        </w:trPr>
        <w:tc>
          <w:tcPr>
            <w:tcW w:w="951" w:type="pct"/>
            <w:gridSpan w:val="2"/>
            <w:shd w:val="clear" w:color="auto" w:fill="auto"/>
            <w:noWrap/>
            <w:vAlign w:val="center"/>
          </w:tcPr>
          <w:p w14:paraId="7E2EF5D5" w14:textId="77777777" w:rsidR="002120A5" w:rsidRPr="006644A8" w:rsidRDefault="002120A5" w:rsidP="003A1E46">
            <w:pPr>
              <w:pStyle w:val="Bodytext"/>
              <w:spacing w:after="60"/>
            </w:pPr>
            <w:r w:rsidRPr="006644A8">
              <w:t>Financial administration</w:t>
            </w:r>
          </w:p>
        </w:tc>
        <w:tc>
          <w:tcPr>
            <w:tcW w:w="508" w:type="pct"/>
            <w:gridSpan w:val="2"/>
            <w:shd w:val="clear" w:color="auto" w:fill="D9D9D9" w:themeFill="background1" w:themeFillShade="D9"/>
            <w:vAlign w:val="center"/>
          </w:tcPr>
          <w:p w14:paraId="6A99D593" w14:textId="4820EC78" w:rsidR="002120A5" w:rsidRPr="006644A8" w:rsidDel="006809FF" w:rsidRDefault="002120A5" w:rsidP="003A1E46">
            <w:pPr>
              <w:pStyle w:val="Bodytext"/>
              <w:spacing w:after="60"/>
              <w:jc w:val="right"/>
            </w:pPr>
            <w:r>
              <w:rPr>
                <w:rFonts w:cs="Arial"/>
                <w:color w:val="424141"/>
                <w:szCs w:val="22"/>
              </w:rPr>
              <w:t>8</w:t>
            </w:r>
          </w:p>
        </w:tc>
        <w:tc>
          <w:tcPr>
            <w:tcW w:w="508" w:type="pct"/>
            <w:vAlign w:val="center"/>
          </w:tcPr>
          <w:p w14:paraId="2AA36981" w14:textId="321C9C60" w:rsidR="002120A5" w:rsidRPr="008D0DFF" w:rsidRDefault="002120A5" w:rsidP="003A1E46">
            <w:pPr>
              <w:pStyle w:val="Bodytext"/>
              <w:spacing w:after="60"/>
              <w:jc w:val="right"/>
              <w:rPr>
                <w:color w:val="A6A6A6" w:themeColor="background1" w:themeShade="A6"/>
              </w:rPr>
            </w:pPr>
            <w:r>
              <w:rPr>
                <w:rFonts w:cs="Arial"/>
                <w:color w:val="A6A6A6"/>
                <w:szCs w:val="22"/>
              </w:rPr>
              <w:t>9</w:t>
            </w:r>
          </w:p>
        </w:tc>
        <w:tc>
          <w:tcPr>
            <w:tcW w:w="518" w:type="pct"/>
            <w:gridSpan w:val="3"/>
            <w:shd w:val="clear" w:color="auto" w:fill="D9D9D9" w:themeFill="background1" w:themeFillShade="D9"/>
            <w:vAlign w:val="center"/>
          </w:tcPr>
          <w:p w14:paraId="5A13526D" w14:textId="0EA7CE1E" w:rsidR="002120A5" w:rsidRPr="006644A8" w:rsidDel="006809FF" w:rsidRDefault="002120A5" w:rsidP="003A1E46">
            <w:pPr>
              <w:pStyle w:val="Bodytext"/>
              <w:spacing w:after="60"/>
              <w:jc w:val="right"/>
            </w:pPr>
            <w:r>
              <w:rPr>
                <w:rFonts w:cs="Arial"/>
                <w:color w:val="424141"/>
                <w:szCs w:val="22"/>
              </w:rPr>
              <w:t>71</w:t>
            </w:r>
          </w:p>
        </w:tc>
        <w:tc>
          <w:tcPr>
            <w:tcW w:w="546" w:type="pct"/>
            <w:gridSpan w:val="2"/>
            <w:vAlign w:val="center"/>
          </w:tcPr>
          <w:p w14:paraId="324E1443" w14:textId="3B4A7F96" w:rsidR="002120A5" w:rsidRPr="008D0DFF" w:rsidRDefault="006974DD" w:rsidP="003A1E46">
            <w:pPr>
              <w:pStyle w:val="Bodytext"/>
              <w:spacing w:after="60"/>
              <w:jc w:val="right"/>
              <w:rPr>
                <w:color w:val="A6A6A6" w:themeColor="background1" w:themeShade="A6"/>
              </w:rPr>
            </w:pPr>
            <w:r>
              <w:rPr>
                <w:rFonts w:cs="Arial"/>
                <w:color w:val="A6A6A6"/>
                <w:szCs w:val="22"/>
              </w:rPr>
              <w:t>58</w:t>
            </w:r>
          </w:p>
        </w:tc>
        <w:tc>
          <w:tcPr>
            <w:tcW w:w="508" w:type="pct"/>
            <w:gridSpan w:val="2"/>
            <w:shd w:val="clear" w:color="auto" w:fill="D9D9D9" w:themeFill="background1" w:themeFillShade="D9"/>
            <w:noWrap/>
            <w:vAlign w:val="center"/>
          </w:tcPr>
          <w:p w14:paraId="786C210F" w14:textId="165D8860" w:rsidR="002120A5" w:rsidRPr="006644A8" w:rsidRDefault="002120A5" w:rsidP="003A1E46">
            <w:pPr>
              <w:pStyle w:val="Bodytext"/>
              <w:spacing w:after="60"/>
              <w:jc w:val="right"/>
            </w:pPr>
            <w:r>
              <w:rPr>
                <w:rFonts w:cs="Arial"/>
                <w:color w:val="424141"/>
                <w:szCs w:val="22"/>
              </w:rPr>
              <w:t>79</w:t>
            </w:r>
          </w:p>
        </w:tc>
        <w:tc>
          <w:tcPr>
            <w:tcW w:w="529" w:type="pct"/>
            <w:shd w:val="clear" w:color="auto" w:fill="auto"/>
            <w:noWrap/>
            <w:vAlign w:val="center"/>
          </w:tcPr>
          <w:p w14:paraId="673D2AAB" w14:textId="340D5EC1" w:rsidR="002120A5" w:rsidRPr="008D0DFF" w:rsidRDefault="00403F6E" w:rsidP="003A1E46">
            <w:pPr>
              <w:pStyle w:val="Bodytext"/>
              <w:spacing w:after="60"/>
              <w:jc w:val="right"/>
              <w:rPr>
                <w:color w:val="A6A6A6" w:themeColor="background1" w:themeShade="A6"/>
              </w:rPr>
            </w:pPr>
            <w:r>
              <w:rPr>
                <w:rFonts w:cs="Arial"/>
                <w:color w:val="A6A6A6"/>
                <w:szCs w:val="22"/>
              </w:rPr>
              <w:t>67</w:t>
            </w:r>
          </w:p>
        </w:tc>
        <w:tc>
          <w:tcPr>
            <w:tcW w:w="932" w:type="pct"/>
            <w:vAlign w:val="center"/>
          </w:tcPr>
          <w:p w14:paraId="309AC374" w14:textId="77777777" w:rsidR="002120A5" w:rsidRPr="006644A8" w:rsidDel="006809FF" w:rsidRDefault="002120A5" w:rsidP="003A1E46">
            <w:pPr>
              <w:pStyle w:val="Bodytext"/>
              <w:spacing w:after="60"/>
            </w:pPr>
            <w:r w:rsidRPr="006644A8">
              <w:t>Time</w:t>
            </w:r>
          </w:p>
        </w:tc>
      </w:tr>
      <w:tr w:rsidR="002120A5" w:rsidRPr="006644A8" w14:paraId="73EFF98D" w14:textId="77777777" w:rsidTr="003A1E46">
        <w:trPr>
          <w:trHeight w:val="264"/>
        </w:trPr>
        <w:tc>
          <w:tcPr>
            <w:tcW w:w="951" w:type="pct"/>
            <w:gridSpan w:val="2"/>
            <w:shd w:val="clear" w:color="auto" w:fill="auto"/>
            <w:noWrap/>
            <w:vAlign w:val="center"/>
          </w:tcPr>
          <w:p w14:paraId="5A221C16" w14:textId="77777777" w:rsidR="002120A5" w:rsidRPr="006644A8" w:rsidRDefault="002120A5" w:rsidP="003A1E46">
            <w:pPr>
              <w:pStyle w:val="Bodytext"/>
              <w:spacing w:after="60"/>
            </w:pPr>
            <w:r w:rsidRPr="006644A8">
              <w:t>Salaries and related costs</w:t>
            </w:r>
          </w:p>
        </w:tc>
        <w:tc>
          <w:tcPr>
            <w:tcW w:w="508" w:type="pct"/>
            <w:gridSpan w:val="2"/>
            <w:shd w:val="clear" w:color="auto" w:fill="D9D9D9" w:themeFill="background1" w:themeFillShade="D9"/>
            <w:vAlign w:val="center"/>
          </w:tcPr>
          <w:p w14:paraId="699C6BAE" w14:textId="0F60451C" w:rsidR="002120A5" w:rsidRPr="006644A8" w:rsidRDefault="002120A5" w:rsidP="003A1E46">
            <w:pPr>
              <w:pStyle w:val="Bodytext"/>
              <w:spacing w:after="60"/>
              <w:jc w:val="right"/>
            </w:pPr>
            <w:r>
              <w:rPr>
                <w:rFonts w:cs="Arial"/>
                <w:color w:val="424141"/>
                <w:szCs w:val="22"/>
              </w:rPr>
              <w:t>4</w:t>
            </w:r>
          </w:p>
        </w:tc>
        <w:tc>
          <w:tcPr>
            <w:tcW w:w="508" w:type="pct"/>
            <w:vAlign w:val="center"/>
          </w:tcPr>
          <w:p w14:paraId="30DBDD6F" w14:textId="7B4802A2" w:rsidR="002120A5" w:rsidRPr="008D0DFF" w:rsidRDefault="002120A5" w:rsidP="003A1E46">
            <w:pPr>
              <w:pStyle w:val="Bodytext"/>
              <w:spacing w:after="60"/>
              <w:jc w:val="right"/>
              <w:rPr>
                <w:color w:val="A6A6A6" w:themeColor="background1" w:themeShade="A6"/>
              </w:rPr>
            </w:pPr>
            <w:r>
              <w:rPr>
                <w:rFonts w:cs="Arial"/>
                <w:color w:val="A6A6A6"/>
                <w:szCs w:val="22"/>
              </w:rPr>
              <w:t>5</w:t>
            </w:r>
          </w:p>
        </w:tc>
        <w:tc>
          <w:tcPr>
            <w:tcW w:w="518" w:type="pct"/>
            <w:gridSpan w:val="3"/>
            <w:shd w:val="clear" w:color="auto" w:fill="D9D9D9" w:themeFill="background1" w:themeFillShade="D9"/>
            <w:vAlign w:val="center"/>
          </w:tcPr>
          <w:p w14:paraId="7DCAC263" w14:textId="1499FB4A" w:rsidR="002120A5" w:rsidRPr="006644A8" w:rsidRDefault="002120A5" w:rsidP="003A1E46">
            <w:pPr>
              <w:pStyle w:val="Bodytext"/>
              <w:spacing w:after="60"/>
              <w:jc w:val="right"/>
            </w:pPr>
            <w:r>
              <w:rPr>
                <w:rFonts w:cs="Arial"/>
                <w:color w:val="424141"/>
                <w:szCs w:val="22"/>
              </w:rPr>
              <w:t>55</w:t>
            </w:r>
          </w:p>
        </w:tc>
        <w:tc>
          <w:tcPr>
            <w:tcW w:w="546" w:type="pct"/>
            <w:gridSpan w:val="2"/>
            <w:vAlign w:val="center"/>
          </w:tcPr>
          <w:p w14:paraId="669052B6" w14:textId="7249F1DD" w:rsidR="002120A5" w:rsidRPr="008D0DFF" w:rsidRDefault="002120A5" w:rsidP="003A1E46">
            <w:pPr>
              <w:pStyle w:val="Bodytext"/>
              <w:spacing w:after="60"/>
              <w:jc w:val="right"/>
              <w:rPr>
                <w:color w:val="A6A6A6" w:themeColor="background1" w:themeShade="A6"/>
              </w:rPr>
            </w:pPr>
            <w:r>
              <w:rPr>
                <w:rFonts w:cs="Arial"/>
                <w:color w:val="A6A6A6"/>
                <w:szCs w:val="22"/>
              </w:rPr>
              <w:t>53</w:t>
            </w:r>
          </w:p>
        </w:tc>
        <w:tc>
          <w:tcPr>
            <w:tcW w:w="508" w:type="pct"/>
            <w:gridSpan w:val="2"/>
            <w:shd w:val="clear" w:color="auto" w:fill="D9D9D9" w:themeFill="background1" w:themeFillShade="D9"/>
            <w:noWrap/>
            <w:vAlign w:val="center"/>
          </w:tcPr>
          <w:p w14:paraId="49C20EF8" w14:textId="19D09D07" w:rsidR="002120A5" w:rsidRPr="006644A8" w:rsidRDefault="002120A5" w:rsidP="003A1E46">
            <w:pPr>
              <w:pStyle w:val="Bodytext"/>
              <w:spacing w:after="60"/>
              <w:jc w:val="right"/>
            </w:pPr>
            <w:r>
              <w:rPr>
                <w:rFonts w:cs="Arial"/>
                <w:color w:val="424141"/>
                <w:szCs w:val="22"/>
              </w:rPr>
              <w:t>59</w:t>
            </w:r>
          </w:p>
        </w:tc>
        <w:tc>
          <w:tcPr>
            <w:tcW w:w="529" w:type="pct"/>
            <w:shd w:val="clear" w:color="auto" w:fill="auto"/>
            <w:noWrap/>
            <w:vAlign w:val="center"/>
          </w:tcPr>
          <w:p w14:paraId="34C52DCA" w14:textId="7324E530" w:rsidR="002120A5" w:rsidRPr="008D0DFF" w:rsidRDefault="002120A5" w:rsidP="003A1E46">
            <w:pPr>
              <w:pStyle w:val="Bodytext"/>
              <w:spacing w:after="60"/>
              <w:jc w:val="right"/>
              <w:rPr>
                <w:color w:val="A6A6A6" w:themeColor="background1" w:themeShade="A6"/>
              </w:rPr>
            </w:pPr>
            <w:r>
              <w:rPr>
                <w:rFonts w:cs="Arial"/>
                <w:color w:val="A6A6A6"/>
                <w:szCs w:val="22"/>
              </w:rPr>
              <w:t>58</w:t>
            </w:r>
          </w:p>
        </w:tc>
        <w:tc>
          <w:tcPr>
            <w:tcW w:w="932" w:type="pct"/>
            <w:vAlign w:val="center"/>
          </w:tcPr>
          <w:p w14:paraId="0B7A753A" w14:textId="77777777" w:rsidR="002120A5" w:rsidRPr="006644A8" w:rsidDel="006809FF" w:rsidRDefault="002120A5" w:rsidP="003A1E46">
            <w:pPr>
              <w:pStyle w:val="Bodytext"/>
              <w:spacing w:after="60"/>
            </w:pPr>
            <w:r w:rsidRPr="006644A8">
              <w:t>Time</w:t>
            </w:r>
          </w:p>
        </w:tc>
      </w:tr>
      <w:tr w:rsidR="002120A5" w:rsidRPr="006644A8" w14:paraId="0C24E3C9" w14:textId="77777777" w:rsidTr="003A1E46">
        <w:trPr>
          <w:trHeight w:val="264"/>
        </w:trPr>
        <w:tc>
          <w:tcPr>
            <w:tcW w:w="951" w:type="pct"/>
            <w:gridSpan w:val="2"/>
            <w:shd w:val="clear" w:color="auto" w:fill="auto"/>
            <w:noWrap/>
            <w:vAlign w:val="center"/>
          </w:tcPr>
          <w:p w14:paraId="58457B00" w14:textId="77777777" w:rsidR="002120A5" w:rsidRPr="006644A8" w:rsidRDefault="002120A5" w:rsidP="003A1E46">
            <w:pPr>
              <w:pStyle w:val="Bodytext"/>
              <w:spacing w:after="60"/>
            </w:pPr>
            <w:r w:rsidRPr="006644A8">
              <w:t>Bank charges</w:t>
            </w:r>
          </w:p>
        </w:tc>
        <w:tc>
          <w:tcPr>
            <w:tcW w:w="508" w:type="pct"/>
            <w:gridSpan w:val="2"/>
            <w:shd w:val="clear" w:color="auto" w:fill="D9D9D9" w:themeFill="background1" w:themeFillShade="D9"/>
            <w:vAlign w:val="center"/>
          </w:tcPr>
          <w:p w14:paraId="7C8C94AD" w14:textId="697965DC" w:rsidR="002120A5" w:rsidRPr="006644A8" w:rsidDel="006809FF" w:rsidRDefault="002120A5" w:rsidP="003A1E46">
            <w:pPr>
              <w:pStyle w:val="Bodytext"/>
              <w:spacing w:after="60"/>
              <w:jc w:val="right"/>
            </w:pPr>
            <w:r>
              <w:rPr>
                <w:rFonts w:cs="Arial"/>
                <w:color w:val="424141"/>
                <w:szCs w:val="22"/>
              </w:rPr>
              <w:t> </w:t>
            </w:r>
          </w:p>
        </w:tc>
        <w:tc>
          <w:tcPr>
            <w:tcW w:w="508" w:type="pct"/>
            <w:vAlign w:val="center"/>
          </w:tcPr>
          <w:p w14:paraId="38309D58" w14:textId="714599D6" w:rsidR="002120A5" w:rsidRPr="008D0DFF" w:rsidRDefault="002120A5" w:rsidP="003A1E46">
            <w:pPr>
              <w:pStyle w:val="Bodytext"/>
              <w:spacing w:after="60"/>
              <w:jc w:val="right"/>
              <w:rPr>
                <w:color w:val="A6A6A6" w:themeColor="background1" w:themeShade="A6"/>
              </w:rPr>
            </w:pPr>
            <w:r>
              <w:rPr>
                <w:rFonts w:cs="Arial"/>
                <w:color w:val="A6A6A6"/>
                <w:szCs w:val="22"/>
              </w:rPr>
              <w:t> </w:t>
            </w:r>
          </w:p>
        </w:tc>
        <w:tc>
          <w:tcPr>
            <w:tcW w:w="518" w:type="pct"/>
            <w:gridSpan w:val="3"/>
            <w:shd w:val="clear" w:color="auto" w:fill="D9D9D9" w:themeFill="background1" w:themeFillShade="D9"/>
            <w:vAlign w:val="center"/>
          </w:tcPr>
          <w:p w14:paraId="3C111368" w14:textId="162B9CAF" w:rsidR="002120A5" w:rsidRPr="006644A8" w:rsidDel="006809FF" w:rsidRDefault="002120A5" w:rsidP="003A1E46">
            <w:pPr>
              <w:pStyle w:val="Bodytext"/>
              <w:spacing w:after="60"/>
              <w:jc w:val="right"/>
            </w:pPr>
            <w:r>
              <w:rPr>
                <w:rFonts w:cs="Arial"/>
                <w:color w:val="424141"/>
                <w:szCs w:val="22"/>
              </w:rPr>
              <w:t>3</w:t>
            </w:r>
          </w:p>
        </w:tc>
        <w:tc>
          <w:tcPr>
            <w:tcW w:w="546" w:type="pct"/>
            <w:gridSpan w:val="2"/>
            <w:vAlign w:val="center"/>
          </w:tcPr>
          <w:p w14:paraId="76225FD5" w14:textId="22269575" w:rsidR="002120A5" w:rsidRPr="008D0DFF" w:rsidRDefault="002120A5" w:rsidP="003A1E46">
            <w:pPr>
              <w:pStyle w:val="Bodytext"/>
              <w:spacing w:after="60"/>
              <w:jc w:val="right"/>
              <w:rPr>
                <w:color w:val="A6A6A6" w:themeColor="background1" w:themeShade="A6"/>
              </w:rPr>
            </w:pPr>
            <w:r>
              <w:rPr>
                <w:rFonts w:cs="Arial"/>
                <w:color w:val="A6A6A6"/>
                <w:szCs w:val="22"/>
              </w:rPr>
              <w:t>2</w:t>
            </w:r>
          </w:p>
        </w:tc>
        <w:tc>
          <w:tcPr>
            <w:tcW w:w="508" w:type="pct"/>
            <w:gridSpan w:val="2"/>
            <w:shd w:val="clear" w:color="auto" w:fill="D9D9D9" w:themeFill="background1" w:themeFillShade="D9"/>
            <w:noWrap/>
            <w:vAlign w:val="center"/>
          </w:tcPr>
          <w:p w14:paraId="1FC37387" w14:textId="3D405F9A" w:rsidR="002120A5" w:rsidRPr="006644A8" w:rsidRDefault="002120A5" w:rsidP="003A1E46">
            <w:pPr>
              <w:pStyle w:val="Bodytext"/>
              <w:spacing w:after="60"/>
              <w:jc w:val="right"/>
            </w:pPr>
            <w:r>
              <w:rPr>
                <w:rFonts w:cs="Arial"/>
                <w:color w:val="424141"/>
                <w:szCs w:val="22"/>
              </w:rPr>
              <w:t>3</w:t>
            </w:r>
          </w:p>
        </w:tc>
        <w:tc>
          <w:tcPr>
            <w:tcW w:w="529" w:type="pct"/>
            <w:shd w:val="clear" w:color="auto" w:fill="auto"/>
            <w:noWrap/>
            <w:vAlign w:val="center"/>
          </w:tcPr>
          <w:p w14:paraId="2833D358" w14:textId="69A07654" w:rsidR="002120A5" w:rsidRPr="008D0DFF" w:rsidRDefault="002120A5" w:rsidP="003A1E46">
            <w:pPr>
              <w:pStyle w:val="Bodytext"/>
              <w:spacing w:after="60"/>
              <w:jc w:val="right"/>
              <w:rPr>
                <w:color w:val="A6A6A6" w:themeColor="background1" w:themeShade="A6"/>
              </w:rPr>
            </w:pPr>
            <w:r>
              <w:rPr>
                <w:rFonts w:cs="Arial"/>
                <w:color w:val="A6A6A6"/>
                <w:szCs w:val="22"/>
              </w:rPr>
              <w:t>2</w:t>
            </w:r>
          </w:p>
        </w:tc>
        <w:tc>
          <w:tcPr>
            <w:tcW w:w="932" w:type="pct"/>
            <w:vAlign w:val="center"/>
          </w:tcPr>
          <w:p w14:paraId="673F8D84" w14:textId="77777777" w:rsidR="002120A5" w:rsidRPr="006644A8" w:rsidDel="006809FF" w:rsidRDefault="002120A5" w:rsidP="003A1E46">
            <w:pPr>
              <w:pStyle w:val="Bodytext"/>
              <w:spacing w:after="60"/>
            </w:pPr>
            <w:r w:rsidRPr="006644A8">
              <w:t>Expenditure</w:t>
            </w:r>
          </w:p>
        </w:tc>
      </w:tr>
      <w:tr w:rsidR="002120A5" w:rsidRPr="006644A8" w14:paraId="42818DE8" w14:textId="77777777" w:rsidTr="003A1E46">
        <w:trPr>
          <w:trHeight w:val="264"/>
        </w:trPr>
        <w:tc>
          <w:tcPr>
            <w:tcW w:w="951" w:type="pct"/>
            <w:gridSpan w:val="2"/>
            <w:shd w:val="clear" w:color="auto" w:fill="auto"/>
            <w:noWrap/>
            <w:vAlign w:val="center"/>
          </w:tcPr>
          <w:p w14:paraId="7E435FE5" w14:textId="77777777" w:rsidR="002120A5" w:rsidRPr="006644A8" w:rsidRDefault="002120A5" w:rsidP="003A1E46">
            <w:pPr>
              <w:pStyle w:val="Bodytext"/>
              <w:spacing w:after="60"/>
            </w:pPr>
            <w:r w:rsidRPr="006644A8">
              <w:t>Office rent</w:t>
            </w:r>
          </w:p>
        </w:tc>
        <w:tc>
          <w:tcPr>
            <w:tcW w:w="508" w:type="pct"/>
            <w:gridSpan w:val="2"/>
            <w:shd w:val="clear" w:color="auto" w:fill="D9D9D9" w:themeFill="background1" w:themeFillShade="D9"/>
            <w:vAlign w:val="center"/>
          </w:tcPr>
          <w:p w14:paraId="79C2D823" w14:textId="4BE8571F" w:rsidR="002120A5" w:rsidRPr="006644A8" w:rsidDel="006809FF" w:rsidRDefault="002120A5" w:rsidP="003A1E46">
            <w:pPr>
              <w:pStyle w:val="Bodytext"/>
              <w:spacing w:after="60"/>
              <w:jc w:val="right"/>
            </w:pPr>
            <w:r>
              <w:rPr>
                <w:rFonts w:cs="Arial"/>
                <w:color w:val="424141"/>
                <w:szCs w:val="22"/>
              </w:rPr>
              <w:t> </w:t>
            </w:r>
          </w:p>
        </w:tc>
        <w:tc>
          <w:tcPr>
            <w:tcW w:w="508" w:type="pct"/>
            <w:vAlign w:val="center"/>
          </w:tcPr>
          <w:p w14:paraId="42EAB1F9" w14:textId="2B631B9A" w:rsidR="002120A5" w:rsidRPr="008D0DFF" w:rsidRDefault="002120A5" w:rsidP="003A1E46">
            <w:pPr>
              <w:pStyle w:val="Bodytext"/>
              <w:spacing w:after="60"/>
              <w:jc w:val="right"/>
              <w:rPr>
                <w:color w:val="A6A6A6" w:themeColor="background1" w:themeShade="A6"/>
              </w:rPr>
            </w:pPr>
            <w:r>
              <w:rPr>
                <w:rFonts w:cs="Arial"/>
                <w:color w:val="A6A6A6"/>
                <w:szCs w:val="22"/>
              </w:rPr>
              <w:t> </w:t>
            </w:r>
          </w:p>
        </w:tc>
        <w:tc>
          <w:tcPr>
            <w:tcW w:w="518" w:type="pct"/>
            <w:gridSpan w:val="3"/>
            <w:shd w:val="clear" w:color="auto" w:fill="D9D9D9" w:themeFill="background1" w:themeFillShade="D9"/>
            <w:vAlign w:val="center"/>
          </w:tcPr>
          <w:p w14:paraId="40BA6FA7" w14:textId="1426A689" w:rsidR="002120A5" w:rsidRPr="006644A8" w:rsidDel="006809FF" w:rsidRDefault="002120A5" w:rsidP="003A1E46">
            <w:pPr>
              <w:pStyle w:val="Bodytext"/>
              <w:spacing w:after="60"/>
              <w:jc w:val="right"/>
            </w:pPr>
            <w:r>
              <w:rPr>
                <w:rFonts w:cs="Arial"/>
                <w:color w:val="424141"/>
                <w:szCs w:val="22"/>
              </w:rPr>
              <w:t>10</w:t>
            </w:r>
          </w:p>
        </w:tc>
        <w:tc>
          <w:tcPr>
            <w:tcW w:w="546" w:type="pct"/>
            <w:gridSpan w:val="2"/>
            <w:vAlign w:val="center"/>
          </w:tcPr>
          <w:p w14:paraId="4B5A3D79" w14:textId="29CF831A" w:rsidR="002120A5" w:rsidRPr="008D0DFF" w:rsidRDefault="002120A5" w:rsidP="003A1E46">
            <w:pPr>
              <w:pStyle w:val="Bodytext"/>
              <w:spacing w:after="60"/>
              <w:jc w:val="right"/>
              <w:rPr>
                <w:color w:val="A6A6A6" w:themeColor="background1" w:themeShade="A6"/>
              </w:rPr>
            </w:pPr>
            <w:r>
              <w:rPr>
                <w:rFonts w:cs="Arial"/>
                <w:color w:val="A6A6A6"/>
                <w:szCs w:val="22"/>
              </w:rPr>
              <w:t>8</w:t>
            </w:r>
          </w:p>
        </w:tc>
        <w:tc>
          <w:tcPr>
            <w:tcW w:w="508" w:type="pct"/>
            <w:gridSpan w:val="2"/>
            <w:shd w:val="clear" w:color="auto" w:fill="D9D9D9" w:themeFill="background1" w:themeFillShade="D9"/>
            <w:noWrap/>
            <w:vAlign w:val="center"/>
          </w:tcPr>
          <w:p w14:paraId="5FF522B2" w14:textId="18E5522A" w:rsidR="002120A5" w:rsidRPr="006644A8" w:rsidRDefault="002120A5" w:rsidP="003A1E46">
            <w:pPr>
              <w:pStyle w:val="Bodytext"/>
              <w:spacing w:after="60"/>
              <w:jc w:val="right"/>
            </w:pPr>
            <w:r>
              <w:rPr>
                <w:rFonts w:cs="Arial"/>
                <w:color w:val="424141"/>
                <w:szCs w:val="22"/>
              </w:rPr>
              <w:t>10</w:t>
            </w:r>
          </w:p>
        </w:tc>
        <w:tc>
          <w:tcPr>
            <w:tcW w:w="529" w:type="pct"/>
            <w:shd w:val="clear" w:color="auto" w:fill="auto"/>
            <w:noWrap/>
            <w:vAlign w:val="center"/>
          </w:tcPr>
          <w:p w14:paraId="5A40FB67" w14:textId="308DE74E" w:rsidR="002120A5" w:rsidRPr="008D0DFF" w:rsidRDefault="002120A5" w:rsidP="003A1E46">
            <w:pPr>
              <w:pStyle w:val="Bodytext"/>
              <w:spacing w:after="60"/>
              <w:jc w:val="right"/>
              <w:rPr>
                <w:color w:val="A6A6A6" w:themeColor="background1" w:themeShade="A6"/>
              </w:rPr>
            </w:pPr>
            <w:r>
              <w:rPr>
                <w:rFonts w:cs="Arial"/>
                <w:color w:val="A6A6A6"/>
                <w:szCs w:val="22"/>
              </w:rPr>
              <w:t>8</w:t>
            </w:r>
          </w:p>
        </w:tc>
        <w:tc>
          <w:tcPr>
            <w:tcW w:w="932" w:type="pct"/>
            <w:vAlign w:val="center"/>
          </w:tcPr>
          <w:p w14:paraId="09F9781C" w14:textId="77777777" w:rsidR="002120A5" w:rsidRPr="006644A8" w:rsidDel="006809FF" w:rsidRDefault="002120A5" w:rsidP="003A1E46">
            <w:pPr>
              <w:pStyle w:val="Bodytext"/>
              <w:spacing w:after="60"/>
            </w:pPr>
            <w:r w:rsidRPr="006644A8">
              <w:t>Salaries</w:t>
            </w:r>
          </w:p>
        </w:tc>
      </w:tr>
      <w:tr w:rsidR="002120A5" w:rsidRPr="006644A8" w14:paraId="0B50C0F2" w14:textId="77777777" w:rsidTr="003A1E46">
        <w:trPr>
          <w:trHeight w:val="264"/>
        </w:trPr>
        <w:tc>
          <w:tcPr>
            <w:tcW w:w="951" w:type="pct"/>
            <w:gridSpan w:val="2"/>
            <w:shd w:val="clear" w:color="auto" w:fill="auto"/>
            <w:noWrap/>
            <w:vAlign w:val="center"/>
          </w:tcPr>
          <w:p w14:paraId="7F2DDEE9" w14:textId="77777777" w:rsidR="002120A5" w:rsidRPr="006644A8" w:rsidRDefault="002120A5" w:rsidP="003A1E46">
            <w:pPr>
              <w:pStyle w:val="Bodytext"/>
              <w:spacing w:after="60"/>
            </w:pPr>
            <w:r w:rsidRPr="006644A8">
              <w:t>Computer expenses</w:t>
            </w:r>
          </w:p>
        </w:tc>
        <w:tc>
          <w:tcPr>
            <w:tcW w:w="508" w:type="pct"/>
            <w:gridSpan w:val="2"/>
            <w:shd w:val="clear" w:color="auto" w:fill="D9D9D9" w:themeFill="background1" w:themeFillShade="D9"/>
            <w:vAlign w:val="center"/>
          </w:tcPr>
          <w:p w14:paraId="1DCD847C" w14:textId="4EEF7134" w:rsidR="002120A5" w:rsidRPr="006644A8" w:rsidDel="006809FF" w:rsidRDefault="002120A5" w:rsidP="003A1E46">
            <w:pPr>
              <w:pStyle w:val="Bodytext"/>
              <w:spacing w:after="60"/>
              <w:jc w:val="right"/>
            </w:pPr>
            <w:r>
              <w:rPr>
                <w:rFonts w:cs="Arial"/>
                <w:color w:val="424141"/>
                <w:szCs w:val="22"/>
              </w:rPr>
              <w:t> </w:t>
            </w:r>
          </w:p>
        </w:tc>
        <w:tc>
          <w:tcPr>
            <w:tcW w:w="508" w:type="pct"/>
            <w:vAlign w:val="center"/>
          </w:tcPr>
          <w:p w14:paraId="70605BFD" w14:textId="52D6B7DF" w:rsidR="002120A5" w:rsidRPr="008D0DFF" w:rsidRDefault="002120A5" w:rsidP="003A1E46">
            <w:pPr>
              <w:pStyle w:val="Bodytext"/>
              <w:spacing w:after="60"/>
              <w:jc w:val="right"/>
              <w:rPr>
                <w:color w:val="A6A6A6" w:themeColor="background1" w:themeShade="A6"/>
              </w:rPr>
            </w:pPr>
            <w:r>
              <w:rPr>
                <w:rFonts w:cs="Arial"/>
                <w:color w:val="A6A6A6"/>
                <w:szCs w:val="22"/>
              </w:rPr>
              <w:t> </w:t>
            </w:r>
          </w:p>
        </w:tc>
        <w:tc>
          <w:tcPr>
            <w:tcW w:w="518" w:type="pct"/>
            <w:gridSpan w:val="3"/>
            <w:shd w:val="clear" w:color="auto" w:fill="D9D9D9" w:themeFill="background1" w:themeFillShade="D9"/>
            <w:vAlign w:val="center"/>
          </w:tcPr>
          <w:p w14:paraId="3BB5FC09" w14:textId="1258DA01" w:rsidR="002120A5" w:rsidRPr="006644A8" w:rsidDel="006809FF" w:rsidRDefault="002120A5" w:rsidP="003A1E46">
            <w:pPr>
              <w:pStyle w:val="Bodytext"/>
              <w:spacing w:after="60"/>
              <w:jc w:val="right"/>
            </w:pPr>
            <w:r>
              <w:rPr>
                <w:rFonts w:cs="Arial"/>
                <w:color w:val="424141"/>
                <w:szCs w:val="22"/>
              </w:rPr>
              <w:t>5</w:t>
            </w:r>
          </w:p>
        </w:tc>
        <w:tc>
          <w:tcPr>
            <w:tcW w:w="546" w:type="pct"/>
            <w:gridSpan w:val="2"/>
            <w:vAlign w:val="center"/>
          </w:tcPr>
          <w:p w14:paraId="4F92BA50" w14:textId="75B012BB" w:rsidR="002120A5" w:rsidRPr="008D0DFF" w:rsidRDefault="002120A5" w:rsidP="003A1E46">
            <w:pPr>
              <w:pStyle w:val="Bodytext"/>
              <w:spacing w:after="60"/>
              <w:jc w:val="right"/>
              <w:rPr>
                <w:color w:val="A6A6A6" w:themeColor="background1" w:themeShade="A6"/>
              </w:rPr>
            </w:pPr>
            <w:r>
              <w:rPr>
                <w:rFonts w:cs="Arial"/>
                <w:color w:val="A6A6A6"/>
                <w:szCs w:val="22"/>
              </w:rPr>
              <w:t>3</w:t>
            </w:r>
          </w:p>
        </w:tc>
        <w:tc>
          <w:tcPr>
            <w:tcW w:w="508" w:type="pct"/>
            <w:gridSpan w:val="2"/>
            <w:shd w:val="clear" w:color="auto" w:fill="D9D9D9" w:themeFill="background1" w:themeFillShade="D9"/>
            <w:noWrap/>
            <w:vAlign w:val="center"/>
          </w:tcPr>
          <w:p w14:paraId="4B026F1F" w14:textId="7ECB7CE0" w:rsidR="002120A5" w:rsidRPr="006644A8" w:rsidRDefault="002120A5" w:rsidP="003A1E46">
            <w:pPr>
              <w:pStyle w:val="Bodytext"/>
              <w:spacing w:after="60"/>
              <w:jc w:val="right"/>
            </w:pPr>
            <w:r>
              <w:rPr>
                <w:rFonts w:cs="Arial"/>
                <w:color w:val="424141"/>
                <w:szCs w:val="22"/>
              </w:rPr>
              <w:t>5</w:t>
            </w:r>
          </w:p>
        </w:tc>
        <w:tc>
          <w:tcPr>
            <w:tcW w:w="529" w:type="pct"/>
            <w:shd w:val="clear" w:color="auto" w:fill="auto"/>
            <w:noWrap/>
            <w:vAlign w:val="center"/>
          </w:tcPr>
          <w:p w14:paraId="376DCCDB" w14:textId="5F82A1C6" w:rsidR="002120A5" w:rsidRPr="008D0DFF" w:rsidRDefault="002120A5" w:rsidP="003A1E46">
            <w:pPr>
              <w:pStyle w:val="Bodytext"/>
              <w:spacing w:after="60"/>
              <w:jc w:val="right"/>
              <w:rPr>
                <w:color w:val="A6A6A6" w:themeColor="background1" w:themeShade="A6"/>
              </w:rPr>
            </w:pPr>
            <w:r>
              <w:rPr>
                <w:rFonts w:cs="Arial"/>
                <w:color w:val="A6A6A6"/>
                <w:szCs w:val="22"/>
              </w:rPr>
              <w:t>3</w:t>
            </w:r>
          </w:p>
        </w:tc>
        <w:tc>
          <w:tcPr>
            <w:tcW w:w="932" w:type="pct"/>
            <w:vAlign w:val="center"/>
          </w:tcPr>
          <w:p w14:paraId="0A58CA2C" w14:textId="77777777" w:rsidR="002120A5" w:rsidRPr="006644A8" w:rsidDel="006809FF" w:rsidRDefault="002120A5" w:rsidP="003A1E46">
            <w:pPr>
              <w:pStyle w:val="Bodytext"/>
              <w:spacing w:after="60"/>
            </w:pPr>
            <w:r w:rsidRPr="006644A8">
              <w:t>Salaries</w:t>
            </w:r>
          </w:p>
        </w:tc>
      </w:tr>
      <w:tr w:rsidR="002120A5" w:rsidRPr="006644A8" w14:paraId="5CB408F7" w14:textId="77777777" w:rsidTr="00E87AD4">
        <w:trPr>
          <w:trHeight w:val="264"/>
        </w:trPr>
        <w:tc>
          <w:tcPr>
            <w:tcW w:w="951" w:type="pct"/>
            <w:gridSpan w:val="2"/>
            <w:shd w:val="clear" w:color="auto" w:fill="auto"/>
            <w:noWrap/>
            <w:vAlign w:val="center"/>
          </w:tcPr>
          <w:p w14:paraId="3406B7EA" w14:textId="77777777" w:rsidR="002120A5" w:rsidRPr="006644A8" w:rsidRDefault="002120A5" w:rsidP="003A1E46">
            <w:pPr>
              <w:pStyle w:val="Bodytext"/>
              <w:spacing w:after="60"/>
            </w:pPr>
            <w:r w:rsidRPr="006644A8">
              <w:t>Insurance</w:t>
            </w:r>
          </w:p>
        </w:tc>
        <w:tc>
          <w:tcPr>
            <w:tcW w:w="508" w:type="pct"/>
            <w:gridSpan w:val="2"/>
            <w:shd w:val="clear" w:color="auto" w:fill="D9D9D9" w:themeFill="background1" w:themeFillShade="D9"/>
            <w:vAlign w:val="center"/>
          </w:tcPr>
          <w:p w14:paraId="00CA6819" w14:textId="31850145" w:rsidR="002120A5" w:rsidRPr="006644A8" w:rsidDel="006809FF" w:rsidRDefault="002120A5" w:rsidP="003A1E46">
            <w:pPr>
              <w:pStyle w:val="Bodytext"/>
              <w:spacing w:after="60"/>
              <w:jc w:val="right"/>
            </w:pPr>
            <w:r>
              <w:rPr>
                <w:rFonts w:cs="Arial"/>
                <w:color w:val="424141"/>
                <w:szCs w:val="22"/>
              </w:rPr>
              <w:t> </w:t>
            </w:r>
          </w:p>
        </w:tc>
        <w:tc>
          <w:tcPr>
            <w:tcW w:w="508" w:type="pct"/>
            <w:vAlign w:val="center"/>
          </w:tcPr>
          <w:p w14:paraId="7008439F" w14:textId="568E93D3" w:rsidR="002120A5" w:rsidRPr="008D0DFF" w:rsidRDefault="002120A5" w:rsidP="003A1E46">
            <w:pPr>
              <w:pStyle w:val="Bodytext"/>
              <w:spacing w:after="60"/>
              <w:jc w:val="right"/>
              <w:rPr>
                <w:color w:val="A6A6A6" w:themeColor="background1" w:themeShade="A6"/>
              </w:rPr>
            </w:pPr>
            <w:r>
              <w:rPr>
                <w:rFonts w:cs="Arial"/>
                <w:color w:val="A6A6A6"/>
                <w:szCs w:val="22"/>
              </w:rPr>
              <w:t> </w:t>
            </w:r>
          </w:p>
        </w:tc>
        <w:tc>
          <w:tcPr>
            <w:tcW w:w="518" w:type="pct"/>
            <w:gridSpan w:val="3"/>
            <w:shd w:val="clear" w:color="auto" w:fill="D9D9D9" w:themeFill="background1" w:themeFillShade="D9"/>
            <w:vAlign w:val="center"/>
          </w:tcPr>
          <w:p w14:paraId="081721FA" w14:textId="36C9E4BD" w:rsidR="002120A5" w:rsidRPr="006644A8" w:rsidDel="006809FF" w:rsidRDefault="002120A5" w:rsidP="003A1E46">
            <w:pPr>
              <w:pStyle w:val="Bodytext"/>
              <w:spacing w:after="60"/>
              <w:jc w:val="right"/>
            </w:pPr>
            <w:r>
              <w:rPr>
                <w:rFonts w:cs="Arial"/>
                <w:color w:val="424141"/>
                <w:szCs w:val="22"/>
              </w:rPr>
              <w:t>3</w:t>
            </w:r>
          </w:p>
        </w:tc>
        <w:tc>
          <w:tcPr>
            <w:tcW w:w="546" w:type="pct"/>
            <w:gridSpan w:val="2"/>
            <w:vAlign w:val="center"/>
          </w:tcPr>
          <w:p w14:paraId="7A7F3288" w14:textId="7A58ED64" w:rsidR="002120A5" w:rsidRPr="008D0DFF" w:rsidRDefault="002120A5" w:rsidP="003A1E46">
            <w:pPr>
              <w:pStyle w:val="Bodytext"/>
              <w:spacing w:after="60"/>
              <w:jc w:val="right"/>
              <w:rPr>
                <w:color w:val="A6A6A6" w:themeColor="background1" w:themeShade="A6"/>
              </w:rPr>
            </w:pPr>
            <w:r>
              <w:rPr>
                <w:rFonts w:cs="Arial"/>
                <w:color w:val="A6A6A6"/>
                <w:szCs w:val="22"/>
              </w:rPr>
              <w:t>2</w:t>
            </w:r>
          </w:p>
        </w:tc>
        <w:tc>
          <w:tcPr>
            <w:tcW w:w="508" w:type="pct"/>
            <w:gridSpan w:val="2"/>
            <w:shd w:val="clear" w:color="auto" w:fill="D9D9D9" w:themeFill="background1" w:themeFillShade="D9"/>
            <w:noWrap/>
            <w:vAlign w:val="center"/>
          </w:tcPr>
          <w:p w14:paraId="7CC28CE1" w14:textId="40980126" w:rsidR="002120A5" w:rsidRPr="006644A8" w:rsidRDefault="002120A5" w:rsidP="003A1E46">
            <w:pPr>
              <w:pStyle w:val="Bodytext"/>
              <w:spacing w:after="60"/>
              <w:jc w:val="right"/>
            </w:pPr>
            <w:r>
              <w:rPr>
                <w:rFonts w:cs="Arial"/>
                <w:color w:val="424141"/>
                <w:szCs w:val="22"/>
              </w:rPr>
              <w:t>3</w:t>
            </w:r>
          </w:p>
        </w:tc>
        <w:tc>
          <w:tcPr>
            <w:tcW w:w="529" w:type="pct"/>
            <w:shd w:val="clear" w:color="auto" w:fill="auto"/>
            <w:noWrap/>
            <w:vAlign w:val="center"/>
          </w:tcPr>
          <w:p w14:paraId="4EA38F25" w14:textId="2270F755" w:rsidR="002120A5" w:rsidRPr="008D0DFF" w:rsidRDefault="002120A5" w:rsidP="003A1E46">
            <w:pPr>
              <w:pStyle w:val="Bodytext"/>
              <w:spacing w:after="60"/>
              <w:jc w:val="right"/>
              <w:rPr>
                <w:color w:val="A6A6A6" w:themeColor="background1" w:themeShade="A6"/>
              </w:rPr>
            </w:pPr>
            <w:r>
              <w:rPr>
                <w:rFonts w:cs="Arial"/>
                <w:color w:val="A6A6A6"/>
                <w:szCs w:val="22"/>
              </w:rPr>
              <w:t>2</w:t>
            </w:r>
          </w:p>
        </w:tc>
        <w:tc>
          <w:tcPr>
            <w:tcW w:w="932" w:type="pct"/>
            <w:vAlign w:val="center"/>
          </w:tcPr>
          <w:p w14:paraId="73B75E92" w14:textId="77777777" w:rsidR="002120A5" w:rsidRPr="006644A8" w:rsidDel="006809FF" w:rsidRDefault="002120A5" w:rsidP="003A1E46">
            <w:pPr>
              <w:pStyle w:val="Bodytext"/>
              <w:spacing w:after="60"/>
            </w:pPr>
            <w:r w:rsidRPr="006644A8">
              <w:t>Salaries</w:t>
            </w:r>
          </w:p>
        </w:tc>
      </w:tr>
      <w:tr w:rsidR="002120A5" w:rsidRPr="006644A8" w14:paraId="1E9814C2" w14:textId="77777777" w:rsidTr="00DE4AFA">
        <w:trPr>
          <w:trHeight w:val="264"/>
        </w:trPr>
        <w:tc>
          <w:tcPr>
            <w:tcW w:w="951" w:type="pct"/>
            <w:gridSpan w:val="2"/>
            <w:shd w:val="clear" w:color="auto" w:fill="auto"/>
            <w:noWrap/>
            <w:vAlign w:val="center"/>
          </w:tcPr>
          <w:p w14:paraId="01C8C460" w14:textId="77777777" w:rsidR="002120A5" w:rsidRPr="006644A8" w:rsidRDefault="002120A5" w:rsidP="003A1E46">
            <w:pPr>
              <w:pStyle w:val="Bodytext"/>
              <w:spacing w:after="60"/>
            </w:pPr>
            <w:r w:rsidRPr="006644A8">
              <w:t>Miscellaneous</w:t>
            </w:r>
          </w:p>
        </w:tc>
        <w:tc>
          <w:tcPr>
            <w:tcW w:w="508" w:type="pct"/>
            <w:gridSpan w:val="2"/>
            <w:tcBorders>
              <w:bottom w:val="single" w:sz="4" w:space="0" w:color="auto"/>
            </w:tcBorders>
            <w:shd w:val="clear" w:color="auto" w:fill="D9D9D9" w:themeFill="background1" w:themeFillShade="D9"/>
            <w:vAlign w:val="center"/>
          </w:tcPr>
          <w:p w14:paraId="0E2245C9" w14:textId="62CD3A43" w:rsidR="002120A5" w:rsidRPr="006644A8" w:rsidDel="006809FF" w:rsidRDefault="002120A5" w:rsidP="003A1E46">
            <w:pPr>
              <w:pStyle w:val="Bodytext"/>
              <w:spacing w:after="60"/>
              <w:jc w:val="right"/>
            </w:pPr>
            <w:r>
              <w:rPr>
                <w:rFonts w:cs="Arial"/>
                <w:color w:val="424141"/>
                <w:szCs w:val="22"/>
              </w:rPr>
              <w:t> </w:t>
            </w:r>
          </w:p>
        </w:tc>
        <w:tc>
          <w:tcPr>
            <w:tcW w:w="508" w:type="pct"/>
            <w:tcBorders>
              <w:bottom w:val="single" w:sz="4" w:space="0" w:color="auto"/>
            </w:tcBorders>
            <w:vAlign w:val="center"/>
          </w:tcPr>
          <w:p w14:paraId="53DBD842" w14:textId="764119FE" w:rsidR="002120A5" w:rsidRPr="008D0DFF" w:rsidRDefault="002120A5" w:rsidP="003A1E46">
            <w:pPr>
              <w:pStyle w:val="Bodytext"/>
              <w:spacing w:after="60"/>
              <w:jc w:val="right"/>
              <w:rPr>
                <w:color w:val="A6A6A6" w:themeColor="background1" w:themeShade="A6"/>
              </w:rPr>
            </w:pPr>
            <w:r>
              <w:rPr>
                <w:rFonts w:cs="Arial"/>
                <w:color w:val="A6A6A6"/>
                <w:szCs w:val="22"/>
              </w:rPr>
              <w:t> </w:t>
            </w:r>
          </w:p>
        </w:tc>
        <w:tc>
          <w:tcPr>
            <w:tcW w:w="518" w:type="pct"/>
            <w:gridSpan w:val="3"/>
            <w:tcBorders>
              <w:bottom w:val="single" w:sz="4" w:space="0" w:color="auto"/>
            </w:tcBorders>
            <w:shd w:val="clear" w:color="auto" w:fill="D9D9D9" w:themeFill="background1" w:themeFillShade="D9"/>
            <w:vAlign w:val="center"/>
          </w:tcPr>
          <w:p w14:paraId="34043B36" w14:textId="3A8F1691" w:rsidR="002120A5" w:rsidRPr="006644A8" w:rsidDel="006809FF" w:rsidRDefault="002120A5" w:rsidP="003A1E46">
            <w:pPr>
              <w:pStyle w:val="Bodytext"/>
              <w:spacing w:after="60"/>
              <w:jc w:val="right"/>
            </w:pPr>
            <w:r>
              <w:rPr>
                <w:rFonts w:cs="Arial"/>
                <w:color w:val="424141"/>
                <w:szCs w:val="22"/>
              </w:rPr>
              <w:t>3</w:t>
            </w:r>
          </w:p>
        </w:tc>
        <w:tc>
          <w:tcPr>
            <w:tcW w:w="546" w:type="pct"/>
            <w:gridSpan w:val="2"/>
            <w:tcBorders>
              <w:bottom w:val="single" w:sz="4" w:space="0" w:color="auto"/>
            </w:tcBorders>
            <w:vAlign w:val="center"/>
          </w:tcPr>
          <w:p w14:paraId="21605B4A" w14:textId="1E6184BB" w:rsidR="002120A5" w:rsidRPr="008D0DFF" w:rsidRDefault="002120A5" w:rsidP="003A1E46">
            <w:pPr>
              <w:pStyle w:val="Bodytext"/>
              <w:spacing w:after="60"/>
              <w:jc w:val="right"/>
              <w:rPr>
                <w:color w:val="A6A6A6" w:themeColor="background1" w:themeShade="A6"/>
              </w:rPr>
            </w:pPr>
            <w:r>
              <w:rPr>
                <w:rFonts w:cs="Arial"/>
                <w:color w:val="A6A6A6"/>
                <w:szCs w:val="22"/>
              </w:rPr>
              <w:t>3</w:t>
            </w:r>
          </w:p>
        </w:tc>
        <w:tc>
          <w:tcPr>
            <w:tcW w:w="508" w:type="pct"/>
            <w:gridSpan w:val="2"/>
            <w:tcBorders>
              <w:bottom w:val="single" w:sz="4" w:space="0" w:color="auto"/>
            </w:tcBorders>
            <w:shd w:val="clear" w:color="auto" w:fill="D9D9D9" w:themeFill="background1" w:themeFillShade="D9"/>
            <w:noWrap/>
            <w:vAlign w:val="center"/>
          </w:tcPr>
          <w:p w14:paraId="089AE31A" w14:textId="1E2DBB6C" w:rsidR="002120A5" w:rsidRPr="006644A8" w:rsidRDefault="002120A5" w:rsidP="003A1E46">
            <w:pPr>
              <w:pStyle w:val="Bodytext"/>
              <w:spacing w:after="60"/>
              <w:jc w:val="right"/>
            </w:pPr>
            <w:r>
              <w:rPr>
                <w:rFonts w:cs="Arial"/>
                <w:color w:val="424141"/>
                <w:szCs w:val="22"/>
              </w:rPr>
              <w:t>3</w:t>
            </w:r>
          </w:p>
        </w:tc>
        <w:tc>
          <w:tcPr>
            <w:tcW w:w="529" w:type="pct"/>
            <w:tcBorders>
              <w:bottom w:val="single" w:sz="4" w:space="0" w:color="auto"/>
            </w:tcBorders>
            <w:shd w:val="clear" w:color="auto" w:fill="auto"/>
            <w:noWrap/>
            <w:vAlign w:val="center"/>
          </w:tcPr>
          <w:p w14:paraId="39071F48" w14:textId="5B7BEEA2" w:rsidR="002120A5" w:rsidRPr="008D0DFF" w:rsidRDefault="002120A5" w:rsidP="003A1E46">
            <w:pPr>
              <w:pStyle w:val="Bodytext"/>
              <w:spacing w:after="60"/>
              <w:jc w:val="right"/>
              <w:rPr>
                <w:color w:val="A6A6A6" w:themeColor="background1" w:themeShade="A6"/>
              </w:rPr>
            </w:pPr>
            <w:r>
              <w:rPr>
                <w:rFonts w:cs="Arial"/>
                <w:color w:val="A6A6A6"/>
                <w:szCs w:val="22"/>
              </w:rPr>
              <w:t>3</w:t>
            </w:r>
          </w:p>
        </w:tc>
        <w:tc>
          <w:tcPr>
            <w:tcW w:w="932" w:type="pct"/>
            <w:vAlign w:val="center"/>
          </w:tcPr>
          <w:p w14:paraId="6147E7E5" w14:textId="77777777" w:rsidR="002120A5" w:rsidRPr="006644A8" w:rsidDel="006809FF" w:rsidRDefault="002120A5" w:rsidP="003A1E46">
            <w:pPr>
              <w:pStyle w:val="Bodytext"/>
              <w:spacing w:after="60"/>
            </w:pPr>
            <w:r w:rsidRPr="006644A8">
              <w:t>Salaries</w:t>
            </w:r>
          </w:p>
        </w:tc>
      </w:tr>
      <w:tr w:rsidR="002120A5" w:rsidRPr="006644A8" w14:paraId="4A354280" w14:textId="77777777" w:rsidTr="00DE4AFA">
        <w:trPr>
          <w:trHeight w:val="264"/>
        </w:trPr>
        <w:tc>
          <w:tcPr>
            <w:tcW w:w="951" w:type="pct"/>
            <w:gridSpan w:val="2"/>
            <w:shd w:val="clear" w:color="auto" w:fill="auto"/>
            <w:noWrap/>
            <w:vAlign w:val="center"/>
          </w:tcPr>
          <w:p w14:paraId="4B6124C7" w14:textId="77777777" w:rsidR="002120A5" w:rsidRPr="00AF1A13" w:rsidRDefault="002120A5" w:rsidP="003A1E46">
            <w:pPr>
              <w:pStyle w:val="Bodytext"/>
              <w:spacing w:after="60"/>
              <w:rPr>
                <w:b/>
              </w:rPr>
            </w:pPr>
            <w:r w:rsidRPr="00AF1A13">
              <w:rPr>
                <w:b/>
              </w:rPr>
              <w:t xml:space="preserve">Total </w:t>
            </w:r>
          </w:p>
        </w:tc>
        <w:tc>
          <w:tcPr>
            <w:tcW w:w="508" w:type="pct"/>
            <w:gridSpan w:val="2"/>
            <w:tcBorders>
              <w:top w:val="single" w:sz="4" w:space="0" w:color="auto"/>
              <w:bottom w:val="double" w:sz="4" w:space="0" w:color="auto"/>
            </w:tcBorders>
            <w:shd w:val="clear" w:color="auto" w:fill="D9D9D9" w:themeFill="background1" w:themeFillShade="D9"/>
            <w:vAlign w:val="center"/>
          </w:tcPr>
          <w:p w14:paraId="68CCB903" w14:textId="3C7E92DF" w:rsidR="002120A5" w:rsidRPr="00AF1A13" w:rsidRDefault="002120A5" w:rsidP="003A1E46">
            <w:pPr>
              <w:pStyle w:val="Bodytext"/>
              <w:spacing w:after="60"/>
              <w:jc w:val="right"/>
              <w:rPr>
                <w:b/>
              </w:rPr>
            </w:pPr>
            <w:r>
              <w:rPr>
                <w:rFonts w:cs="Arial"/>
                <w:b/>
                <w:bCs/>
                <w:color w:val="424141"/>
                <w:szCs w:val="22"/>
              </w:rPr>
              <w:t>23</w:t>
            </w:r>
          </w:p>
        </w:tc>
        <w:tc>
          <w:tcPr>
            <w:tcW w:w="508" w:type="pct"/>
            <w:tcBorders>
              <w:top w:val="single" w:sz="4" w:space="0" w:color="auto"/>
              <w:bottom w:val="double" w:sz="4" w:space="0" w:color="auto"/>
            </w:tcBorders>
            <w:vAlign w:val="center"/>
          </w:tcPr>
          <w:p w14:paraId="10E29650" w14:textId="5ED53C91" w:rsidR="002120A5" w:rsidRPr="008D0DFF" w:rsidRDefault="002120A5" w:rsidP="003A1E46">
            <w:pPr>
              <w:pStyle w:val="Bodytext"/>
              <w:spacing w:after="60"/>
              <w:jc w:val="right"/>
              <w:rPr>
                <w:b/>
                <w:color w:val="A6A6A6" w:themeColor="background1" w:themeShade="A6"/>
              </w:rPr>
            </w:pPr>
            <w:r>
              <w:rPr>
                <w:rFonts w:cs="Arial"/>
                <w:b/>
                <w:bCs/>
                <w:color w:val="A6A6A6"/>
                <w:szCs w:val="22"/>
              </w:rPr>
              <w:t>25</w:t>
            </w:r>
          </w:p>
        </w:tc>
        <w:tc>
          <w:tcPr>
            <w:tcW w:w="518" w:type="pct"/>
            <w:gridSpan w:val="3"/>
            <w:tcBorders>
              <w:top w:val="single" w:sz="4" w:space="0" w:color="auto"/>
              <w:bottom w:val="double" w:sz="4" w:space="0" w:color="auto"/>
            </w:tcBorders>
            <w:shd w:val="clear" w:color="auto" w:fill="D9D9D9" w:themeFill="background1" w:themeFillShade="D9"/>
            <w:vAlign w:val="center"/>
          </w:tcPr>
          <w:p w14:paraId="5FAD35F4" w14:textId="3581726C" w:rsidR="002120A5" w:rsidRPr="00AF1A13" w:rsidRDefault="002120A5" w:rsidP="003A1E46">
            <w:pPr>
              <w:pStyle w:val="Bodytext"/>
              <w:spacing w:after="60"/>
              <w:jc w:val="right"/>
              <w:rPr>
                <w:b/>
              </w:rPr>
            </w:pPr>
            <w:r>
              <w:rPr>
                <w:rFonts w:cs="Arial"/>
                <w:b/>
                <w:bCs/>
                <w:color w:val="424141"/>
                <w:szCs w:val="22"/>
              </w:rPr>
              <w:t>344</w:t>
            </w:r>
          </w:p>
        </w:tc>
        <w:tc>
          <w:tcPr>
            <w:tcW w:w="546" w:type="pct"/>
            <w:gridSpan w:val="2"/>
            <w:tcBorders>
              <w:top w:val="single" w:sz="4" w:space="0" w:color="auto"/>
              <w:bottom w:val="double" w:sz="4" w:space="0" w:color="auto"/>
            </w:tcBorders>
            <w:vAlign w:val="center"/>
          </w:tcPr>
          <w:p w14:paraId="12FBC901" w14:textId="089F36BE" w:rsidR="002120A5" w:rsidRPr="008D0DFF" w:rsidRDefault="006974DD" w:rsidP="003A1E46">
            <w:pPr>
              <w:pStyle w:val="Bodytext"/>
              <w:spacing w:after="60"/>
              <w:jc w:val="right"/>
              <w:rPr>
                <w:b/>
                <w:color w:val="A6A6A6" w:themeColor="background1" w:themeShade="A6"/>
              </w:rPr>
            </w:pPr>
            <w:r>
              <w:rPr>
                <w:rFonts w:cs="Arial"/>
                <w:b/>
                <w:bCs/>
                <w:color w:val="A6A6A6"/>
                <w:szCs w:val="22"/>
              </w:rPr>
              <w:t>311</w:t>
            </w:r>
          </w:p>
        </w:tc>
        <w:tc>
          <w:tcPr>
            <w:tcW w:w="508" w:type="pct"/>
            <w:gridSpan w:val="2"/>
            <w:tcBorders>
              <w:top w:val="single" w:sz="4" w:space="0" w:color="auto"/>
              <w:bottom w:val="double" w:sz="4" w:space="0" w:color="auto"/>
            </w:tcBorders>
            <w:shd w:val="clear" w:color="auto" w:fill="D9D9D9" w:themeFill="background1" w:themeFillShade="D9"/>
            <w:noWrap/>
            <w:vAlign w:val="center"/>
          </w:tcPr>
          <w:p w14:paraId="605AEC66" w14:textId="66E3A462" w:rsidR="002120A5" w:rsidRPr="00AF1A13" w:rsidRDefault="002120A5" w:rsidP="003A1E46">
            <w:pPr>
              <w:pStyle w:val="Bodytext"/>
              <w:spacing w:after="60"/>
              <w:jc w:val="right"/>
              <w:rPr>
                <w:b/>
              </w:rPr>
            </w:pPr>
            <w:r>
              <w:rPr>
                <w:rFonts w:cs="Arial"/>
                <w:b/>
                <w:bCs/>
                <w:color w:val="424141"/>
                <w:szCs w:val="22"/>
              </w:rPr>
              <w:t>367</w:t>
            </w:r>
          </w:p>
        </w:tc>
        <w:tc>
          <w:tcPr>
            <w:tcW w:w="529" w:type="pct"/>
            <w:tcBorders>
              <w:top w:val="single" w:sz="4" w:space="0" w:color="auto"/>
              <w:bottom w:val="double" w:sz="4" w:space="0" w:color="auto"/>
            </w:tcBorders>
            <w:shd w:val="clear" w:color="auto" w:fill="auto"/>
            <w:vAlign w:val="center"/>
          </w:tcPr>
          <w:p w14:paraId="1B2BF85F" w14:textId="1E8D2414" w:rsidR="002120A5" w:rsidRPr="008D0DFF" w:rsidRDefault="00403F6E" w:rsidP="003A1E46">
            <w:pPr>
              <w:pStyle w:val="Bodytext"/>
              <w:spacing w:after="60"/>
              <w:jc w:val="right"/>
              <w:rPr>
                <w:b/>
                <w:color w:val="A6A6A6" w:themeColor="background1" w:themeShade="A6"/>
              </w:rPr>
            </w:pPr>
            <w:r>
              <w:rPr>
                <w:rFonts w:cs="Arial"/>
                <w:b/>
                <w:bCs/>
                <w:color w:val="A6A6A6"/>
                <w:szCs w:val="22"/>
              </w:rPr>
              <w:t>336</w:t>
            </w:r>
          </w:p>
        </w:tc>
        <w:tc>
          <w:tcPr>
            <w:tcW w:w="932" w:type="pct"/>
            <w:vAlign w:val="center"/>
          </w:tcPr>
          <w:p w14:paraId="00E41CE6" w14:textId="77777777" w:rsidR="002120A5" w:rsidRPr="00AF1A13" w:rsidDel="006809FF" w:rsidRDefault="002120A5" w:rsidP="003A1E46">
            <w:pPr>
              <w:pStyle w:val="Bodytext"/>
              <w:spacing w:after="60"/>
              <w:rPr>
                <w:b/>
              </w:rPr>
            </w:pPr>
          </w:p>
        </w:tc>
      </w:tr>
      <w:tr w:rsidR="00A7504B" w:rsidRPr="00FF7ADC" w14:paraId="1D048F99" w14:textId="77777777" w:rsidTr="00A7504B">
        <w:tblPrEx>
          <w:tblLook w:val="04A0" w:firstRow="1" w:lastRow="0" w:firstColumn="1" w:lastColumn="0" w:noHBand="0" w:noVBand="1"/>
        </w:tblPrEx>
        <w:tc>
          <w:tcPr>
            <w:tcW w:w="5000" w:type="pct"/>
            <w:gridSpan w:val="14"/>
            <w:shd w:val="clear" w:color="auto" w:fill="auto"/>
            <w:vAlign w:val="bottom"/>
          </w:tcPr>
          <w:p w14:paraId="6B259CFD" w14:textId="39CAA53A" w:rsidR="00A7504B" w:rsidRPr="002F3B61" w:rsidRDefault="00A7504B" w:rsidP="002F3B61">
            <w:pPr>
              <w:pStyle w:val="Bodytext"/>
              <w:spacing w:after="60"/>
              <w:rPr>
                <w:bCs/>
              </w:rPr>
            </w:pPr>
            <w:r w:rsidRPr="002F3B61">
              <w:rPr>
                <w:bCs/>
              </w:rPr>
              <w:t>The sum of the administration costs plus the financial administration costs are disclosed as recharges for services from HHFT in note 2 related party transactions</w:t>
            </w:r>
          </w:p>
        </w:tc>
      </w:tr>
      <w:tr w:rsidR="001B3FE2" w:rsidRPr="00FF7ADC" w14:paraId="3E416C5D" w14:textId="77777777">
        <w:tblPrEx>
          <w:tblLook w:val="04A0" w:firstRow="1" w:lastRow="0" w:firstColumn="1" w:lastColumn="0" w:noHBand="0" w:noVBand="1"/>
        </w:tblPrEx>
        <w:tc>
          <w:tcPr>
            <w:tcW w:w="943" w:type="pct"/>
            <w:shd w:val="clear" w:color="auto" w:fill="auto"/>
            <w:vAlign w:val="bottom"/>
          </w:tcPr>
          <w:p w14:paraId="59898A05" w14:textId="77777777" w:rsidR="00D42866" w:rsidRPr="00FF7ADC" w:rsidRDefault="00D42866" w:rsidP="00417A19">
            <w:pPr>
              <w:pStyle w:val="Bodytext"/>
              <w:keepNext/>
              <w:spacing w:after="60"/>
              <w:rPr>
                <w:b/>
              </w:rPr>
            </w:pPr>
            <w:bookmarkStart w:id="64" w:name="_Ref431895952"/>
            <w:bookmarkEnd w:id="63"/>
          </w:p>
        </w:tc>
        <w:tc>
          <w:tcPr>
            <w:tcW w:w="1041" w:type="pct"/>
            <w:gridSpan w:val="5"/>
            <w:shd w:val="clear" w:color="auto" w:fill="auto"/>
            <w:vAlign w:val="center"/>
          </w:tcPr>
          <w:p w14:paraId="0C80C03B" w14:textId="77777777" w:rsidR="001B3FE2" w:rsidRPr="00FF7ADC" w:rsidRDefault="001B3FE2">
            <w:pPr>
              <w:pStyle w:val="Bodytext"/>
              <w:keepNext/>
              <w:spacing w:after="60"/>
              <w:jc w:val="center"/>
              <w:rPr>
                <w:b/>
              </w:rPr>
            </w:pPr>
            <w:r w:rsidRPr="00FF7ADC">
              <w:rPr>
                <w:b/>
              </w:rPr>
              <w:t>Raising funds</w:t>
            </w:r>
          </w:p>
        </w:tc>
        <w:tc>
          <w:tcPr>
            <w:tcW w:w="1042" w:type="pct"/>
            <w:gridSpan w:val="3"/>
            <w:shd w:val="clear" w:color="auto" w:fill="auto"/>
            <w:vAlign w:val="center"/>
          </w:tcPr>
          <w:p w14:paraId="425B45D0" w14:textId="77777777" w:rsidR="001B3FE2" w:rsidRPr="00FF7ADC" w:rsidRDefault="001B3FE2">
            <w:pPr>
              <w:pStyle w:val="Bodytext"/>
              <w:keepNext/>
              <w:spacing w:after="60"/>
              <w:jc w:val="center"/>
              <w:rPr>
                <w:b/>
              </w:rPr>
            </w:pPr>
            <w:r w:rsidRPr="00FF7ADC">
              <w:rPr>
                <w:b/>
              </w:rPr>
              <w:t>Charitable activities</w:t>
            </w:r>
          </w:p>
        </w:tc>
        <w:tc>
          <w:tcPr>
            <w:tcW w:w="1042" w:type="pct"/>
            <w:gridSpan w:val="4"/>
            <w:shd w:val="clear" w:color="auto" w:fill="auto"/>
            <w:vAlign w:val="center"/>
          </w:tcPr>
          <w:p w14:paraId="4292271C" w14:textId="77777777" w:rsidR="001B3FE2" w:rsidDel="00381803" w:rsidRDefault="001B3FE2">
            <w:pPr>
              <w:pStyle w:val="Bodytext"/>
              <w:keepNext/>
              <w:spacing w:after="60"/>
              <w:jc w:val="center"/>
              <w:rPr>
                <w:b/>
              </w:rPr>
            </w:pPr>
            <w:r w:rsidRPr="00FF7ADC">
              <w:rPr>
                <w:b/>
              </w:rPr>
              <w:t>Total</w:t>
            </w:r>
          </w:p>
        </w:tc>
        <w:tc>
          <w:tcPr>
            <w:tcW w:w="932" w:type="pct"/>
            <w:shd w:val="clear" w:color="auto" w:fill="auto"/>
            <w:vAlign w:val="bottom"/>
          </w:tcPr>
          <w:p w14:paraId="7BF3423F" w14:textId="77777777" w:rsidR="001B3FE2" w:rsidRPr="00FF7ADC" w:rsidRDefault="001B3FE2">
            <w:pPr>
              <w:pStyle w:val="Bodytext"/>
              <w:keepNext/>
              <w:spacing w:after="60"/>
              <w:jc w:val="center"/>
              <w:rPr>
                <w:b/>
              </w:rPr>
            </w:pPr>
          </w:p>
        </w:tc>
      </w:tr>
      <w:tr w:rsidR="001B3FE2" w:rsidRPr="003A79D5" w:rsidDel="00381803" w14:paraId="1993F59C" w14:textId="77777777">
        <w:tblPrEx>
          <w:tblLook w:val="04A0" w:firstRow="1" w:lastRow="0" w:firstColumn="1" w:lastColumn="0" w:noHBand="0" w:noVBand="1"/>
        </w:tblPrEx>
        <w:trPr>
          <w:gridAfter w:val="1"/>
          <w:wAfter w:w="932" w:type="pct"/>
        </w:trPr>
        <w:tc>
          <w:tcPr>
            <w:tcW w:w="943" w:type="pct"/>
            <w:shd w:val="clear" w:color="auto" w:fill="auto"/>
            <w:vAlign w:val="bottom"/>
          </w:tcPr>
          <w:p w14:paraId="6EE700D4" w14:textId="77777777" w:rsidR="001B3FE2" w:rsidRPr="00FF7ADC" w:rsidRDefault="001B3FE2" w:rsidP="00417A19">
            <w:pPr>
              <w:pStyle w:val="Bodytext"/>
              <w:keepNext/>
              <w:spacing w:after="60"/>
              <w:rPr>
                <w:b/>
              </w:rPr>
            </w:pPr>
          </w:p>
        </w:tc>
        <w:tc>
          <w:tcPr>
            <w:tcW w:w="496" w:type="pct"/>
            <w:gridSpan w:val="2"/>
            <w:shd w:val="clear" w:color="auto" w:fill="D9D9D9" w:themeFill="background1" w:themeFillShade="D9"/>
          </w:tcPr>
          <w:p w14:paraId="2F17A513" w14:textId="08A5E6D2" w:rsidR="001B3FE2" w:rsidRDefault="001B3FE2">
            <w:pPr>
              <w:pStyle w:val="Bodytext"/>
              <w:keepNext/>
              <w:spacing w:after="60"/>
              <w:jc w:val="right"/>
              <w:rPr>
                <w:b/>
              </w:rPr>
            </w:pPr>
            <w:r>
              <w:rPr>
                <w:b/>
              </w:rPr>
              <w:t>202</w:t>
            </w:r>
            <w:r w:rsidR="00C36DE3">
              <w:rPr>
                <w:b/>
              </w:rPr>
              <w:t>3</w:t>
            </w:r>
            <w:r>
              <w:rPr>
                <w:b/>
              </w:rPr>
              <w:t>/2</w:t>
            </w:r>
            <w:r w:rsidR="00C36DE3">
              <w:rPr>
                <w:b/>
              </w:rPr>
              <w:t>4</w:t>
            </w:r>
          </w:p>
          <w:p w14:paraId="39249EA6" w14:textId="77777777" w:rsidR="001B3FE2" w:rsidRPr="00FF7ADC" w:rsidRDefault="001B3FE2">
            <w:pPr>
              <w:pStyle w:val="Bodytext"/>
              <w:keepNext/>
              <w:spacing w:after="60"/>
              <w:jc w:val="right"/>
              <w:rPr>
                <w:b/>
              </w:rPr>
            </w:pPr>
            <w:r>
              <w:rPr>
                <w:b/>
              </w:rPr>
              <w:t>£000</w:t>
            </w:r>
          </w:p>
        </w:tc>
        <w:tc>
          <w:tcPr>
            <w:tcW w:w="545" w:type="pct"/>
            <w:gridSpan w:val="3"/>
          </w:tcPr>
          <w:p w14:paraId="4CE70A7D" w14:textId="4FE5CD7F" w:rsidR="001B3FE2" w:rsidRPr="002B08DA" w:rsidRDefault="001B3FE2">
            <w:pPr>
              <w:pStyle w:val="Bodytext"/>
              <w:keepNext/>
              <w:spacing w:after="60"/>
              <w:jc w:val="right"/>
              <w:rPr>
                <w:b/>
                <w:color w:val="A6A6A6" w:themeColor="background1" w:themeShade="A6"/>
              </w:rPr>
            </w:pPr>
            <w:r>
              <w:rPr>
                <w:b/>
                <w:color w:val="A6A6A6" w:themeColor="background1" w:themeShade="A6"/>
              </w:rPr>
              <w:t>202</w:t>
            </w:r>
            <w:r w:rsidR="00C36DE3">
              <w:rPr>
                <w:b/>
                <w:color w:val="A6A6A6" w:themeColor="background1" w:themeShade="A6"/>
              </w:rPr>
              <w:t>2</w:t>
            </w:r>
            <w:r>
              <w:rPr>
                <w:b/>
                <w:color w:val="A6A6A6" w:themeColor="background1" w:themeShade="A6"/>
              </w:rPr>
              <w:t>/2</w:t>
            </w:r>
            <w:r w:rsidR="00C36DE3">
              <w:rPr>
                <w:b/>
                <w:color w:val="A6A6A6" w:themeColor="background1" w:themeShade="A6"/>
              </w:rPr>
              <w:t>3</w:t>
            </w:r>
          </w:p>
          <w:p w14:paraId="568A427D" w14:textId="77777777" w:rsidR="001B3FE2" w:rsidRPr="003A79D5" w:rsidRDefault="001B3FE2">
            <w:pPr>
              <w:pStyle w:val="Bodytext"/>
              <w:keepNext/>
              <w:spacing w:after="60"/>
              <w:jc w:val="right"/>
              <w:rPr>
                <w:b/>
                <w:color w:val="A6A6A6" w:themeColor="background1" w:themeShade="A6"/>
              </w:rPr>
            </w:pPr>
            <w:r w:rsidRPr="002B08DA">
              <w:rPr>
                <w:b/>
                <w:color w:val="A6A6A6" w:themeColor="background1" w:themeShade="A6"/>
              </w:rPr>
              <w:t>£000</w:t>
            </w:r>
          </w:p>
        </w:tc>
        <w:tc>
          <w:tcPr>
            <w:tcW w:w="497" w:type="pct"/>
            <w:shd w:val="clear" w:color="auto" w:fill="D9D9D9" w:themeFill="background1" w:themeFillShade="D9"/>
          </w:tcPr>
          <w:p w14:paraId="11259087" w14:textId="51485DE0" w:rsidR="001B3FE2" w:rsidRDefault="001B3FE2">
            <w:pPr>
              <w:pStyle w:val="Bodytext"/>
              <w:keepNext/>
              <w:spacing w:after="60"/>
              <w:jc w:val="right"/>
              <w:rPr>
                <w:b/>
              </w:rPr>
            </w:pPr>
            <w:r>
              <w:rPr>
                <w:b/>
              </w:rPr>
              <w:t>202</w:t>
            </w:r>
            <w:r w:rsidR="00C36DE3">
              <w:rPr>
                <w:b/>
              </w:rPr>
              <w:t>3</w:t>
            </w:r>
            <w:r>
              <w:rPr>
                <w:b/>
              </w:rPr>
              <w:t>/2</w:t>
            </w:r>
            <w:r w:rsidR="00C36DE3">
              <w:rPr>
                <w:b/>
              </w:rPr>
              <w:t>4</w:t>
            </w:r>
          </w:p>
          <w:p w14:paraId="692639B9" w14:textId="77777777" w:rsidR="001B3FE2" w:rsidRPr="00FF7ADC" w:rsidRDefault="001B3FE2">
            <w:pPr>
              <w:pStyle w:val="Bodytext"/>
              <w:keepNext/>
              <w:spacing w:after="60"/>
              <w:jc w:val="right"/>
              <w:rPr>
                <w:b/>
              </w:rPr>
            </w:pPr>
            <w:r>
              <w:rPr>
                <w:b/>
              </w:rPr>
              <w:t>£000</w:t>
            </w:r>
          </w:p>
        </w:tc>
        <w:tc>
          <w:tcPr>
            <w:tcW w:w="545" w:type="pct"/>
            <w:gridSpan w:val="2"/>
          </w:tcPr>
          <w:p w14:paraId="7A814E43" w14:textId="19E25776" w:rsidR="001B3FE2" w:rsidRPr="002B08DA" w:rsidRDefault="001B3FE2">
            <w:pPr>
              <w:pStyle w:val="Bodytext"/>
              <w:keepNext/>
              <w:spacing w:after="60"/>
              <w:jc w:val="right"/>
              <w:rPr>
                <w:b/>
                <w:color w:val="A6A6A6" w:themeColor="background1" w:themeShade="A6"/>
              </w:rPr>
            </w:pPr>
            <w:r>
              <w:rPr>
                <w:b/>
                <w:color w:val="A6A6A6" w:themeColor="background1" w:themeShade="A6"/>
              </w:rPr>
              <w:t>202</w:t>
            </w:r>
            <w:r w:rsidR="00C36DE3">
              <w:rPr>
                <w:b/>
                <w:color w:val="A6A6A6" w:themeColor="background1" w:themeShade="A6"/>
              </w:rPr>
              <w:t>2</w:t>
            </w:r>
            <w:r>
              <w:rPr>
                <w:b/>
                <w:color w:val="A6A6A6" w:themeColor="background1" w:themeShade="A6"/>
              </w:rPr>
              <w:t>/2</w:t>
            </w:r>
            <w:r w:rsidR="00C36DE3">
              <w:rPr>
                <w:b/>
                <w:color w:val="A6A6A6" w:themeColor="background1" w:themeShade="A6"/>
              </w:rPr>
              <w:t>3</w:t>
            </w:r>
          </w:p>
          <w:p w14:paraId="4DA45B4C" w14:textId="77777777" w:rsidR="001B3FE2" w:rsidRPr="003A79D5" w:rsidRDefault="001B3FE2">
            <w:pPr>
              <w:pStyle w:val="Bodytext"/>
              <w:keepNext/>
              <w:spacing w:after="60"/>
              <w:jc w:val="right"/>
              <w:rPr>
                <w:b/>
                <w:color w:val="A6A6A6" w:themeColor="background1" w:themeShade="A6"/>
              </w:rPr>
            </w:pPr>
            <w:r w:rsidRPr="002B08DA">
              <w:rPr>
                <w:b/>
                <w:color w:val="A6A6A6" w:themeColor="background1" w:themeShade="A6"/>
              </w:rPr>
              <w:t>£000</w:t>
            </w:r>
          </w:p>
        </w:tc>
        <w:tc>
          <w:tcPr>
            <w:tcW w:w="496" w:type="pct"/>
            <w:gridSpan w:val="2"/>
            <w:shd w:val="clear" w:color="auto" w:fill="D9D9D9" w:themeFill="background1" w:themeFillShade="D9"/>
          </w:tcPr>
          <w:p w14:paraId="354F4F4C" w14:textId="0B2D8850" w:rsidR="001B3FE2" w:rsidRDefault="001B3FE2">
            <w:pPr>
              <w:pStyle w:val="Bodytext"/>
              <w:keepNext/>
              <w:spacing w:after="60"/>
              <w:jc w:val="right"/>
              <w:rPr>
                <w:b/>
              </w:rPr>
            </w:pPr>
            <w:r>
              <w:rPr>
                <w:b/>
              </w:rPr>
              <w:t>202</w:t>
            </w:r>
            <w:r w:rsidR="00C36DE3">
              <w:rPr>
                <w:b/>
              </w:rPr>
              <w:t>3</w:t>
            </w:r>
            <w:r>
              <w:rPr>
                <w:b/>
              </w:rPr>
              <w:t>/2</w:t>
            </w:r>
            <w:r w:rsidR="00C36DE3">
              <w:rPr>
                <w:b/>
              </w:rPr>
              <w:t>4</w:t>
            </w:r>
          </w:p>
          <w:p w14:paraId="3EA1E489" w14:textId="77777777" w:rsidR="001B3FE2" w:rsidRPr="00FF7ADC" w:rsidRDefault="001B3FE2">
            <w:pPr>
              <w:pStyle w:val="Bodytext"/>
              <w:keepNext/>
              <w:spacing w:after="60"/>
              <w:jc w:val="right"/>
              <w:rPr>
                <w:b/>
              </w:rPr>
            </w:pPr>
            <w:r>
              <w:rPr>
                <w:b/>
              </w:rPr>
              <w:t>£000</w:t>
            </w:r>
          </w:p>
        </w:tc>
        <w:tc>
          <w:tcPr>
            <w:tcW w:w="546" w:type="pct"/>
            <w:gridSpan w:val="2"/>
          </w:tcPr>
          <w:p w14:paraId="63C93203" w14:textId="130B4DB6" w:rsidR="001B3FE2" w:rsidRPr="002B08DA" w:rsidRDefault="001B3FE2">
            <w:pPr>
              <w:pStyle w:val="Bodytext"/>
              <w:keepNext/>
              <w:spacing w:after="60"/>
              <w:jc w:val="right"/>
              <w:rPr>
                <w:b/>
                <w:color w:val="A6A6A6" w:themeColor="background1" w:themeShade="A6"/>
              </w:rPr>
            </w:pPr>
            <w:r>
              <w:rPr>
                <w:b/>
                <w:color w:val="A6A6A6" w:themeColor="background1" w:themeShade="A6"/>
              </w:rPr>
              <w:t>202</w:t>
            </w:r>
            <w:r w:rsidR="00C36DE3">
              <w:rPr>
                <w:b/>
                <w:color w:val="A6A6A6" w:themeColor="background1" w:themeShade="A6"/>
              </w:rPr>
              <w:t>2</w:t>
            </w:r>
            <w:r>
              <w:rPr>
                <w:b/>
                <w:color w:val="A6A6A6" w:themeColor="background1" w:themeShade="A6"/>
              </w:rPr>
              <w:t>/2</w:t>
            </w:r>
            <w:r w:rsidR="00C36DE3">
              <w:rPr>
                <w:b/>
                <w:color w:val="A6A6A6" w:themeColor="background1" w:themeShade="A6"/>
              </w:rPr>
              <w:t>3</w:t>
            </w:r>
          </w:p>
          <w:p w14:paraId="3890798D" w14:textId="77777777" w:rsidR="001B3FE2" w:rsidRPr="003A79D5" w:rsidDel="00381803" w:rsidRDefault="001B3FE2">
            <w:pPr>
              <w:pStyle w:val="Bodytext"/>
              <w:keepNext/>
              <w:spacing w:after="60"/>
              <w:jc w:val="right"/>
              <w:rPr>
                <w:b/>
                <w:color w:val="A6A6A6" w:themeColor="background1" w:themeShade="A6"/>
              </w:rPr>
            </w:pPr>
            <w:r w:rsidRPr="002B08DA">
              <w:rPr>
                <w:b/>
                <w:color w:val="A6A6A6" w:themeColor="background1" w:themeShade="A6"/>
              </w:rPr>
              <w:t>£000</w:t>
            </w:r>
          </w:p>
        </w:tc>
      </w:tr>
      <w:tr w:rsidR="001B3FE2" w:rsidRPr="00950A26" w:rsidDel="00225300" w14:paraId="45E1145C" w14:textId="77777777">
        <w:tblPrEx>
          <w:tblLook w:val="04A0" w:firstRow="1" w:lastRow="0" w:firstColumn="1" w:lastColumn="0" w:noHBand="0" w:noVBand="1"/>
        </w:tblPrEx>
        <w:trPr>
          <w:gridAfter w:val="1"/>
          <w:wAfter w:w="932" w:type="pct"/>
        </w:trPr>
        <w:tc>
          <w:tcPr>
            <w:tcW w:w="943" w:type="pct"/>
            <w:shd w:val="clear" w:color="auto" w:fill="auto"/>
            <w:vAlign w:val="bottom"/>
          </w:tcPr>
          <w:p w14:paraId="5C421DEA" w14:textId="77777777" w:rsidR="001B3FE2" w:rsidRPr="00950A26" w:rsidRDefault="001B3FE2" w:rsidP="00417A19">
            <w:pPr>
              <w:pStyle w:val="Bodytext"/>
              <w:keepNext/>
              <w:spacing w:after="60"/>
              <w:rPr>
                <w:bCs/>
              </w:rPr>
            </w:pPr>
            <w:r w:rsidRPr="00950A26">
              <w:rPr>
                <w:bCs/>
              </w:rPr>
              <w:t>Unrestricted funds</w:t>
            </w:r>
          </w:p>
        </w:tc>
        <w:tc>
          <w:tcPr>
            <w:tcW w:w="496" w:type="pct"/>
            <w:gridSpan w:val="2"/>
            <w:shd w:val="clear" w:color="auto" w:fill="D9D9D9" w:themeFill="background1" w:themeFillShade="D9"/>
            <w:vAlign w:val="center"/>
          </w:tcPr>
          <w:p w14:paraId="6F827558" w14:textId="77777777" w:rsidR="001B3FE2" w:rsidRPr="00950A26" w:rsidDel="00225300" w:rsidRDefault="001B3FE2">
            <w:pPr>
              <w:pStyle w:val="Bodytext"/>
              <w:keepNext/>
              <w:spacing w:after="60"/>
              <w:jc w:val="right"/>
              <w:rPr>
                <w:bCs/>
              </w:rPr>
            </w:pPr>
            <w:r>
              <w:rPr>
                <w:rFonts w:cs="Arial"/>
                <w:color w:val="424141"/>
                <w:szCs w:val="22"/>
              </w:rPr>
              <w:t>12</w:t>
            </w:r>
          </w:p>
        </w:tc>
        <w:tc>
          <w:tcPr>
            <w:tcW w:w="545" w:type="pct"/>
            <w:gridSpan w:val="3"/>
            <w:vAlign w:val="center"/>
          </w:tcPr>
          <w:p w14:paraId="7ADC9AEA" w14:textId="77777777" w:rsidR="001B3FE2" w:rsidRPr="00950A26" w:rsidDel="00225300" w:rsidRDefault="001B3FE2">
            <w:pPr>
              <w:pStyle w:val="Bodytext"/>
              <w:keepNext/>
              <w:spacing w:after="60"/>
              <w:jc w:val="right"/>
              <w:rPr>
                <w:bCs/>
                <w:color w:val="A6A6A6" w:themeColor="background1" w:themeShade="A6"/>
              </w:rPr>
            </w:pPr>
            <w:r>
              <w:rPr>
                <w:rFonts w:cs="Arial"/>
                <w:color w:val="A6A6A6"/>
                <w:szCs w:val="22"/>
              </w:rPr>
              <w:t>11</w:t>
            </w:r>
          </w:p>
        </w:tc>
        <w:tc>
          <w:tcPr>
            <w:tcW w:w="497" w:type="pct"/>
            <w:shd w:val="clear" w:color="auto" w:fill="D9D9D9" w:themeFill="background1" w:themeFillShade="D9"/>
            <w:vAlign w:val="center"/>
          </w:tcPr>
          <w:p w14:paraId="7C2FFD36" w14:textId="51EEEBAC" w:rsidR="001B3FE2" w:rsidRPr="00950A26" w:rsidDel="00225300" w:rsidRDefault="00903F41">
            <w:pPr>
              <w:pStyle w:val="Bodytext"/>
              <w:keepNext/>
              <w:spacing w:after="60"/>
              <w:jc w:val="right"/>
              <w:rPr>
                <w:bCs/>
              </w:rPr>
            </w:pPr>
            <w:r>
              <w:rPr>
                <w:rFonts w:cs="Arial"/>
                <w:color w:val="424141"/>
                <w:szCs w:val="22"/>
              </w:rPr>
              <w:t>259</w:t>
            </w:r>
          </w:p>
        </w:tc>
        <w:tc>
          <w:tcPr>
            <w:tcW w:w="545" w:type="pct"/>
            <w:gridSpan w:val="2"/>
            <w:vAlign w:val="center"/>
          </w:tcPr>
          <w:p w14:paraId="58120AB5" w14:textId="1C732543" w:rsidR="001B3FE2" w:rsidRPr="00950A26" w:rsidDel="00225300" w:rsidRDefault="00903F41">
            <w:pPr>
              <w:pStyle w:val="Bodytext"/>
              <w:keepNext/>
              <w:spacing w:after="60"/>
              <w:jc w:val="right"/>
              <w:rPr>
                <w:bCs/>
                <w:color w:val="A6A6A6" w:themeColor="background1" w:themeShade="A6"/>
              </w:rPr>
            </w:pPr>
            <w:r>
              <w:rPr>
                <w:rFonts w:cs="Arial"/>
                <w:color w:val="A6A6A6"/>
                <w:szCs w:val="22"/>
              </w:rPr>
              <w:t>2</w:t>
            </w:r>
            <w:r w:rsidR="00A9632F">
              <w:rPr>
                <w:rFonts w:cs="Arial"/>
                <w:color w:val="A6A6A6"/>
                <w:szCs w:val="22"/>
              </w:rPr>
              <w:t>32</w:t>
            </w:r>
          </w:p>
        </w:tc>
        <w:tc>
          <w:tcPr>
            <w:tcW w:w="496" w:type="pct"/>
            <w:gridSpan w:val="2"/>
            <w:shd w:val="clear" w:color="auto" w:fill="D9D9D9" w:themeFill="background1" w:themeFillShade="D9"/>
            <w:vAlign w:val="center"/>
          </w:tcPr>
          <w:p w14:paraId="4731B8F7" w14:textId="51E9F63E" w:rsidR="001B3FE2" w:rsidRPr="00950A26" w:rsidDel="00225300" w:rsidRDefault="00A9632F">
            <w:pPr>
              <w:pStyle w:val="Bodytext"/>
              <w:keepNext/>
              <w:spacing w:after="60"/>
              <w:jc w:val="right"/>
              <w:rPr>
                <w:bCs/>
              </w:rPr>
            </w:pPr>
            <w:r>
              <w:rPr>
                <w:rFonts w:cs="Arial"/>
                <w:color w:val="424141"/>
                <w:szCs w:val="22"/>
              </w:rPr>
              <w:t>271</w:t>
            </w:r>
          </w:p>
        </w:tc>
        <w:tc>
          <w:tcPr>
            <w:tcW w:w="546" w:type="pct"/>
            <w:gridSpan w:val="2"/>
            <w:vAlign w:val="center"/>
          </w:tcPr>
          <w:p w14:paraId="5991B532" w14:textId="114906EF" w:rsidR="001B3FE2" w:rsidRPr="00950A26" w:rsidDel="00225300" w:rsidRDefault="004849E2">
            <w:pPr>
              <w:pStyle w:val="Bodytext"/>
              <w:keepNext/>
              <w:spacing w:after="60"/>
              <w:jc w:val="right"/>
              <w:rPr>
                <w:bCs/>
                <w:color w:val="A6A6A6" w:themeColor="background1" w:themeShade="A6"/>
              </w:rPr>
            </w:pPr>
            <w:r>
              <w:rPr>
                <w:rFonts w:cs="Arial"/>
                <w:color w:val="A6A6A6"/>
                <w:szCs w:val="22"/>
              </w:rPr>
              <w:t>243</w:t>
            </w:r>
          </w:p>
        </w:tc>
      </w:tr>
      <w:tr w:rsidR="001B3FE2" w:rsidRPr="003A79D5" w14:paraId="378DAE97" w14:textId="77777777">
        <w:tblPrEx>
          <w:tblLook w:val="04A0" w:firstRow="1" w:lastRow="0" w:firstColumn="1" w:lastColumn="0" w:noHBand="0" w:noVBand="1"/>
        </w:tblPrEx>
        <w:trPr>
          <w:gridAfter w:val="1"/>
          <w:wAfter w:w="932" w:type="pct"/>
        </w:trPr>
        <w:tc>
          <w:tcPr>
            <w:tcW w:w="943" w:type="pct"/>
            <w:shd w:val="clear" w:color="auto" w:fill="auto"/>
            <w:vAlign w:val="bottom"/>
          </w:tcPr>
          <w:p w14:paraId="66D6D50D" w14:textId="77777777" w:rsidR="001B3FE2" w:rsidRPr="006644A8" w:rsidRDefault="001B3FE2" w:rsidP="00417A19">
            <w:pPr>
              <w:pStyle w:val="Bodytext"/>
              <w:keepNext/>
              <w:spacing w:after="60"/>
            </w:pPr>
            <w:r>
              <w:t>Restricted funds</w:t>
            </w:r>
          </w:p>
        </w:tc>
        <w:tc>
          <w:tcPr>
            <w:tcW w:w="496" w:type="pct"/>
            <w:gridSpan w:val="2"/>
            <w:shd w:val="clear" w:color="auto" w:fill="D9D9D9" w:themeFill="background1" w:themeFillShade="D9"/>
            <w:vAlign w:val="center"/>
          </w:tcPr>
          <w:p w14:paraId="5AB84670" w14:textId="77777777" w:rsidR="001B3FE2" w:rsidRPr="006644A8" w:rsidRDefault="001B3FE2">
            <w:pPr>
              <w:pStyle w:val="Bodytext"/>
              <w:keepNext/>
              <w:spacing w:after="60"/>
              <w:jc w:val="right"/>
            </w:pPr>
            <w:r>
              <w:rPr>
                <w:rFonts w:cs="Arial"/>
                <w:color w:val="424141"/>
                <w:szCs w:val="22"/>
              </w:rPr>
              <w:t>11</w:t>
            </w:r>
          </w:p>
        </w:tc>
        <w:tc>
          <w:tcPr>
            <w:tcW w:w="545" w:type="pct"/>
            <w:gridSpan w:val="3"/>
            <w:vAlign w:val="center"/>
          </w:tcPr>
          <w:p w14:paraId="6A73140C" w14:textId="77777777" w:rsidR="001B3FE2" w:rsidRPr="003A79D5" w:rsidRDefault="001B3FE2">
            <w:pPr>
              <w:pStyle w:val="Bodytext"/>
              <w:keepNext/>
              <w:spacing w:after="60"/>
              <w:jc w:val="right"/>
              <w:rPr>
                <w:color w:val="A6A6A6" w:themeColor="background1" w:themeShade="A6"/>
              </w:rPr>
            </w:pPr>
            <w:r>
              <w:rPr>
                <w:rFonts w:cs="Arial"/>
                <w:color w:val="A6A6A6"/>
                <w:szCs w:val="22"/>
              </w:rPr>
              <w:t>14</w:t>
            </w:r>
          </w:p>
        </w:tc>
        <w:tc>
          <w:tcPr>
            <w:tcW w:w="497" w:type="pct"/>
            <w:shd w:val="clear" w:color="auto" w:fill="D9D9D9" w:themeFill="background1" w:themeFillShade="D9"/>
            <w:vAlign w:val="center"/>
          </w:tcPr>
          <w:p w14:paraId="5BD4F6A3" w14:textId="69BAEDC5" w:rsidR="001B3FE2" w:rsidRPr="006644A8" w:rsidRDefault="00903F41">
            <w:pPr>
              <w:pStyle w:val="Bodytext"/>
              <w:keepNext/>
              <w:spacing w:after="60"/>
              <w:jc w:val="right"/>
            </w:pPr>
            <w:r>
              <w:rPr>
                <w:rFonts w:cs="Arial"/>
                <w:color w:val="424141"/>
                <w:szCs w:val="22"/>
              </w:rPr>
              <w:t>76</w:t>
            </w:r>
          </w:p>
        </w:tc>
        <w:tc>
          <w:tcPr>
            <w:tcW w:w="545" w:type="pct"/>
            <w:gridSpan w:val="2"/>
            <w:vAlign w:val="center"/>
          </w:tcPr>
          <w:p w14:paraId="1406A2BC" w14:textId="254BFEF4" w:rsidR="001B3FE2" w:rsidRPr="003A79D5" w:rsidRDefault="00A9632F">
            <w:pPr>
              <w:pStyle w:val="Bodytext"/>
              <w:keepNext/>
              <w:spacing w:after="60"/>
              <w:jc w:val="right"/>
              <w:rPr>
                <w:color w:val="A6A6A6" w:themeColor="background1" w:themeShade="A6"/>
              </w:rPr>
            </w:pPr>
            <w:r>
              <w:rPr>
                <w:rFonts w:cs="Arial"/>
                <w:color w:val="A6A6A6"/>
                <w:szCs w:val="22"/>
              </w:rPr>
              <w:t>69</w:t>
            </w:r>
          </w:p>
        </w:tc>
        <w:tc>
          <w:tcPr>
            <w:tcW w:w="496" w:type="pct"/>
            <w:gridSpan w:val="2"/>
            <w:shd w:val="clear" w:color="auto" w:fill="D9D9D9" w:themeFill="background1" w:themeFillShade="D9"/>
            <w:vAlign w:val="center"/>
          </w:tcPr>
          <w:p w14:paraId="5D9DBFC4" w14:textId="7382A096" w:rsidR="001B3FE2" w:rsidRPr="006644A8" w:rsidRDefault="00A9632F">
            <w:pPr>
              <w:pStyle w:val="Bodytext"/>
              <w:keepNext/>
              <w:spacing w:after="60"/>
              <w:jc w:val="right"/>
            </w:pPr>
            <w:r>
              <w:rPr>
                <w:rFonts w:cs="Arial"/>
                <w:color w:val="424141"/>
                <w:szCs w:val="22"/>
              </w:rPr>
              <w:t>87</w:t>
            </w:r>
          </w:p>
        </w:tc>
        <w:tc>
          <w:tcPr>
            <w:tcW w:w="546" w:type="pct"/>
            <w:gridSpan w:val="2"/>
            <w:vAlign w:val="center"/>
          </w:tcPr>
          <w:p w14:paraId="07D2A842" w14:textId="09A27FC2" w:rsidR="001B3FE2" w:rsidRPr="003A79D5" w:rsidRDefault="004849E2">
            <w:pPr>
              <w:pStyle w:val="Bodytext"/>
              <w:keepNext/>
              <w:spacing w:after="60"/>
              <w:jc w:val="right"/>
              <w:rPr>
                <w:color w:val="A6A6A6" w:themeColor="background1" w:themeShade="A6"/>
              </w:rPr>
            </w:pPr>
            <w:r>
              <w:rPr>
                <w:rFonts w:cs="Arial"/>
                <w:color w:val="A6A6A6"/>
                <w:szCs w:val="22"/>
              </w:rPr>
              <w:t>83</w:t>
            </w:r>
          </w:p>
        </w:tc>
      </w:tr>
      <w:tr w:rsidR="001B3FE2" w:rsidRPr="003A79D5" w14:paraId="11473F8B" w14:textId="77777777">
        <w:tblPrEx>
          <w:tblLook w:val="04A0" w:firstRow="1" w:lastRow="0" w:firstColumn="1" w:lastColumn="0" w:noHBand="0" w:noVBand="1"/>
        </w:tblPrEx>
        <w:trPr>
          <w:gridAfter w:val="1"/>
          <w:wAfter w:w="932" w:type="pct"/>
        </w:trPr>
        <w:tc>
          <w:tcPr>
            <w:tcW w:w="943" w:type="pct"/>
            <w:shd w:val="clear" w:color="auto" w:fill="auto"/>
            <w:vAlign w:val="bottom"/>
          </w:tcPr>
          <w:p w14:paraId="516F9CB0" w14:textId="77777777" w:rsidR="001B3FE2" w:rsidRPr="006644A8" w:rsidRDefault="001B3FE2" w:rsidP="00417A19">
            <w:pPr>
              <w:pStyle w:val="Bodytext"/>
              <w:keepNext/>
              <w:spacing w:after="60"/>
            </w:pPr>
            <w:r>
              <w:t>Endowment funds</w:t>
            </w:r>
          </w:p>
        </w:tc>
        <w:tc>
          <w:tcPr>
            <w:tcW w:w="496" w:type="pct"/>
            <w:gridSpan w:val="2"/>
            <w:tcBorders>
              <w:bottom w:val="single" w:sz="4" w:space="0" w:color="auto"/>
            </w:tcBorders>
            <w:shd w:val="clear" w:color="auto" w:fill="D9D9D9" w:themeFill="background1" w:themeFillShade="D9"/>
            <w:vAlign w:val="center"/>
          </w:tcPr>
          <w:p w14:paraId="41DAF0DE" w14:textId="77777777" w:rsidR="001B3FE2" w:rsidRPr="006644A8" w:rsidRDefault="001B3FE2">
            <w:pPr>
              <w:pStyle w:val="Bodytext"/>
              <w:keepNext/>
              <w:spacing w:after="60"/>
              <w:jc w:val="right"/>
            </w:pPr>
            <w:r>
              <w:rPr>
                <w:rFonts w:cs="Arial"/>
                <w:color w:val="424141"/>
                <w:szCs w:val="22"/>
              </w:rPr>
              <w:t> </w:t>
            </w:r>
          </w:p>
        </w:tc>
        <w:tc>
          <w:tcPr>
            <w:tcW w:w="545" w:type="pct"/>
            <w:gridSpan w:val="3"/>
            <w:tcBorders>
              <w:bottom w:val="single" w:sz="4" w:space="0" w:color="auto"/>
            </w:tcBorders>
            <w:vAlign w:val="center"/>
          </w:tcPr>
          <w:p w14:paraId="075741D4" w14:textId="77777777" w:rsidR="001B3FE2" w:rsidRPr="003A79D5" w:rsidRDefault="001B3FE2">
            <w:pPr>
              <w:pStyle w:val="Bodytext"/>
              <w:keepNext/>
              <w:spacing w:after="60"/>
              <w:jc w:val="right"/>
              <w:rPr>
                <w:color w:val="A6A6A6" w:themeColor="background1" w:themeShade="A6"/>
              </w:rPr>
            </w:pPr>
            <w:r>
              <w:rPr>
                <w:rFonts w:cs="Arial"/>
                <w:color w:val="A6A6A6"/>
                <w:szCs w:val="22"/>
              </w:rPr>
              <w:t> </w:t>
            </w:r>
          </w:p>
        </w:tc>
        <w:tc>
          <w:tcPr>
            <w:tcW w:w="497" w:type="pct"/>
            <w:tcBorders>
              <w:bottom w:val="single" w:sz="4" w:space="0" w:color="auto"/>
            </w:tcBorders>
            <w:shd w:val="clear" w:color="auto" w:fill="D9D9D9" w:themeFill="background1" w:themeFillShade="D9"/>
            <w:vAlign w:val="center"/>
          </w:tcPr>
          <w:p w14:paraId="398518F0" w14:textId="77777777" w:rsidR="001B3FE2" w:rsidRPr="006644A8" w:rsidRDefault="001B3FE2">
            <w:pPr>
              <w:pStyle w:val="Bodytext"/>
              <w:keepNext/>
              <w:spacing w:after="60"/>
              <w:jc w:val="right"/>
            </w:pPr>
            <w:r>
              <w:rPr>
                <w:rFonts w:cs="Arial"/>
                <w:color w:val="424141"/>
                <w:szCs w:val="22"/>
              </w:rPr>
              <w:t>9</w:t>
            </w:r>
          </w:p>
        </w:tc>
        <w:tc>
          <w:tcPr>
            <w:tcW w:w="545" w:type="pct"/>
            <w:gridSpan w:val="2"/>
            <w:tcBorders>
              <w:bottom w:val="single" w:sz="4" w:space="0" w:color="auto"/>
            </w:tcBorders>
            <w:vAlign w:val="center"/>
          </w:tcPr>
          <w:p w14:paraId="421A8E7F" w14:textId="77777777" w:rsidR="001B3FE2" w:rsidRPr="003A79D5" w:rsidRDefault="001B3FE2">
            <w:pPr>
              <w:pStyle w:val="Bodytext"/>
              <w:keepNext/>
              <w:spacing w:after="60"/>
              <w:jc w:val="right"/>
              <w:rPr>
                <w:color w:val="A6A6A6" w:themeColor="background1" w:themeShade="A6"/>
              </w:rPr>
            </w:pPr>
            <w:r>
              <w:rPr>
                <w:rFonts w:cs="Arial"/>
                <w:color w:val="A6A6A6"/>
                <w:szCs w:val="22"/>
              </w:rPr>
              <w:t>10</w:t>
            </w:r>
          </w:p>
        </w:tc>
        <w:tc>
          <w:tcPr>
            <w:tcW w:w="496" w:type="pct"/>
            <w:gridSpan w:val="2"/>
            <w:tcBorders>
              <w:bottom w:val="single" w:sz="4" w:space="0" w:color="auto"/>
            </w:tcBorders>
            <w:shd w:val="clear" w:color="auto" w:fill="D9D9D9" w:themeFill="background1" w:themeFillShade="D9"/>
            <w:vAlign w:val="center"/>
          </w:tcPr>
          <w:p w14:paraId="0FD979C7" w14:textId="77777777" w:rsidR="001B3FE2" w:rsidRPr="006644A8" w:rsidRDefault="001B3FE2">
            <w:pPr>
              <w:pStyle w:val="Bodytext"/>
              <w:keepNext/>
              <w:spacing w:after="60"/>
              <w:jc w:val="right"/>
            </w:pPr>
            <w:r>
              <w:rPr>
                <w:rFonts w:cs="Arial"/>
                <w:color w:val="424141"/>
                <w:szCs w:val="22"/>
              </w:rPr>
              <w:t>9</w:t>
            </w:r>
          </w:p>
        </w:tc>
        <w:tc>
          <w:tcPr>
            <w:tcW w:w="546" w:type="pct"/>
            <w:gridSpan w:val="2"/>
            <w:tcBorders>
              <w:bottom w:val="single" w:sz="4" w:space="0" w:color="auto"/>
            </w:tcBorders>
            <w:vAlign w:val="center"/>
          </w:tcPr>
          <w:p w14:paraId="25218064" w14:textId="77777777" w:rsidR="001B3FE2" w:rsidRPr="003A79D5" w:rsidRDefault="001B3FE2">
            <w:pPr>
              <w:pStyle w:val="Bodytext"/>
              <w:keepNext/>
              <w:spacing w:after="60"/>
              <w:jc w:val="right"/>
              <w:rPr>
                <w:color w:val="A6A6A6" w:themeColor="background1" w:themeShade="A6"/>
              </w:rPr>
            </w:pPr>
            <w:r>
              <w:rPr>
                <w:rFonts w:cs="Arial"/>
                <w:color w:val="A6A6A6"/>
                <w:szCs w:val="22"/>
              </w:rPr>
              <w:t>10</w:t>
            </w:r>
          </w:p>
        </w:tc>
      </w:tr>
      <w:tr w:rsidR="001B3FE2" w14:paraId="3386509A" w14:textId="77777777">
        <w:tblPrEx>
          <w:tblLook w:val="04A0" w:firstRow="1" w:lastRow="0" w:firstColumn="1" w:lastColumn="0" w:noHBand="0" w:noVBand="1"/>
        </w:tblPrEx>
        <w:trPr>
          <w:gridAfter w:val="1"/>
          <w:wAfter w:w="932" w:type="pct"/>
        </w:trPr>
        <w:tc>
          <w:tcPr>
            <w:tcW w:w="943" w:type="pct"/>
            <w:shd w:val="clear" w:color="auto" w:fill="auto"/>
            <w:vAlign w:val="bottom"/>
          </w:tcPr>
          <w:p w14:paraId="755D6859" w14:textId="77777777" w:rsidR="001B3FE2" w:rsidRPr="006644A8" w:rsidRDefault="001B3FE2">
            <w:pPr>
              <w:pStyle w:val="Bodytext"/>
              <w:keepNext/>
              <w:spacing w:after="60"/>
            </w:pPr>
          </w:p>
        </w:tc>
        <w:tc>
          <w:tcPr>
            <w:tcW w:w="496" w:type="pct"/>
            <w:gridSpan w:val="2"/>
            <w:tcBorders>
              <w:top w:val="single" w:sz="4" w:space="0" w:color="auto"/>
              <w:bottom w:val="double" w:sz="6" w:space="0" w:color="auto"/>
            </w:tcBorders>
            <w:shd w:val="clear" w:color="auto" w:fill="D9D9D9" w:themeFill="background1" w:themeFillShade="D9"/>
            <w:vAlign w:val="center"/>
          </w:tcPr>
          <w:p w14:paraId="1B7908A8" w14:textId="77777777" w:rsidR="001B3FE2" w:rsidRDefault="001B3FE2">
            <w:pPr>
              <w:pStyle w:val="Bodytext"/>
              <w:keepNext/>
              <w:spacing w:after="60"/>
              <w:jc w:val="right"/>
              <w:rPr>
                <w:rFonts w:cs="Arial"/>
                <w:b/>
                <w:bCs/>
                <w:color w:val="424141"/>
                <w:szCs w:val="22"/>
              </w:rPr>
            </w:pPr>
            <w:r>
              <w:rPr>
                <w:rFonts w:cs="Arial"/>
                <w:b/>
                <w:bCs/>
                <w:color w:val="424141"/>
                <w:szCs w:val="22"/>
              </w:rPr>
              <w:t>23</w:t>
            </w:r>
          </w:p>
        </w:tc>
        <w:tc>
          <w:tcPr>
            <w:tcW w:w="545" w:type="pct"/>
            <w:gridSpan w:val="3"/>
            <w:tcBorders>
              <w:top w:val="single" w:sz="4" w:space="0" w:color="auto"/>
              <w:bottom w:val="double" w:sz="6" w:space="0" w:color="auto"/>
            </w:tcBorders>
            <w:vAlign w:val="center"/>
          </w:tcPr>
          <w:p w14:paraId="0D4DE548" w14:textId="77777777" w:rsidR="001B3FE2" w:rsidRDefault="001B3FE2">
            <w:pPr>
              <w:pStyle w:val="Bodytext"/>
              <w:keepNext/>
              <w:spacing w:after="60"/>
              <w:jc w:val="right"/>
              <w:rPr>
                <w:rFonts w:cs="Arial"/>
                <w:b/>
                <w:bCs/>
                <w:color w:val="A6A6A6"/>
                <w:szCs w:val="22"/>
              </w:rPr>
            </w:pPr>
            <w:r>
              <w:rPr>
                <w:rFonts w:cs="Arial"/>
                <w:b/>
                <w:bCs/>
                <w:color w:val="A6A6A6"/>
                <w:szCs w:val="22"/>
              </w:rPr>
              <w:t>25</w:t>
            </w:r>
          </w:p>
        </w:tc>
        <w:tc>
          <w:tcPr>
            <w:tcW w:w="497" w:type="pct"/>
            <w:tcBorders>
              <w:top w:val="single" w:sz="4" w:space="0" w:color="auto"/>
              <w:bottom w:val="double" w:sz="6" w:space="0" w:color="auto"/>
            </w:tcBorders>
            <w:shd w:val="clear" w:color="auto" w:fill="D9D9D9" w:themeFill="background1" w:themeFillShade="D9"/>
            <w:vAlign w:val="center"/>
          </w:tcPr>
          <w:p w14:paraId="0061C33E" w14:textId="77777777" w:rsidR="001B3FE2" w:rsidRDefault="001B3FE2">
            <w:pPr>
              <w:pStyle w:val="Bodytext"/>
              <w:keepNext/>
              <w:spacing w:after="60"/>
              <w:jc w:val="right"/>
              <w:rPr>
                <w:rFonts w:cs="Arial"/>
                <w:b/>
                <w:bCs/>
                <w:color w:val="424141"/>
                <w:szCs w:val="22"/>
              </w:rPr>
            </w:pPr>
            <w:r>
              <w:rPr>
                <w:rFonts w:cs="Arial"/>
                <w:b/>
                <w:bCs/>
                <w:color w:val="424141"/>
                <w:szCs w:val="22"/>
              </w:rPr>
              <w:t>344</w:t>
            </w:r>
          </w:p>
        </w:tc>
        <w:tc>
          <w:tcPr>
            <w:tcW w:w="545" w:type="pct"/>
            <w:gridSpan w:val="2"/>
            <w:tcBorders>
              <w:top w:val="single" w:sz="4" w:space="0" w:color="auto"/>
              <w:bottom w:val="double" w:sz="6" w:space="0" w:color="auto"/>
            </w:tcBorders>
            <w:vAlign w:val="center"/>
          </w:tcPr>
          <w:p w14:paraId="418BCAF6" w14:textId="05065069" w:rsidR="001B3FE2" w:rsidRDefault="00A9632F">
            <w:pPr>
              <w:pStyle w:val="Bodytext"/>
              <w:keepNext/>
              <w:spacing w:after="60"/>
              <w:jc w:val="right"/>
              <w:rPr>
                <w:rFonts w:cs="Arial"/>
                <w:b/>
                <w:bCs/>
                <w:color w:val="A6A6A6"/>
                <w:szCs w:val="22"/>
              </w:rPr>
            </w:pPr>
            <w:r>
              <w:rPr>
                <w:rFonts w:cs="Arial"/>
                <w:b/>
                <w:bCs/>
                <w:color w:val="A6A6A6"/>
                <w:szCs w:val="22"/>
              </w:rPr>
              <w:t>311</w:t>
            </w:r>
          </w:p>
        </w:tc>
        <w:tc>
          <w:tcPr>
            <w:tcW w:w="496" w:type="pct"/>
            <w:gridSpan w:val="2"/>
            <w:tcBorders>
              <w:top w:val="single" w:sz="4" w:space="0" w:color="auto"/>
              <w:bottom w:val="double" w:sz="6" w:space="0" w:color="auto"/>
            </w:tcBorders>
            <w:shd w:val="clear" w:color="auto" w:fill="D9D9D9" w:themeFill="background1" w:themeFillShade="D9"/>
            <w:vAlign w:val="center"/>
          </w:tcPr>
          <w:p w14:paraId="2AF60401" w14:textId="77777777" w:rsidR="001B3FE2" w:rsidRDefault="001B3FE2">
            <w:pPr>
              <w:pStyle w:val="Bodytext"/>
              <w:keepNext/>
              <w:spacing w:after="60"/>
              <w:jc w:val="right"/>
              <w:rPr>
                <w:rFonts w:cs="Arial"/>
                <w:b/>
                <w:bCs/>
                <w:color w:val="424141"/>
                <w:szCs w:val="22"/>
              </w:rPr>
            </w:pPr>
            <w:r>
              <w:rPr>
                <w:rFonts w:cs="Arial"/>
                <w:b/>
                <w:bCs/>
                <w:color w:val="424141"/>
                <w:szCs w:val="22"/>
              </w:rPr>
              <w:t>367</w:t>
            </w:r>
          </w:p>
        </w:tc>
        <w:tc>
          <w:tcPr>
            <w:tcW w:w="546" w:type="pct"/>
            <w:gridSpan w:val="2"/>
            <w:tcBorders>
              <w:top w:val="single" w:sz="4" w:space="0" w:color="auto"/>
              <w:bottom w:val="double" w:sz="6" w:space="0" w:color="auto"/>
            </w:tcBorders>
            <w:vAlign w:val="center"/>
          </w:tcPr>
          <w:p w14:paraId="3B046AE9" w14:textId="1ECA8D94" w:rsidR="001B3FE2" w:rsidRDefault="004849E2">
            <w:pPr>
              <w:pStyle w:val="Bodytext"/>
              <w:keepNext/>
              <w:spacing w:after="60"/>
              <w:jc w:val="right"/>
              <w:rPr>
                <w:rFonts w:cs="Arial"/>
                <w:b/>
                <w:bCs/>
                <w:color w:val="A6A6A6"/>
                <w:szCs w:val="22"/>
              </w:rPr>
            </w:pPr>
            <w:r>
              <w:rPr>
                <w:rFonts w:cs="Arial"/>
                <w:b/>
                <w:bCs/>
                <w:color w:val="A6A6A6"/>
                <w:szCs w:val="22"/>
              </w:rPr>
              <w:t>336</w:t>
            </w:r>
          </w:p>
        </w:tc>
      </w:tr>
    </w:tbl>
    <w:p w14:paraId="19AB8B5E" w14:textId="77777777" w:rsidR="00A331B1" w:rsidRDefault="00A331B1" w:rsidP="002A586D">
      <w:pPr>
        <w:pStyle w:val="TableTitle"/>
        <w:keepNext/>
      </w:pPr>
    </w:p>
    <w:p w14:paraId="159EEE9D" w14:textId="7F91DBD6" w:rsidR="00D9313C" w:rsidRPr="006644A8" w:rsidRDefault="00D9313C" w:rsidP="002A586D">
      <w:pPr>
        <w:pStyle w:val="TableTitle"/>
        <w:keepNext/>
      </w:pPr>
      <w:r>
        <w:t>13 Trustee</w:t>
      </w:r>
      <w:r w:rsidRPr="006644A8">
        <w:t xml:space="preserve"> remuneration, benefits and expenses</w:t>
      </w:r>
      <w:bookmarkEnd w:id="6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8"/>
      </w:tblGrid>
      <w:tr w:rsidR="00D9313C" w:rsidRPr="006644A8" w14:paraId="18795DF5" w14:textId="77777777" w:rsidTr="00EC1B15">
        <w:tc>
          <w:tcPr>
            <w:tcW w:w="5000" w:type="pct"/>
            <w:shd w:val="clear" w:color="auto" w:fill="auto"/>
          </w:tcPr>
          <w:p w14:paraId="0D34B756" w14:textId="77777777" w:rsidR="00D9313C" w:rsidRPr="00832ACE" w:rsidRDefault="00D9313C" w:rsidP="002A586D">
            <w:pPr>
              <w:pStyle w:val="Bodytext"/>
              <w:keepNext/>
            </w:pPr>
            <w:r w:rsidRPr="00832ACE">
              <w:t xml:space="preserve">Paragraph 9.6 of the SORP FRS 102 requires that all charities disclose: </w:t>
            </w:r>
          </w:p>
          <w:p w14:paraId="3A6A0E7F" w14:textId="77777777" w:rsidR="00D9313C" w:rsidRPr="002A586D" w:rsidRDefault="00D9313C" w:rsidP="002A586D">
            <w:pPr>
              <w:pStyle w:val="Bullet"/>
              <w:keepNext/>
            </w:pPr>
            <w:r w:rsidRPr="002A586D">
              <w:t xml:space="preserve">either that no trustees are paid any remuneration or receive any other benefits from employment with the charity </w:t>
            </w:r>
          </w:p>
          <w:p w14:paraId="11BAF714" w14:textId="77777777" w:rsidR="00D9313C" w:rsidRPr="00832ACE" w:rsidRDefault="00D9313C" w:rsidP="002A586D">
            <w:pPr>
              <w:pStyle w:val="Bullet"/>
              <w:keepNext/>
            </w:pPr>
            <w:r w:rsidRPr="002A586D">
              <w:t>or that o</w:t>
            </w:r>
            <w:r w:rsidRPr="00832ACE">
              <w:t xml:space="preserve">ne or more trustees have been paid. </w:t>
            </w:r>
          </w:p>
          <w:p w14:paraId="4CA5850B" w14:textId="77777777" w:rsidR="00D9313C" w:rsidRPr="00832ACE" w:rsidRDefault="00D9313C" w:rsidP="002A586D">
            <w:pPr>
              <w:pStyle w:val="Bodytext"/>
              <w:keepNext/>
            </w:pPr>
            <w:r w:rsidRPr="00832ACE">
              <w:t xml:space="preserve">In this instance, as there is a corporate trustee, none of the members of the board are paid specifically for their work on charitable funds. If any trustees were paid then more extensive disclosures are required. </w:t>
            </w:r>
          </w:p>
          <w:p w14:paraId="04EDDB7B" w14:textId="77777777" w:rsidR="00D9313C" w:rsidRPr="00832ACE" w:rsidRDefault="00D9313C" w:rsidP="002A586D">
            <w:pPr>
              <w:pStyle w:val="Bodytext"/>
              <w:keepNext/>
            </w:pPr>
            <w:r w:rsidRPr="00832ACE">
              <w:t>Paragraphs 9.11 and 9.12 of the SORP FRS 102 set out the disclosure requirements for trustees’ expenses. The expenses element of the note was previously included in the related party note (note 2).</w:t>
            </w:r>
          </w:p>
          <w:p w14:paraId="3409A10D" w14:textId="77777777" w:rsidR="00D9313C" w:rsidRPr="00832ACE" w:rsidRDefault="00D9313C" w:rsidP="002A586D">
            <w:pPr>
              <w:pStyle w:val="Bodytext"/>
              <w:keepNext/>
            </w:pPr>
            <w:r w:rsidRPr="00832ACE">
              <w:t>Paragraphs 9.7 and 9.8 of the SORP FRS 102 set out the disclosure requirements for trustees who are paid.</w:t>
            </w:r>
          </w:p>
          <w:p w14:paraId="70743F5E" w14:textId="77777777" w:rsidR="00D9313C" w:rsidRPr="00950A26" w:rsidRDefault="00D9313C" w:rsidP="002A586D">
            <w:pPr>
              <w:pStyle w:val="Bodytext"/>
              <w:keepNext/>
            </w:pPr>
            <w:r w:rsidRPr="00950A26">
              <w:t>In 2019, the Charity Commission for England and Wales published their review of reporting of related party transactions</w:t>
            </w:r>
            <w:r w:rsidRPr="00950A26">
              <w:rPr>
                <w:rStyle w:val="FootnoteReference"/>
              </w:rPr>
              <w:footnoteReference w:id="29"/>
            </w:r>
            <w:r w:rsidRPr="00950A26">
              <w:t>. They reviewed 262 sets of charity annual reports and accounts to assess the required disclosures in relation to trustees’ remuneration, trustees’ expenses and related party transactions. They found that reporting trustees’ remuneration and expenses was made in most cases. However, it is worth noting that a statement is required when there are no such payments.</w:t>
            </w:r>
          </w:p>
          <w:p w14:paraId="36AFFC93" w14:textId="6932B29F" w:rsidR="00D9313C" w:rsidRPr="00832ACE" w:rsidRDefault="00D9313C" w:rsidP="002A586D">
            <w:pPr>
              <w:pStyle w:val="Bodytext"/>
              <w:keepNext/>
            </w:pPr>
            <w:r w:rsidRPr="00950A26">
              <w:t>For NHS charities with a corporate trustee, there will not be remuneration for their role in relation to the charity although NHS bodies may want to explain that the board members are remunerated for that role. Equally, there may be no expenses. In this case, a statement of that fact must be included as a note to the accounts.</w:t>
            </w:r>
          </w:p>
        </w:tc>
      </w:tr>
    </w:tbl>
    <w:p w14:paraId="03164F95" w14:textId="77777777" w:rsidR="00D9313C" w:rsidRPr="006644A8" w:rsidRDefault="00D9313C" w:rsidP="00D9313C">
      <w:pPr>
        <w:pStyle w:val="Bodytext"/>
      </w:pPr>
    </w:p>
    <w:p w14:paraId="09F7B6DD" w14:textId="77777777" w:rsidR="00D9313C" w:rsidRDefault="00D9313C" w:rsidP="00D9313C">
      <w:pPr>
        <w:pStyle w:val="Bodytext"/>
        <w:rPr>
          <w:szCs w:val="22"/>
        </w:rPr>
        <w:sectPr w:rsidR="00D9313C" w:rsidSect="00237BC5">
          <w:type w:val="continuous"/>
          <w:pgSz w:w="16840" w:h="11900" w:orient="landscape"/>
          <w:pgMar w:top="1021" w:right="1701" w:bottom="1021" w:left="851" w:header="851" w:footer="851" w:gutter="0"/>
          <w:cols w:space="720"/>
          <w:titlePg/>
          <w:docGrid w:linePitch="360"/>
        </w:sectPr>
      </w:pPr>
    </w:p>
    <w:p w14:paraId="7F2EE472" w14:textId="3BAF3DC5" w:rsidR="00D9313C" w:rsidRPr="00B2366C" w:rsidRDefault="00D9313C" w:rsidP="00D9313C">
      <w:pPr>
        <w:pStyle w:val="Bodytext"/>
        <w:rPr>
          <w:szCs w:val="22"/>
        </w:rPr>
      </w:pPr>
      <w:r w:rsidRPr="00B2366C">
        <w:rPr>
          <w:szCs w:val="22"/>
        </w:rPr>
        <w:t xml:space="preserve">Members of HHFT board </w:t>
      </w:r>
      <w:r w:rsidR="00062204" w:rsidRPr="00B2366C">
        <w:rPr>
          <w:szCs w:val="22"/>
        </w:rPr>
        <w:t xml:space="preserve">are not remunerated </w:t>
      </w:r>
      <w:r w:rsidRPr="00B2366C">
        <w:rPr>
          <w:szCs w:val="22"/>
        </w:rPr>
        <w:t>for the work that they undertake in relation to OtM.</w:t>
      </w:r>
      <w:r w:rsidRPr="00B2366C">
        <w:t xml:space="preserve"> However, </w:t>
      </w:r>
      <w:r w:rsidR="00062204" w:rsidRPr="00B2366C">
        <w:t xml:space="preserve">they are paid as non-executive directors of HHFT. </w:t>
      </w:r>
      <w:r w:rsidR="002E0592" w:rsidRPr="00B2366C">
        <w:rPr>
          <w:szCs w:val="22"/>
        </w:rPr>
        <w:t xml:space="preserve">Expenses incurred by committee members wholly in fulfilment of charity business, </w:t>
      </w:r>
      <w:r w:rsidR="00312235" w:rsidRPr="00B2366C">
        <w:t xml:space="preserve">such as </w:t>
      </w:r>
      <w:r w:rsidRPr="00B2366C">
        <w:t xml:space="preserve">travelling </w:t>
      </w:r>
      <w:r w:rsidRPr="00B2366C">
        <w:t>specifically for charitable funds committee meetings and charity training events</w:t>
      </w:r>
      <w:r w:rsidR="00166971" w:rsidRPr="00B2366C">
        <w:t xml:space="preserve">, </w:t>
      </w:r>
      <w:r w:rsidR="00166971" w:rsidRPr="00B2366C">
        <w:rPr>
          <w:szCs w:val="22"/>
        </w:rPr>
        <w:t>can be reclaimed.</w:t>
      </w:r>
      <w:r w:rsidR="00166971" w:rsidRPr="00B2366C" w:rsidDel="002E0592">
        <w:t xml:space="preserve"> </w:t>
      </w:r>
    </w:p>
    <w:p w14:paraId="44FEE809" w14:textId="68FEBAD0" w:rsidR="00D9313C" w:rsidRPr="00B2366C" w:rsidRDefault="00327AEB" w:rsidP="00D9313C">
      <w:pPr>
        <w:pStyle w:val="Bodytext"/>
        <w:rPr>
          <w:szCs w:val="22"/>
        </w:rPr>
        <w:sectPr w:rsidR="00D9313C" w:rsidRPr="00B2366C" w:rsidSect="00237BC5">
          <w:type w:val="continuous"/>
          <w:pgSz w:w="16840" w:h="11900" w:orient="landscape"/>
          <w:pgMar w:top="1021" w:right="1701" w:bottom="1021" w:left="851" w:header="851" w:footer="851" w:gutter="0"/>
          <w:cols w:num="2" w:space="720"/>
          <w:titlePg/>
          <w:docGrid w:linePitch="360"/>
        </w:sectPr>
      </w:pPr>
      <w:r>
        <w:rPr>
          <w:szCs w:val="22"/>
        </w:rPr>
        <w:lastRenderedPageBreak/>
        <w:t>S</w:t>
      </w:r>
      <w:r w:rsidR="00C36DE3" w:rsidRPr="00B2366C">
        <w:rPr>
          <w:szCs w:val="22"/>
        </w:rPr>
        <w:t xml:space="preserve">ince the </w:t>
      </w:r>
      <w:r w:rsidR="0067787A" w:rsidRPr="00B2366C">
        <w:rPr>
          <w:szCs w:val="22"/>
        </w:rPr>
        <w:t>pandemic</w:t>
      </w:r>
      <w:r w:rsidR="00C36DE3" w:rsidRPr="00B2366C">
        <w:rPr>
          <w:szCs w:val="22"/>
        </w:rPr>
        <w:t>, most</w:t>
      </w:r>
      <w:r w:rsidR="0067787A" w:rsidRPr="00B2366C">
        <w:rPr>
          <w:szCs w:val="22"/>
        </w:rPr>
        <w:t xml:space="preserve"> training and events </w:t>
      </w:r>
      <w:r w:rsidR="00B2366C" w:rsidRPr="00B2366C">
        <w:rPr>
          <w:szCs w:val="22"/>
        </w:rPr>
        <w:t xml:space="preserve">have moved </w:t>
      </w:r>
      <w:r w:rsidR="0067787A" w:rsidRPr="00B2366C">
        <w:rPr>
          <w:szCs w:val="22"/>
        </w:rPr>
        <w:t xml:space="preserve">online </w:t>
      </w:r>
      <w:r w:rsidR="00D02580" w:rsidRPr="00B2366C">
        <w:rPr>
          <w:szCs w:val="22"/>
        </w:rPr>
        <w:t>- £60 was reclaimed in</w:t>
      </w:r>
      <w:r w:rsidR="0067787A" w:rsidRPr="00B2366C">
        <w:rPr>
          <w:szCs w:val="22"/>
        </w:rPr>
        <w:t xml:space="preserve"> 202</w:t>
      </w:r>
      <w:r>
        <w:rPr>
          <w:szCs w:val="22"/>
        </w:rPr>
        <w:t>3</w:t>
      </w:r>
      <w:r w:rsidR="0067787A" w:rsidRPr="00B2366C">
        <w:rPr>
          <w:szCs w:val="22"/>
        </w:rPr>
        <w:t>/2</w:t>
      </w:r>
      <w:r>
        <w:rPr>
          <w:szCs w:val="22"/>
        </w:rPr>
        <w:t>4</w:t>
      </w:r>
      <w:r w:rsidR="0067787A" w:rsidRPr="00B2366C">
        <w:rPr>
          <w:szCs w:val="22"/>
        </w:rPr>
        <w:t xml:space="preserve"> </w:t>
      </w:r>
      <w:r w:rsidR="00F70B71" w:rsidRPr="00B2366C">
        <w:rPr>
          <w:szCs w:val="22"/>
        </w:rPr>
        <w:t>(nil,</w:t>
      </w:r>
      <w:r w:rsidR="0067787A" w:rsidRPr="00B2366C">
        <w:rPr>
          <w:szCs w:val="22"/>
        </w:rPr>
        <w:t xml:space="preserve"> </w:t>
      </w:r>
      <w:r w:rsidR="00D9313C" w:rsidRPr="00B2366C">
        <w:rPr>
          <w:szCs w:val="22"/>
        </w:rPr>
        <w:t>202</w:t>
      </w:r>
      <w:r>
        <w:rPr>
          <w:szCs w:val="22"/>
        </w:rPr>
        <w:t>2</w:t>
      </w:r>
      <w:r w:rsidR="00D9313C" w:rsidRPr="00B2366C">
        <w:rPr>
          <w:szCs w:val="22"/>
        </w:rPr>
        <w:t>/</w:t>
      </w:r>
      <w:r w:rsidR="0011756D" w:rsidRPr="00B2366C">
        <w:rPr>
          <w:szCs w:val="22"/>
        </w:rPr>
        <w:t>2</w:t>
      </w:r>
      <w:r>
        <w:rPr>
          <w:szCs w:val="22"/>
        </w:rPr>
        <w:t>3</w:t>
      </w:r>
      <w:r w:rsidR="00F70B71" w:rsidRPr="00B2366C">
        <w:rPr>
          <w:szCs w:val="22"/>
        </w:rPr>
        <w:t>)</w:t>
      </w:r>
      <w:r w:rsidR="00D9313C" w:rsidRPr="00B2366C">
        <w:rPr>
          <w:szCs w:val="22"/>
        </w:rPr>
        <w:t>.</w:t>
      </w:r>
      <w:r w:rsidR="0067787A" w:rsidRPr="00B2366C">
        <w:rPr>
          <w:szCs w:val="22"/>
        </w:rPr>
        <w:t xml:space="preserve"> </w:t>
      </w:r>
    </w:p>
    <w:p w14:paraId="419B7984" w14:textId="77777777" w:rsidR="00D9313C" w:rsidRPr="006644A8" w:rsidRDefault="00D9313C" w:rsidP="00E34ACC">
      <w:pPr>
        <w:pStyle w:val="TableTitle"/>
      </w:pPr>
      <w:r>
        <w:t xml:space="preserve">14 </w:t>
      </w:r>
      <w:r w:rsidRPr="006644A8">
        <w:t>Analysis of staff costs and remuneration of key management personnel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8"/>
      </w:tblGrid>
      <w:tr w:rsidR="00D9313C" w:rsidRPr="006644A8" w14:paraId="7F5B0841" w14:textId="77777777" w:rsidTr="00EC1B15">
        <w:tc>
          <w:tcPr>
            <w:tcW w:w="5000" w:type="pct"/>
            <w:shd w:val="clear" w:color="auto" w:fill="auto"/>
          </w:tcPr>
          <w:p w14:paraId="0491A4F5" w14:textId="77777777" w:rsidR="00D9313C" w:rsidRDefault="00D9313C" w:rsidP="00EC1B15">
            <w:pPr>
              <w:pStyle w:val="Bodytext"/>
            </w:pPr>
            <w:r w:rsidRPr="006644A8">
              <w:t>Paragraphs 9.26 to 9.30 set out the disclosure requirements in relation to staff costs.</w:t>
            </w:r>
            <w:r>
              <w:t xml:space="preserve"> </w:t>
            </w:r>
          </w:p>
          <w:p w14:paraId="627202F9" w14:textId="4F7FBD81" w:rsidR="00D9313C" w:rsidRPr="006644A8" w:rsidRDefault="00D9313C" w:rsidP="00EC1B15">
            <w:pPr>
              <w:pStyle w:val="Bodytext"/>
            </w:pPr>
            <w:r>
              <w:t>P</w:t>
            </w:r>
            <w:r w:rsidRPr="006644A8">
              <w:t xml:space="preserve">aragraph 9.28 of the </w:t>
            </w:r>
            <w:r>
              <w:t>SORP FRS 102</w:t>
            </w:r>
            <w:r w:rsidRPr="006644A8">
              <w:t xml:space="preserve"> states that the information provided for staff costs and employee benefits must also include any expenditure on staff working for the charity whose contracts are with and are paid by a related party.</w:t>
            </w:r>
            <w:r>
              <w:t xml:space="preserve"> This may be the case for NHS charities where staff are employed by the host NHS body but work either full time or part time for the NHS charity. This is the case for the trust fund director and </w:t>
            </w:r>
            <w:r w:rsidR="00154163">
              <w:t>the fundraising manager</w:t>
            </w:r>
            <w:r>
              <w:t>.</w:t>
            </w:r>
          </w:p>
          <w:p w14:paraId="4AE8FE98" w14:textId="26C97BDE" w:rsidR="00D9313C" w:rsidRPr="006644A8" w:rsidRDefault="00D9313C" w:rsidP="00EC1B15">
            <w:pPr>
              <w:pStyle w:val="Bodytext"/>
              <w:rPr>
                <w:b/>
              </w:rPr>
            </w:pPr>
            <w:r w:rsidRPr="006644A8">
              <w:t xml:space="preserve">The fundraising staff employed by </w:t>
            </w:r>
            <w:r>
              <w:t>HHFT</w:t>
            </w:r>
            <w:r w:rsidRPr="006644A8">
              <w:t xml:space="preserve"> provide services to the charity.</w:t>
            </w:r>
            <w:r>
              <w:t xml:space="preserve"> </w:t>
            </w:r>
            <w:r w:rsidRPr="006644A8">
              <w:t>However, these services are paid on a service contract rather than a secondment type arrangement.</w:t>
            </w:r>
            <w:r>
              <w:t xml:space="preserve"> </w:t>
            </w:r>
            <w:r w:rsidRPr="006644A8">
              <w:t>They are not employed solely to work on the charitable funds, so they are not considered to be employees of the charity employed by a related party.</w:t>
            </w:r>
            <w:r>
              <w:t xml:space="preserve"> </w:t>
            </w:r>
            <w:r w:rsidRPr="006644A8">
              <w:t xml:space="preserve">If they were considered to be working for the charity, then their costs would have to be disclosed here in accordance with paragraph 9.28 of the </w:t>
            </w:r>
            <w:r>
              <w:t>SORP FRS 102</w:t>
            </w:r>
            <w:r w:rsidRPr="006644A8">
              <w:t>.</w:t>
            </w:r>
          </w:p>
          <w:p w14:paraId="677BFBE3" w14:textId="77777777" w:rsidR="00D9313C" w:rsidRPr="006644A8" w:rsidRDefault="00D9313C" w:rsidP="00EC1B15">
            <w:pPr>
              <w:pStyle w:val="Bodytext"/>
            </w:pPr>
            <w:r w:rsidRPr="006644A8">
              <w:t xml:space="preserve">Paragraph 7.41 of the </w:t>
            </w:r>
            <w:r>
              <w:t>SORP FRS 102</w:t>
            </w:r>
            <w:r w:rsidRPr="006644A8">
              <w:t xml:space="preserve"> requires charities to include a holiday pay accrual where material in their accounts.</w:t>
            </w:r>
            <w:r>
              <w:t xml:space="preserve"> </w:t>
            </w:r>
            <w:r w:rsidRPr="006644A8">
              <w:t xml:space="preserve">As this charity has only 2 employees, a holiday pay accrual would not be material, so </w:t>
            </w:r>
            <w:r>
              <w:t>no accrual is made</w:t>
            </w:r>
            <w:r w:rsidRPr="006644A8">
              <w:t>.</w:t>
            </w:r>
          </w:p>
          <w:p w14:paraId="1A7B182C" w14:textId="77777777" w:rsidR="00D9313C" w:rsidRPr="006644A8" w:rsidRDefault="00D9313C" w:rsidP="00EC1B15">
            <w:pPr>
              <w:pStyle w:val="Bodytext"/>
              <w:rPr>
                <w:b/>
              </w:rPr>
            </w:pPr>
            <w:r w:rsidRPr="006644A8">
              <w:t xml:space="preserve">Paragraph 9.31 and 9.32 of the </w:t>
            </w:r>
            <w:r>
              <w:t>SORP FRS 102</w:t>
            </w:r>
            <w:r w:rsidRPr="006644A8">
              <w:t xml:space="preserve"> requires that information on the amount paid to key management personnel is disclosed in the accounts.</w:t>
            </w:r>
            <w:r>
              <w:rPr>
                <w:b/>
              </w:rPr>
              <w:t xml:space="preserve"> </w:t>
            </w:r>
          </w:p>
        </w:tc>
      </w:tr>
    </w:tbl>
    <w:p w14:paraId="62588F43" w14:textId="77777777" w:rsidR="00D9313C" w:rsidRDefault="00D9313C" w:rsidP="00D9313C">
      <w:pPr>
        <w:tabs>
          <w:tab w:val="left" w:pos="9072"/>
        </w:tabs>
        <w:ind w:right="249"/>
        <w:rPr>
          <w:rFonts w:asciiTheme="minorHAnsi" w:hAnsiTheme="minorHAnsi" w:cstheme="minorHAnsi"/>
        </w:rPr>
      </w:pPr>
    </w:p>
    <w:tbl>
      <w:tblPr>
        <w:tblW w:w="5000" w:type="pct"/>
        <w:tblLook w:val="01E0" w:firstRow="1" w:lastRow="1" w:firstColumn="1" w:lastColumn="1" w:noHBand="0" w:noVBand="0"/>
      </w:tblPr>
      <w:tblGrid>
        <w:gridCol w:w="7687"/>
        <w:gridCol w:w="3415"/>
        <w:gridCol w:w="3186"/>
      </w:tblGrid>
      <w:tr w:rsidR="003E31E2" w:rsidRPr="006644A8" w14:paraId="5ECF011F" w14:textId="77777777" w:rsidTr="00085862">
        <w:tc>
          <w:tcPr>
            <w:tcW w:w="2690" w:type="pct"/>
            <w:shd w:val="clear" w:color="auto" w:fill="auto"/>
          </w:tcPr>
          <w:p w14:paraId="7A7CDBAC" w14:textId="77777777" w:rsidR="003E31E2" w:rsidRPr="006644A8" w:rsidRDefault="003E31E2" w:rsidP="003E31E2">
            <w:pPr>
              <w:pStyle w:val="Bodytext"/>
              <w:spacing w:after="60"/>
            </w:pPr>
          </w:p>
        </w:tc>
        <w:tc>
          <w:tcPr>
            <w:tcW w:w="1195" w:type="pct"/>
            <w:shd w:val="clear" w:color="auto" w:fill="D9D9D9" w:themeFill="background1" w:themeFillShade="D9"/>
          </w:tcPr>
          <w:p w14:paraId="00B127AC" w14:textId="6FB58769" w:rsidR="003E31E2" w:rsidRDefault="003E31E2" w:rsidP="003E31E2">
            <w:pPr>
              <w:pStyle w:val="Bodytext"/>
              <w:keepNext/>
              <w:spacing w:after="60"/>
              <w:jc w:val="right"/>
              <w:rPr>
                <w:b/>
              </w:rPr>
            </w:pPr>
            <w:r>
              <w:rPr>
                <w:b/>
              </w:rPr>
              <w:t>202</w:t>
            </w:r>
            <w:r w:rsidR="00327AEB">
              <w:rPr>
                <w:b/>
              </w:rPr>
              <w:t>3</w:t>
            </w:r>
            <w:r>
              <w:rPr>
                <w:b/>
              </w:rPr>
              <w:t>/2</w:t>
            </w:r>
            <w:r w:rsidR="00327AEB">
              <w:rPr>
                <w:b/>
              </w:rPr>
              <w:t>4</w:t>
            </w:r>
          </w:p>
          <w:p w14:paraId="76894794" w14:textId="4FDD9219" w:rsidR="003E31E2" w:rsidRPr="006644A8" w:rsidRDefault="003E31E2" w:rsidP="003E31E2">
            <w:pPr>
              <w:pStyle w:val="Bodytext"/>
              <w:spacing w:after="60"/>
              <w:jc w:val="right"/>
              <w:rPr>
                <w:b/>
              </w:rPr>
            </w:pPr>
            <w:r>
              <w:rPr>
                <w:b/>
              </w:rPr>
              <w:t>£000</w:t>
            </w:r>
          </w:p>
        </w:tc>
        <w:tc>
          <w:tcPr>
            <w:tcW w:w="1115" w:type="pct"/>
            <w:shd w:val="clear" w:color="auto" w:fill="auto"/>
          </w:tcPr>
          <w:p w14:paraId="2C06A0DE" w14:textId="6352B13D" w:rsidR="003E31E2" w:rsidRPr="002B08DA" w:rsidRDefault="003E31E2" w:rsidP="003E31E2">
            <w:pPr>
              <w:pStyle w:val="Bodytext"/>
              <w:keepNext/>
              <w:spacing w:after="60"/>
              <w:jc w:val="right"/>
              <w:rPr>
                <w:b/>
                <w:color w:val="A6A6A6" w:themeColor="background1" w:themeShade="A6"/>
              </w:rPr>
            </w:pPr>
            <w:r>
              <w:rPr>
                <w:b/>
                <w:color w:val="A6A6A6" w:themeColor="background1" w:themeShade="A6"/>
              </w:rPr>
              <w:t>202</w:t>
            </w:r>
            <w:r w:rsidR="00327AEB">
              <w:rPr>
                <w:b/>
                <w:color w:val="A6A6A6" w:themeColor="background1" w:themeShade="A6"/>
              </w:rPr>
              <w:t>2</w:t>
            </w:r>
            <w:r>
              <w:rPr>
                <w:b/>
                <w:color w:val="A6A6A6" w:themeColor="background1" w:themeShade="A6"/>
              </w:rPr>
              <w:t>/2</w:t>
            </w:r>
            <w:r w:rsidR="00327AEB">
              <w:rPr>
                <w:b/>
                <w:color w:val="A6A6A6" w:themeColor="background1" w:themeShade="A6"/>
              </w:rPr>
              <w:t>3</w:t>
            </w:r>
          </w:p>
          <w:p w14:paraId="11D2CB54" w14:textId="11C79E01" w:rsidR="003E31E2" w:rsidRPr="00EE23F0" w:rsidRDefault="003E31E2" w:rsidP="003E31E2">
            <w:pPr>
              <w:pStyle w:val="Bodytext"/>
              <w:spacing w:after="60"/>
              <w:jc w:val="right"/>
              <w:rPr>
                <w:b/>
                <w:color w:val="A6A6A6" w:themeColor="background1" w:themeShade="A6"/>
              </w:rPr>
            </w:pPr>
            <w:r w:rsidRPr="002B08DA">
              <w:rPr>
                <w:b/>
                <w:color w:val="A6A6A6" w:themeColor="background1" w:themeShade="A6"/>
              </w:rPr>
              <w:t>£000</w:t>
            </w:r>
          </w:p>
        </w:tc>
      </w:tr>
      <w:tr w:rsidR="00D9313C" w:rsidRPr="006644A8" w14:paraId="16545EFB" w14:textId="77777777" w:rsidTr="00085862">
        <w:tc>
          <w:tcPr>
            <w:tcW w:w="2690" w:type="pct"/>
            <w:shd w:val="clear" w:color="auto" w:fill="auto"/>
            <w:vAlign w:val="bottom"/>
          </w:tcPr>
          <w:p w14:paraId="10A6B3C9" w14:textId="77777777" w:rsidR="00D9313C" w:rsidRPr="006644A8" w:rsidRDefault="00D9313C" w:rsidP="00EC1B15">
            <w:pPr>
              <w:pStyle w:val="Bodytext"/>
              <w:spacing w:after="60"/>
            </w:pPr>
            <w:r w:rsidRPr="006644A8">
              <w:t>Salaries and wages</w:t>
            </w:r>
          </w:p>
        </w:tc>
        <w:tc>
          <w:tcPr>
            <w:tcW w:w="1195" w:type="pct"/>
            <w:shd w:val="clear" w:color="auto" w:fill="D9D9D9" w:themeFill="background1" w:themeFillShade="D9"/>
            <w:vAlign w:val="bottom"/>
          </w:tcPr>
          <w:p w14:paraId="664BF345" w14:textId="77777777" w:rsidR="00D9313C" w:rsidRPr="006644A8" w:rsidRDefault="00D9313C" w:rsidP="00EC1B15">
            <w:pPr>
              <w:pStyle w:val="Bodytext"/>
              <w:spacing w:after="60"/>
              <w:jc w:val="right"/>
            </w:pPr>
            <w:r w:rsidRPr="006644A8">
              <w:t>53</w:t>
            </w:r>
          </w:p>
        </w:tc>
        <w:tc>
          <w:tcPr>
            <w:tcW w:w="1115" w:type="pct"/>
            <w:shd w:val="clear" w:color="auto" w:fill="auto"/>
            <w:vAlign w:val="bottom"/>
          </w:tcPr>
          <w:p w14:paraId="0AC08253" w14:textId="77777777" w:rsidR="00D9313C" w:rsidRPr="00EE23F0" w:rsidRDefault="00D9313C" w:rsidP="00EC1B15">
            <w:pPr>
              <w:pStyle w:val="Bodytext"/>
              <w:spacing w:after="60"/>
              <w:jc w:val="right"/>
              <w:rPr>
                <w:color w:val="A6A6A6" w:themeColor="background1" w:themeShade="A6"/>
              </w:rPr>
            </w:pPr>
            <w:r w:rsidRPr="00EE23F0">
              <w:rPr>
                <w:color w:val="A6A6A6" w:themeColor="background1" w:themeShade="A6"/>
              </w:rPr>
              <w:t>52</w:t>
            </w:r>
          </w:p>
        </w:tc>
      </w:tr>
      <w:tr w:rsidR="00D9313C" w:rsidRPr="006644A8" w14:paraId="60CFAAC8" w14:textId="77777777" w:rsidTr="00230653">
        <w:tc>
          <w:tcPr>
            <w:tcW w:w="2690" w:type="pct"/>
            <w:shd w:val="clear" w:color="auto" w:fill="auto"/>
            <w:vAlign w:val="bottom"/>
          </w:tcPr>
          <w:p w14:paraId="3DCC78D5" w14:textId="77777777" w:rsidR="00D9313C" w:rsidRPr="006644A8" w:rsidRDefault="00D9313C" w:rsidP="00EC1B15">
            <w:pPr>
              <w:pStyle w:val="Bodytext"/>
              <w:spacing w:after="60"/>
            </w:pPr>
            <w:r w:rsidRPr="006644A8">
              <w:t>Social security costs</w:t>
            </w:r>
          </w:p>
        </w:tc>
        <w:tc>
          <w:tcPr>
            <w:tcW w:w="1195" w:type="pct"/>
            <w:shd w:val="clear" w:color="auto" w:fill="D9D9D9" w:themeFill="background1" w:themeFillShade="D9"/>
            <w:vAlign w:val="bottom"/>
          </w:tcPr>
          <w:p w14:paraId="68445F50" w14:textId="77777777" w:rsidR="00D9313C" w:rsidRPr="006644A8" w:rsidRDefault="00D9313C" w:rsidP="00EC1B15">
            <w:pPr>
              <w:pStyle w:val="Bodytext"/>
              <w:spacing w:after="60"/>
              <w:jc w:val="right"/>
            </w:pPr>
            <w:r w:rsidRPr="006644A8">
              <w:t>3</w:t>
            </w:r>
          </w:p>
        </w:tc>
        <w:tc>
          <w:tcPr>
            <w:tcW w:w="1115" w:type="pct"/>
            <w:shd w:val="clear" w:color="auto" w:fill="auto"/>
            <w:vAlign w:val="bottom"/>
          </w:tcPr>
          <w:p w14:paraId="22097B66" w14:textId="77777777" w:rsidR="00D9313C" w:rsidRPr="00EE23F0" w:rsidRDefault="00D9313C" w:rsidP="00EC1B15">
            <w:pPr>
              <w:pStyle w:val="Bodytext"/>
              <w:spacing w:after="60"/>
              <w:jc w:val="right"/>
              <w:rPr>
                <w:color w:val="A6A6A6" w:themeColor="background1" w:themeShade="A6"/>
              </w:rPr>
            </w:pPr>
            <w:r w:rsidRPr="00EE23F0">
              <w:rPr>
                <w:color w:val="A6A6A6" w:themeColor="background1" w:themeShade="A6"/>
              </w:rPr>
              <w:t>3</w:t>
            </w:r>
          </w:p>
        </w:tc>
      </w:tr>
      <w:tr w:rsidR="00D9313C" w:rsidRPr="006644A8" w14:paraId="6A9AA730" w14:textId="77777777" w:rsidTr="002D2D4D">
        <w:tc>
          <w:tcPr>
            <w:tcW w:w="2690" w:type="pct"/>
            <w:shd w:val="clear" w:color="auto" w:fill="auto"/>
            <w:vAlign w:val="bottom"/>
          </w:tcPr>
          <w:p w14:paraId="19D79360" w14:textId="77777777" w:rsidR="00D9313C" w:rsidRPr="006644A8" w:rsidRDefault="00D9313C" w:rsidP="00EC1B15">
            <w:pPr>
              <w:pStyle w:val="Bodytext"/>
              <w:spacing w:after="60"/>
            </w:pPr>
            <w:r w:rsidRPr="006644A8">
              <w:t>Employers pension contribution</w:t>
            </w:r>
          </w:p>
        </w:tc>
        <w:tc>
          <w:tcPr>
            <w:tcW w:w="1195" w:type="pct"/>
            <w:tcBorders>
              <w:bottom w:val="single" w:sz="4" w:space="0" w:color="auto"/>
            </w:tcBorders>
            <w:shd w:val="clear" w:color="auto" w:fill="D9D9D9" w:themeFill="background1" w:themeFillShade="D9"/>
            <w:vAlign w:val="bottom"/>
          </w:tcPr>
          <w:p w14:paraId="7E3D7FBF" w14:textId="77777777" w:rsidR="00D9313C" w:rsidRPr="006644A8" w:rsidRDefault="00D9313C" w:rsidP="00EC1B15">
            <w:pPr>
              <w:pStyle w:val="Bodytext"/>
              <w:spacing w:after="60"/>
              <w:jc w:val="right"/>
            </w:pPr>
            <w:r w:rsidRPr="006644A8">
              <w:t>3</w:t>
            </w:r>
          </w:p>
        </w:tc>
        <w:tc>
          <w:tcPr>
            <w:tcW w:w="1115" w:type="pct"/>
            <w:tcBorders>
              <w:bottom w:val="single" w:sz="4" w:space="0" w:color="auto"/>
            </w:tcBorders>
            <w:shd w:val="clear" w:color="auto" w:fill="auto"/>
            <w:vAlign w:val="bottom"/>
          </w:tcPr>
          <w:p w14:paraId="185AB33B" w14:textId="77777777" w:rsidR="00D9313C" w:rsidRPr="00EE23F0" w:rsidRDefault="00D9313C" w:rsidP="00EC1B15">
            <w:pPr>
              <w:pStyle w:val="Bodytext"/>
              <w:spacing w:after="60"/>
              <w:jc w:val="right"/>
              <w:rPr>
                <w:color w:val="A6A6A6" w:themeColor="background1" w:themeShade="A6"/>
              </w:rPr>
            </w:pPr>
            <w:r w:rsidRPr="00EE23F0">
              <w:rPr>
                <w:color w:val="A6A6A6" w:themeColor="background1" w:themeShade="A6"/>
              </w:rPr>
              <w:t>3</w:t>
            </w:r>
          </w:p>
        </w:tc>
      </w:tr>
      <w:tr w:rsidR="00D9313C" w:rsidRPr="006644A8" w14:paraId="3D4919B7" w14:textId="77777777" w:rsidTr="002D2D4D">
        <w:tc>
          <w:tcPr>
            <w:tcW w:w="2690" w:type="pct"/>
            <w:shd w:val="clear" w:color="auto" w:fill="auto"/>
          </w:tcPr>
          <w:p w14:paraId="4A0CC496" w14:textId="77777777" w:rsidR="00D9313C" w:rsidRPr="006644A8" w:rsidRDefault="00D9313C" w:rsidP="00EC1B15">
            <w:pPr>
              <w:pStyle w:val="Bodytext"/>
              <w:spacing w:after="60"/>
              <w:rPr>
                <w:b/>
              </w:rPr>
            </w:pPr>
            <w:r w:rsidRPr="006644A8">
              <w:rPr>
                <w:b/>
              </w:rPr>
              <w:t>Total</w:t>
            </w:r>
          </w:p>
        </w:tc>
        <w:tc>
          <w:tcPr>
            <w:tcW w:w="1195" w:type="pct"/>
            <w:tcBorders>
              <w:top w:val="single" w:sz="4" w:space="0" w:color="auto"/>
              <w:bottom w:val="double" w:sz="4" w:space="0" w:color="auto"/>
            </w:tcBorders>
            <w:shd w:val="clear" w:color="auto" w:fill="D9D9D9" w:themeFill="background1" w:themeFillShade="D9"/>
          </w:tcPr>
          <w:p w14:paraId="66DE9AC3" w14:textId="77777777" w:rsidR="00D9313C" w:rsidRPr="006644A8" w:rsidRDefault="00D9313C" w:rsidP="00EC1B15">
            <w:pPr>
              <w:pStyle w:val="Bodytext"/>
              <w:spacing w:after="60"/>
              <w:jc w:val="right"/>
              <w:rPr>
                <w:b/>
              </w:rPr>
            </w:pPr>
            <w:r w:rsidRPr="006644A8">
              <w:rPr>
                <w:b/>
              </w:rPr>
              <w:t>59</w:t>
            </w:r>
          </w:p>
        </w:tc>
        <w:tc>
          <w:tcPr>
            <w:tcW w:w="1115" w:type="pct"/>
            <w:tcBorders>
              <w:top w:val="single" w:sz="4" w:space="0" w:color="auto"/>
              <w:bottom w:val="double" w:sz="4" w:space="0" w:color="auto"/>
            </w:tcBorders>
            <w:shd w:val="clear" w:color="auto" w:fill="auto"/>
          </w:tcPr>
          <w:p w14:paraId="04E416BE" w14:textId="77777777" w:rsidR="00D9313C" w:rsidRPr="00EE23F0" w:rsidRDefault="00D9313C" w:rsidP="00EC1B15">
            <w:pPr>
              <w:pStyle w:val="Bodytext"/>
              <w:spacing w:after="60"/>
              <w:jc w:val="right"/>
              <w:rPr>
                <w:b/>
                <w:color w:val="A6A6A6" w:themeColor="background1" w:themeShade="A6"/>
              </w:rPr>
            </w:pPr>
            <w:r w:rsidRPr="00EE23F0">
              <w:rPr>
                <w:b/>
                <w:color w:val="A6A6A6" w:themeColor="background1" w:themeShade="A6"/>
              </w:rPr>
              <w:t>58</w:t>
            </w:r>
          </w:p>
        </w:tc>
      </w:tr>
    </w:tbl>
    <w:p w14:paraId="308AC3DE" w14:textId="2266D651" w:rsidR="00D9313C" w:rsidRPr="00392A97" w:rsidRDefault="00D9313C" w:rsidP="00392A97">
      <w:pPr>
        <w:tabs>
          <w:tab w:val="left" w:pos="9072"/>
        </w:tabs>
        <w:ind w:right="249"/>
        <w:rPr>
          <w:rFonts w:asciiTheme="minorHAnsi" w:hAnsiTheme="minorHAnsi" w:cstheme="minorHAnsi"/>
        </w:rPr>
        <w:sectPr w:rsidR="00D9313C" w:rsidRPr="00392A97" w:rsidSect="00237BC5">
          <w:type w:val="continuous"/>
          <w:pgSz w:w="16840" w:h="11900" w:orient="landscape"/>
          <w:pgMar w:top="1021" w:right="1701" w:bottom="1021" w:left="851" w:header="851" w:footer="851" w:gutter="0"/>
          <w:cols w:space="720"/>
          <w:titlePg/>
          <w:docGrid w:linePitch="360"/>
        </w:sectPr>
      </w:pPr>
    </w:p>
    <w:p w14:paraId="5688E2AE" w14:textId="3A29D2DC" w:rsidR="00D9313C" w:rsidRPr="006644A8" w:rsidRDefault="00D9313C" w:rsidP="00D9313C">
      <w:pPr>
        <w:pStyle w:val="Bodytext"/>
      </w:pPr>
      <w:r w:rsidRPr="006644A8">
        <w:t>The average number of full-time equivalent employees during the year was 2 (</w:t>
      </w:r>
      <w:r>
        <w:t>202</w:t>
      </w:r>
      <w:r w:rsidR="00FF097A">
        <w:t>2</w:t>
      </w:r>
      <w:r w:rsidR="00875D0F">
        <w:t>/</w:t>
      </w:r>
      <w:r w:rsidR="00FF097A">
        <w:t>23</w:t>
      </w:r>
      <w:r w:rsidRPr="006644A8">
        <w:t>: 2) with both employees involved in providing support services to charitable activities or the governance of the charity.</w:t>
      </w:r>
    </w:p>
    <w:p w14:paraId="5C6D0E8B" w14:textId="75DB3A44" w:rsidR="00D9313C" w:rsidRPr="006644A8" w:rsidRDefault="00D9313C" w:rsidP="00D9313C">
      <w:pPr>
        <w:pStyle w:val="Bodytext"/>
      </w:pPr>
      <w:r>
        <w:t xml:space="preserve">OtM </w:t>
      </w:r>
      <w:r w:rsidRPr="006644A8">
        <w:t xml:space="preserve">considers its key management personnel to be the </w:t>
      </w:r>
      <w:r>
        <w:t xml:space="preserve">member of the HHFT board, acting on behalf of the corporate </w:t>
      </w:r>
      <w:r w:rsidRPr="006644A8">
        <w:t>trustee</w:t>
      </w:r>
      <w:r>
        <w:t>,</w:t>
      </w:r>
      <w:r w:rsidRPr="006644A8">
        <w:t xml:space="preserve"> and the </w:t>
      </w:r>
      <w:r w:rsidRPr="006644A8">
        <w:t>trust fund director.</w:t>
      </w:r>
      <w:r>
        <w:t xml:space="preserve"> </w:t>
      </w:r>
      <w:r w:rsidRPr="006644A8">
        <w:t>The total employment benefits included employer pension contributions of the key management personnel were £45,000 (</w:t>
      </w:r>
      <w:r>
        <w:t>20</w:t>
      </w:r>
      <w:r w:rsidR="00875D0F">
        <w:t>2</w:t>
      </w:r>
      <w:r w:rsidR="00327AEB">
        <w:t>2</w:t>
      </w:r>
      <w:r w:rsidR="00875D0F">
        <w:t>/2</w:t>
      </w:r>
      <w:r w:rsidR="00327AEB">
        <w:t>3</w:t>
      </w:r>
      <w:r w:rsidRPr="006644A8">
        <w:t>: £44,250).</w:t>
      </w:r>
    </w:p>
    <w:p w14:paraId="5ED3C276" w14:textId="4DAC5CC7" w:rsidR="00D9313C" w:rsidRPr="006644A8" w:rsidRDefault="00D9313C" w:rsidP="00D9313C">
      <w:pPr>
        <w:pStyle w:val="Bodytext"/>
      </w:pPr>
      <w:r w:rsidRPr="006644A8">
        <w:t>No employees had emoluments in excess of £60,000 (</w:t>
      </w:r>
      <w:r w:rsidR="00875D0F">
        <w:t>202</w:t>
      </w:r>
      <w:r w:rsidR="00327AEB">
        <w:t>2</w:t>
      </w:r>
      <w:r w:rsidR="00875D0F">
        <w:t>/2</w:t>
      </w:r>
      <w:r w:rsidR="00327AEB">
        <w:t>3</w:t>
      </w:r>
      <w:r w:rsidRPr="006644A8">
        <w:t>: none).</w:t>
      </w:r>
    </w:p>
    <w:p w14:paraId="7CD80C25" w14:textId="77777777" w:rsidR="00D9313C" w:rsidRDefault="00D9313C" w:rsidP="00D9313C">
      <w:pPr>
        <w:pStyle w:val="Heading3"/>
        <w:sectPr w:rsidR="00D9313C" w:rsidSect="00237BC5">
          <w:type w:val="continuous"/>
          <w:pgSz w:w="16840" w:h="11900" w:orient="landscape"/>
          <w:pgMar w:top="1021" w:right="1701" w:bottom="1021" w:left="851" w:header="851" w:footer="851" w:gutter="0"/>
          <w:cols w:num="2" w:space="720"/>
          <w:titlePg/>
          <w:docGrid w:linePitch="360"/>
        </w:sectPr>
      </w:pPr>
    </w:p>
    <w:p w14:paraId="6341FCD1" w14:textId="77777777" w:rsidR="00C17281" w:rsidRDefault="00C17281" w:rsidP="00875D0F">
      <w:pPr>
        <w:pStyle w:val="TableTitle"/>
      </w:pPr>
    </w:p>
    <w:p w14:paraId="0756DB22" w14:textId="0D00657C" w:rsidR="00D9313C" w:rsidRPr="006644A8" w:rsidRDefault="00D9313C" w:rsidP="00875D0F">
      <w:pPr>
        <w:pStyle w:val="TableTitle"/>
      </w:pPr>
      <w:r>
        <w:lastRenderedPageBreak/>
        <w:t xml:space="preserve">15 </w:t>
      </w:r>
      <w:r w:rsidRPr="006644A8">
        <w:t>Auditor’s remuneration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8"/>
      </w:tblGrid>
      <w:tr w:rsidR="00D9313C" w:rsidRPr="006644A8" w14:paraId="5F412AAF" w14:textId="77777777" w:rsidTr="00EC1B15">
        <w:tc>
          <w:tcPr>
            <w:tcW w:w="5000" w:type="pct"/>
            <w:shd w:val="clear" w:color="auto" w:fill="auto"/>
          </w:tcPr>
          <w:p w14:paraId="2A216C36" w14:textId="77777777" w:rsidR="00D9313C" w:rsidRPr="006644A8" w:rsidRDefault="00D9313C" w:rsidP="00EC1B15">
            <w:pPr>
              <w:pStyle w:val="Bodytext"/>
            </w:pPr>
            <w:r w:rsidRPr="006644A8">
              <w:t xml:space="preserve">Paragraph 9.23 of the </w:t>
            </w:r>
            <w:r>
              <w:t>SORP FRS 102</w:t>
            </w:r>
            <w:r w:rsidRPr="006644A8">
              <w:t xml:space="preserve"> requires that charities disclose and analyse the amounts payable to their auditor or independent examiner.</w:t>
            </w:r>
            <w:r>
              <w:t xml:space="preserve"> </w:t>
            </w:r>
          </w:p>
        </w:tc>
      </w:tr>
    </w:tbl>
    <w:p w14:paraId="620F57F6" w14:textId="77777777" w:rsidR="00D9313C" w:rsidRPr="006644A8" w:rsidRDefault="00D9313C" w:rsidP="00D9313C">
      <w:pPr>
        <w:tabs>
          <w:tab w:val="left" w:pos="9072"/>
        </w:tabs>
        <w:ind w:right="249"/>
        <w:rPr>
          <w:rFonts w:asciiTheme="minorHAnsi" w:hAnsiTheme="minorHAnsi" w:cstheme="minorHAnsi"/>
          <w:szCs w:val="22"/>
        </w:rPr>
      </w:pPr>
    </w:p>
    <w:p w14:paraId="01AE50C9" w14:textId="77777777" w:rsidR="00D9313C" w:rsidRDefault="00D9313C" w:rsidP="00D9313C">
      <w:pPr>
        <w:pStyle w:val="Bodytext"/>
        <w:sectPr w:rsidR="00D9313C" w:rsidSect="00237BC5">
          <w:type w:val="continuous"/>
          <w:pgSz w:w="16840" w:h="11900" w:orient="landscape"/>
          <w:pgMar w:top="1021" w:right="1701" w:bottom="1021" w:left="851" w:header="851" w:footer="851" w:gutter="0"/>
          <w:cols w:space="720"/>
          <w:titlePg/>
          <w:docGrid w:linePitch="360"/>
        </w:sectPr>
      </w:pPr>
    </w:p>
    <w:p w14:paraId="175DEF63" w14:textId="0C0885D9" w:rsidR="00D9313C" w:rsidRPr="006644A8" w:rsidRDefault="00D9313C" w:rsidP="00D9313C">
      <w:pPr>
        <w:pStyle w:val="Bodytext"/>
      </w:pPr>
      <w:r w:rsidRPr="006644A8">
        <w:t>The auditor’s remuneration of £21,000 (</w:t>
      </w:r>
      <w:r w:rsidR="00875D0F">
        <w:t>202</w:t>
      </w:r>
      <w:r w:rsidR="00E17AFF">
        <w:t>2</w:t>
      </w:r>
      <w:r w:rsidR="00875D0F">
        <w:t>/2</w:t>
      </w:r>
      <w:r w:rsidR="00E17AFF">
        <w:t>3</w:t>
      </w:r>
      <w:r w:rsidRPr="006644A8">
        <w:t>: £20,000) related solely to the audit with no other additional work being undertaken (</w:t>
      </w:r>
      <w:r w:rsidR="00875D0F">
        <w:t>202</w:t>
      </w:r>
      <w:r w:rsidR="00E17AFF">
        <w:t>2</w:t>
      </w:r>
      <w:r w:rsidR="00875D0F">
        <w:t>/2</w:t>
      </w:r>
      <w:r w:rsidR="00E17AFF">
        <w:t>3</w:t>
      </w:r>
      <w:r w:rsidRPr="006644A8">
        <w:t>: £nil).</w:t>
      </w:r>
    </w:p>
    <w:p w14:paraId="09B55D92" w14:textId="77777777" w:rsidR="00D9313C" w:rsidRDefault="00D9313C" w:rsidP="00D9313C">
      <w:pPr>
        <w:pStyle w:val="Heading3"/>
        <w:sectPr w:rsidR="00D9313C" w:rsidSect="00237BC5">
          <w:type w:val="continuous"/>
          <w:pgSz w:w="16840" w:h="11900" w:orient="landscape"/>
          <w:pgMar w:top="1021" w:right="1701" w:bottom="1021" w:left="851" w:header="851" w:footer="851" w:gutter="0"/>
          <w:cols w:space="720"/>
          <w:titlePg/>
          <w:docGrid w:linePitch="360"/>
        </w:sectPr>
      </w:pPr>
    </w:p>
    <w:p w14:paraId="0DD361CA" w14:textId="77777777" w:rsidR="00D9313C" w:rsidRPr="006644A8" w:rsidRDefault="00D9313C" w:rsidP="00875D0F">
      <w:pPr>
        <w:pStyle w:val="TableTitle"/>
        <w:keepNext/>
      </w:pPr>
      <w:r>
        <w:t xml:space="preserve">16 </w:t>
      </w:r>
      <w:r w:rsidRPr="006644A8">
        <w:t>Fixed asset investments</w:t>
      </w:r>
    </w:p>
    <w:tbl>
      <w:tblPr>
        <w:tblW w:w="500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3687"/>
        <w:gridCol w:w="3089"/>
      </w:tblGrid>
      <w:tr w:rsidR="00D9313C" w:rsidRPr="006644A8" w14:paraId="16EC99FD" w14:textId="77777777" w:rsidTr="003E31E2">
        <w:tc>
          <w:tcPr>
            <w:tcW w:w="5000" w:type="pct"/>
            <w:gridSpan w:val="3"/>
            <w:shd w:val="clear" w:color="auto" w:fill="auto"/>
          </w:tcPr>
          <w:p w14:paraId="015B3B42" w14:textId="77777777" w:rsidR="00D9313C" w:rsidRPr="006644A8" w:rsidRDefault="00D9313C" w:rsidP="00875D0F">
            <w:pPr>
              <w:pStyle w:val="Bodytext"/>
              <w:keepNext/>
            </w:pPr>
            <w:r w:rsidRPr="006644A8">
              <w:t xml:space="preserve">Paragraph 10.53 of the </w:t>
            </w:r>
            <w:r>
              <w:t>SORP FRS 102</w:t>
            </w:r>
            <w:r w:rsidRPr="006644A8">
              <w:t xml:space="preserve"> sets out the disclosure requirements in relation to investments.</w:t>
            </w:r>
          </w:p>
          <w:p w14:paraId="23FD0149" w14:textId="77777777" w:rsidR="00D9313C" w:rsidRPr="006644A8" w:rsidRDefault="00D9313C" w:rsidP="00875D0F">
            <w:pPr>
              <w:pStyle w:val="Bodytext"/>
              <w:keepNext/>
            </w:pPr>
            <w:r w:rsidRPr="006644A8">
              <w:t>The additional narrative disclosure around financial instruments meet</w:t>
            </w:r>
            <w:r>
              <w:t>s</w:t>
            </w:r>
            <w:r w:rsidRPr="006644A8">
              <w:t xml:space="preserve"> the requirement of paragraph 11.38 of the </w:t>
            </w:r>
            <w:r>
              <w:t>SORP FRS 102</w:t>
            </w:r>
            <w:r w:rsidRPr="006644A8">
              <w:t xml:space="preserve"> that the disclosures around credit risk required by FRS 102 should be made in the accounts.</w:t>
            </w:r>
          </w:p>
          <w:p w14:paraId="40D3C2FF" w14:textId="3DAC465B" w:rsidR="00D9313C" w:rsidRPr="00875D0F" w:rsidRDefault="00D9313C" w:rsidP="00875D0F">
            <w:pPr>
              <w:pStyle w:val="Bodytext"/>
              <w:keepNext/>
            </w:pPr>
            <w:r w:rsidRPr="006644A8">
              <w:t>If any of the cash invested on interest bearing deposit was invested for a short term, then it would be included in cash and cash equivalents.</w:t>
            </w:r>
            <w:r>
              <w:t xml:space="preserve"> </w:t>
            </w:r>
            <w:r w:rsidRPr="006644A8">
              <w:t>In this case, the deposits are for more than one year, so they are classified as fixed asset investments.</w:t>
            </w:r>
          </w:p>
        </w:tc>
      </w:tr>
      <w:tr w:rsidR="00BD78D2" w:rsidRPr="008F5D90" w14:paraId="075E8151" w14:textId="77777777" w:rsidTr="00BD7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629" w:type="pct"/>
            <w:shd w:val="clear" w:color="auto" w:fill="auto"/>
          </w:tcPr>
          <w:p w14:paraId="08E5EB81" w14:textId="77777777" w:rsidR="00BD78D2" w:rsidRPr="008F5D90" w:rsidRDefault="00BD78D2" w:rsidP="00085862">
            <w:pPr>
              <w:pStyle w:val="Bodytext"/>
              <w:spacing w:after="60"/>
              <w:rPr>
                <w:b/>
              </w:rPr>
            </w:pPr>
          </w:p>
        </w:tc>
        <w:tc>
          <w:tcPr>
            <w:tcW w:w="1290" w:type="pct"/>
            <w:shd w:val="clear" w:color="auto" w:fill="auto"/>
          </w:tcPr>
          <w:p w14:paraId="778877BF" w14:textId="77777777" w:rsidR="00BD78D2" w:rsidRDefault="00BD78D2" w:rsidP="00085862">
            <w:pPr>
              <w:pStyle w:val="Bodytext"/>
              <w:keepNext/>
              <w:spacing w:after="60"/>
              <w:jc w:val="right"/>
              <w:rPr>
                <w:b/>
              </w:rPr>
            </w:pPr>
          </w:p>
        </w:tc>
        <w:tc>
          <w:tcPr>
            <w:tcW w:w="1081" w:type="pct"/>
            <w:shd w:val="clear" w:color="auto" w:fill="auto"/>
          </w:tcPr>
          <w:p w14:paraId="4966C9F4" w14:textId="77777777" w:rsidR="00BD78D2" w:rsidRDefault="00BD78D2" w:rsidP="00085862">
            <w:pPr>
              <w:pStyle w:val="Bodytext"/>
              <w:keepNext/>
              <w:spacing w:after="60"/>
              <w:jc w:val="right"/>
              <w:rPr>
                <w:b/>
                <w:color w:val="A6A6A6" w:themeColor="background1" w:themeShade="A6"/>
              </w:rPr>
            </w:pPr>
          </w:p>
        </w:tc>
      </w:tr>
      <w:tr w:rsidR="003E31E2" w:rsidRPr="008F5D90" w14:paraId="6FA5D995" w14:textId="77777777" w:rsidTr="00685E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629" w:type="pct"/>
            <w:shd w:val="clear" w:color="auto" w:fill="auto"/>
          </w:tcPr>
          <w:p w14:paraId="55BEF807" w14:textId="77777777" w:rsidR="003E31E2" w:rsidRPr="008F5D90" w:rsidRDefault="003E31E2" w:rsidP="003E31E2">
            <w:pPr>
              <w:pStyle w:val="Bodytext"/>
              <w:spacing w:after="60"/>
              <w:rPr>
                <w:b/>
              </w:rPr>
            </w:pPr>
            <w:r w:rsidRPr="008F5D90">
              <w:rPr>
                <w:b/>
              </w:rPr>
              <w:t>Movement in fixed asset investments</w:t>
            </w:r>
          </w:p>
        </w:tc>
        <w:tc>
          <w:tcPr>
            <w:tcW w:w="1290" w:type="pct"/>
            <w:shd w:val="clear" w:color="auto" w:fill="D9D9D9" w:themeFill="background1" w:themeFillShade="D9"/>
          </w:tcPr>
          <w:p w14:paraId="2E7F50F1" w14:textId="68544DDA" w:rsidR="003E31E2" w:rsidRDefault="003E31E2" w:rsidP="003E31E2">
            <w:pPr>
              <w:pStyle w:val="Bodytext"/>
              <w:keepNext/>
              <w:spacing w:after="60"/>
              <w:jc w:val="right"/>
              <w:rPr>
                <w:b/>
              </w:rPr>
            </w:pPr>
            <w:r>
              <w:rPr>
                <w:b/>
              </w:rPr>
              <w:t>202</w:t>
            </w:r>
            <w:r w:rsidR="00012866">
              <w:rPr>
                <w:b/>
              </w:rPr>
              <w:t>3</w:t>
            </w:r>
            <w:r>
              <w:rPr>
                <w:b/>
              </w:rPr>
              <w:t>/2</w:t>
            </w:r>
            <w:r w:rsidR="00012866">
              <w:rPr>
                <w:b/>
              </w:rPr>
              <w:t>4</w:t>
            </w:r>
          </w:p>
          <w:p w14:paraId="1A3E19F5" w14:textId="5EDB5B9A" w:rsidR="003E31E2" w:rsidRPr="008F5D90" w:rsidRDefault="003E31E2" w:rsidP="003E31E2">
            <w:pPr>
              <w:pStyle w:val="Bodytext"/>
              <w:jc w:val="right"/>
              <w:rPr>
                <w:b/>
              </w:rPr>
            </w:pPr>
            <w:r>
              <w:rPr>
                <w:b/>
              </w:rPr>
              <w:t>£000</w:t>
            </w:r>
          </w:p>
        </w:tc>
        <w:tc>
          <w:tcPr>
            <w:tcW w:w="1081" w:type="pct"/>
            <w:shd w:val="clear" w:color="auto" w:fill="auto"/>
          </w:tcPr>
          <w:p w14:paraId="746171B2" w14:textId="2D8AC028" w:rsidR="003E31E2" w:rsidRPr="002B08DA" w:rsidRDefault="003E31E2" w:rsidP="003E31E2">
            <w:pPr>
              <w:pStyle w:val="Bodytext"/>
              <w:keepNext/>
              <w:spacing w:after="60"/>
              <w:jc w:val="right"/>
              <w:rPr>
                <w:b/>
                <w:color w:val="A6A6A6" w:themeColor="background1" w:themeShade="A6"/>
              </w:rPr>
            </w:pPr>
            <w:r>
              <w:rPr>
                <w:b/>
                <w:color w:val="A6A6A6" w:themeColor="background1" w:themeShade="A6"/>
              </w:rPr>
              <w:t>202</w:t>
            </w:r>
            <w:r w:rsidR="00012866">
              <w:rPr>
                <w:b/>
                <w:color w:val="A6A6A6" w:themeColor="background1" w:themeShade="A6"/>
              </w:rPr>
              <w:t>2/</w:t>
            </w:r>
            <w:r>
              <w:rPr>
                <w:b/>
                <w:color w:val="A6A6A6" w:themeColor="background1" w:themeShade="A6"/>
              </w:rPr>
              <w:t>2</w:t>
            </w:r>
            <w:r w:rsidR="00012866">
              <w:rPr>
                <w:b/>
                <w:color w:val="A6A6A6" w:themeColor="background1" w:themeShade="A6"/>
              </w:rPr>
              <w:t>3</w:t>
            </w:r>
          </w:p>
          <w:p w14:paraId="5B7697AE" w14:textId="7E6F001A" w:rsidR="003E31E2" w:rsidRPr="00F9240A" w:rsidRDefault="003E31E2" w:rsidP="003E31E2">
            <w:pPr>
              <w:pStyle w:val="Bodytext"/>
              <w:jc w:val="right"/>
              <w:rPr>
                <w:b/>
                <w:color w:val="A6A6A6" w:themeColor="background1" w:themeShade="A6"/>
              </w:rPr>
            </w:pPr>
            <w:r w:rsidRPr="002B08DA">
              <w:rPr>
                <w:b/>
                <w:color w:val="A6A6A6" w:themeColor="background1" w:themeShade="A6"/>
              </w:rPr>
              <w:t>£000</w:t>
            </w:r>
          </w:p>
        </w:tc>
      </w:tr>
      <w:tr w:rsidR="00581022" w:rsidRPr="006644A8" w14:paraId="494EB8A8" w14:textId="77777777" w:rsidTr="00685E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629" w:type="pct"/>
            <w:shd w:val="clear" w:color="auto" w:fill="auto"/>
          </w:tcPr>
          <w:p w14:paraId="48990E22" w14:textId="77777777" w:rsidR="00581022" w:rsidRPr="006644A8" w:rsidRDefault="00581022" w:rsidP="00581022">
            <w:pPr>
              <w:pStyle w:val="Bodytext"/>
              <w:spacing w:after="60"/>
            </w:pPr>
            <w:r w:rsidRPr="006644A8">
              <w:t>Market value brought forward</w:t>
            </w:r>
          </w:p>
        </w:tc>
        <w:tc>
          <w:tcPr>
            <w:tcW w:w="1290" w:type="pct"/>
            <w:shd w:val="clear" w:color="auto" w:fill="D9D9D9" w:themeFill="background1" w:themeFillShade="D9"/>
            <w:vAlign w:val="center"/>
          </w:tcPr>
          <w:p w14:paraId="32C0027F" w14:textId="0E07C993" w:rsidR="00581022" w:rsidRPr="006644A8" w:rsidRDefault="000C3C97" w:rsidP="00581022">
            <w:pPr>
              <w:pStyle w:val="Bodytext"/>
              <w:spacing w:after="60"/>
              <w:jc w:val="right"/>
            </w:pPr>
            <w:r>
              <w:rPr>
                <w:rFonts w:cs="Arial"/>
                <w:color w:val="424141"/>
                <w:szCs w:val="22"/>
              </w:rPr>
              <w:t>9</w:t>
            </w:r>
            <w:r w:rsidR="00581022">
              <w:rPr>
                <w:rFonts w:cs="Arial"/>
                <w:color w:val="424141"/>
                <w:szCs w:val="22"/>
              </w:rPr>
              <w:t>,941</w:t>
            </w:r>
          </w:p>
        </w:tc>
        <w:tc>
          <w:tcPr>
            <w:tcW w:w="1081" w:type="pct"/>
            <w:shd w:val="clear" w:color="auto" w:fill="auto"/>
            <w:vAlign w:val="center"/>
          </w:tcPr>
          <w:p w14:paraId="0B2C9B4E" w14:textId="62D7BAA2" w:rsidR="00581022" w:rsidRPr="00F9240A" w:rsidRDefault="000C3C97" w:rsidP="00581022">
            <w:pPr>
              <w:pStyle w:val="Bodytext"/>
              <w:spacing w:after="60"/>
              <w:jc w:val="right"/>
              <w:rPr>
                <w:color w:val="A6A6A6" w:themeColor="background1" w:themeShade="A6"/>
              </w:rPr>
            </w:pPr>
            <w:r>
              <w:rPr>
                <w:rFonts w:cs="Arial"/>
                <w:color w:val="A6A6A6"/>
                <w:szCs w:val="22"/>
              </w:rPr>
              <w:t>9</w:t>
            </w:r>
            <w:r w:rsidR="00581022">
              <w:rPr>
                <w:rFonts w:cs="Arial"/>
                <w:color w:val="A6A6A6"/>
                <w:szCs w:val="22"/>
              </w:rPr>
              <w:t>,194</w:t>
            </w:r>
          </w:p>
        </w:tc>
      </w:tr>
      <w:tr w:rsidR="00581022" w:rsidRPr="006644A8" w14:paraId="6A8A7929" w14:textId="77777777" w:rsidTr="00685E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629" w:type="pct"/>
            <w:shd w:val="clear" w:color="auto" w:fill="auto"/>
          </w:tcPr>
          <w:p w14:paraId="6C0EDD25" w14:textId="77777777" w:rsidR="00581022" w:rsidRPr="006644A8" w:rsidRDefault="00581022" w:rsidP="00581022">
            <w:pPr>
              <w:pStyle w:val="Bodytext"/>
              <w:spacing w:after="60"/>
            </w:pPr>
            <w:r w:rsidRPr="006644A8">
              <w:t>Add: additions to investments at cost</w:t>
            </w:r>
          </w:p>
        </w:tc>
        <w:tc>
          <w:tcPr>
            <w:tcW w:w="1290" w:type="pct"/>
            <w:shd w:val="clear" w:color="auto" w:fill="D9D9D9" w:themeFill="background1" w:themeFillShade="D9"/>
            <w:vAlign w:val="center"/>
          </w:tcPr>
          <w:p w14:paraId="1146C5A9" w14:textId="2677991D" w:rsidR="00581022" w:rsidRPr="006644A8" w:rsidRDefault="00581022" w:rsidP="00581022">
            <w:pPr>
              <w:pStyle w:val="Bodytext"/>
              <w:spacing w:after="60"/>
              <w:jc w:val="right"/>
            </w:pPr>
            <w:r>
              <w:rPr>
                <w:rFonts w:cs="Arial"/>
                <w:color w:val="424141"/>
                <w:szCs w:val="22"/>
              </w:rPr>
              <w:t>524</w:t>
            </w:r>
          </w:p>
        </w:tc>
        <w:tc>
          <w:tcPr>
            <w:tcW w:w="1081" w:type="pct"/>
            <w:shd w:val="clear" w:color="auto" w:fill="auto"/>
            <w:vAlign w:val="center"/>
          </w:tcPr>
          <w:p w14:paraId="6319A98D" w14:textId="1F6F9B6D" w:rsidR="00581022" w:rsidRPr="00F9240A" w:rsidRDefault="00581022" w:rsidP="00581022">
            <w:pPr>
              <w:pStyle w:val="Bodytext"/>
              <w:spacing w:after="60"/>
              <w:jc w:val="right"/>
              <w:rPr>
                <w:color w:val="A6A6A6" w:themeColor="background1" w:themeShade="A6"/>
              </w:rPr>
            </w:pPr>
            <w:r>
              <w:rPr>
                <w:rFonts w:cs="Arial"/>
                <w:color w:val="A6A6A6"/>
                <w:szCs w:val="22"/>
              </w:rPr>
              <w:t>505</w:t>
            </w:r>
          </w:p>
        </w:tc>
      </w:tr>
      <w:tr w:rsidR="00581022" w:rsidRPr="006644A8" w14:paraId="7E6D0072" w14:textId="77777777" w:rsidTr="00685E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629" w:type="pct"/>
            <w:shd w:val="clear" w:color="auto" w:fill="auto"/>
          </w:tcPr>
          <w:p w14:paraId="5D570C29" w14:textId="77777777" w:rsidR="00581022" w:rsidRPr="006644A8" w:rsidRDefault="00581022" w:rsidP="00581022">
            <w:pPr>
              <w:pStyle w:val="Bodytext"/>
              <w:spacing w:after="60"/>
            </w:pPr>
            <w:r w:rsidRPr="006644A8">
              <w:t>Less disposals at carrying value</w:t>
            </w:r>
          </w:p>
        </w:tc>
        <w:tc>
          <w:tcPr>
            <w:tcW w:w="1290" w:type="pct"/>
            <w:shd w:val="clear" w:color="auto" w:fill="D9D9D9" w:themeFill="background1" w:themeFillShade="D9"/>
            <w:vAlign w:val="center"/>
          </w:tcPr>
          <w:p w14:paraId="6F7A5ACE" w14:textId="012C1299" w:rsidR="00581022" w:rsidRPr="006644A8" w:rsidRDefault="00581022" w:rsidP="00581022">
            <w:pPr>
              <w:pStyle w:val="Bodytext"/>
              <w:spacing w:after="60"/>
              <w:jc w:val="right"/>
            </w:pPr>
            <w:r>
              <w:rPr>
                <w:rFonts w:cs="Arial"/>
                <w:color w:val="424141"/>
                <w:szCs w:val="22"/>
              </w:rPr>
              <w:t>-1,202</w:t>
            </w:r>
          </w:p>
        </w:tc>
        <w:tc>
          <w:tcPr>
            <w:tcW w:w="1081" w:type="pct"/>
            <w:shd w:val="clear" w:color="auto" w:fill="auto"/>
            <w:vAlign w:val="center"/>
          </w:tcPr>
          <w:p w14:paraId="43FA8FD7" w14:textId="24910733" w:rsidR="00581022" w:rsidRPr="00F9240A" w:rsidRDefault="00581022" w:rsidP="00581022">
            <w:pPr>
              <w:pStyle w:val="Bodytext"/>
              <w:spacing w:after="60"/>
              <w:jc w:val="right"/>
              <w:rPr>
                <w:color w:val="A6A6A6" w:themeColor="background1" w:themeShade="A6"/>
              </w:rPr>
            </w:pPr>
            <w:r>
              <w:rPr>
                <w:rFonts w:cs="Arial"/>
                <w:color w:val="A6A6A6"/>
                <w:szCs w:val="22"/>
              </w:rPr>
              <w:t>-1,218</w:t>
            </w:r>
          </w:p>
        </w:tc>
      </w:tr>
      <w:tr w:rsidR="00581022" w:rsidRPr="006644A8" w14:paraId="4A6D0FE9" w14:textId="77777777" w:rsidTr="00685E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629" w:type="pct"/>
            <w:shd w:val="clear" w:color="auto" w:fill="auto"/>
          </w:tcPr>
          <w:p w14:paraId="36B71159" w14:textId="77777777" w:rsidR="00581022" w:rsidRPr="006644A8" w:rsidRDefault="00581022" w:rsidP="00581022">
            <w:pPr>
              <w:pStyle w:val="Bodytext"/>
              <w:spacing w:after="60"/>
            </w:pPr>
            <w:r w:rsidRPr="006644A8">
              <w:t>Add net gain (loss) on revaluation</w:t>
            </w:r>
          </w:p>
        </w:tc>
        <w:tc>
          <w:tcPr>
            <w:tcW w:w="1290" w:type="pct"/>
            <w:tcBorders>
              <w:bottom w:val="single" w:sz="4" w:space="0" w:color="auto"/>
            </w:tcBorders>
            <w:shd w:val="clear" w:color="auto" w:fill="D9D9D9" w:themeFill="background1" w:themeFillShade="D9"/>
            <w:vAlign w:val="center"/>
          </w:tcPr>
          <w:p w14:paraId="28214798" w14:textId="7C93A507" w:rsidR="00581022" w:rsidRPr="006644A8" w:rsidRDefault="00581022" w:rsidP="00581022">
            <w:pPr>
              <w:pStyle w:val="Bodytext"/>
              <w:spacing w:after="60"/>
              <w:jc w:val="right"/>
            </w:pPr>
            <w:r>
              <w:rPr>
                <w:rFonts w:cs="Arial"/>
                <w:color w:val="424141"/>
                <w:szCs w:val="22"/>
              </w:rPr>
              <w:t>-474</w:t>
            </w:r>
          </w:p>
        </w:tc>
        <w:tc>
          <w:tcPr>
            <w:tcW w:w="1081" w:type="pct"/>
            <w:tcBorders>
              <w:bottom w:val="single" w:sz="4" w:space="0" w:color="auto"/>
            </w:tcBorders>
            <w:shd w:val="clear" w:color="auto" w:fill="auto"/>
            <w:vAlign w:val="center"/>
          </w:tcPr>
          <w:p w14:paraId="1FC457E8" w14:textId="36FF6636" w:rsidR="00581022" w:rsidRPr="00F9240A" w:rsidRDefault="005346DB" w:rsidP="00581022">
            <w:pPr>
              <w:pStyle w:val="Bodytext"/>
              <w:spacing w:after="60"/>
              <w:jc w:val="right"/>
              <w:rPr>
                <w:color w:val="A6A6A6" w:themeColor="background1" w:themeShade="A6"/>
              </w:rPr>
            </w:pPr>
            <w:r>
              <w:rPr>
                <w:rFonts w:cs="Arial"/>
                <w:color w:val="A6A6A6"/>
                <w:szCs w:val="22"/>
              </w:rPr>
              <w:t>1,460</w:t>
            </w:r>
          </w:p>
        </w:tc>
      </w:tr>
      <w:tr w:rsidR="00581022" w:rsidRPr="008170A4" w14:paraId="334CB50F" w14:textId="77777777" w:rsidTr="00685E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77"/>
        </w:trPr>
        <w:tc>
          <w:tcPr>
            <w:tcW w:w="2629" w:type="pct"/>
            <w:shd w:val="clear" w:color="auto" w:fill="auto"/>
          </w:tcPr>
          <w:p w14:paraId="55083310" w14:textId="77777777" w:rsidR="00581022" w:rsidRPr="00D408DC" w:rsidRDefault="00581022" w:rsidP="00581022">
            <w:pPr>
              <w:pStyle w:val="Bodytext"/>
              <w:spacing w:after="60"/>
              <w:rPr>
                <w:b/>
                <w:bCs/>
              </w:rPr>
            </w:pPr>
            <w:r w:rsidRPr="00D408DC">
              <w:rPr>
                <w:b/>
                <w:bCs/>
              </w:rPr>
              <w:t>Market value as at 31 March</w:t>
            </w:r>
          </w:p>
        </w:tc>
        <w:tc>
          <w:tcPr>
            <w:tcW w:w="1290" w:type="pct"/>
            <w:tcBorders>
              <w:top w:val="single" w:sz="4" w:space="0" w:color="auto"/>
              <w:bottom w:val="double" w:sz="4" w:space="0" w:color="auto"/>
            </w:tcBorders>
            <w:shd w:val="clear" w:color="auto" w:fill="D9D9D9" w:themeFill="background1" w:themeFillShade="D9"/>
            <w:vAlign w:val="center"/>
          </w:tcPr>
          <w:p w14:paraId="369BC95A" w14:textId="458C5A24" w:rsidR="00581022" w:rsidRPr="00D408DC" w:rsidRDefault="000C3C97" w:rsidP="00581022">
            <w:pPr>
              <w:pStyle w:val="Bodytext"/>
              <w:spacing w:after="60"/>
              <w:jc w:val="right"/>
              <w:rPr>
                <w:b/>
                <w:bCs/>
              </w:rPr>
            </w:pPr>
            <w:r>
              <w:rPr>
                <w:rFonts w:cs="Arial"/>
                <w:b/>
                <w:bCs/>
                <w:color w:val="424141"/>
                <w:szCs w:val="22"/>
              </w:rPr>
              <w:t>8</w:t>
            </w:r>
            <w:r w:rsidR="00581022">
              <w:rPr>
                <w:rFonts w:cs="Arial"/>
                <w:b/>
                <w:bCs/>
                <w:color w:val="424141"/>
                <w:szCs w:val="22"/>
              </w:rPr>
              <w:t>,789</w:t>
            </w:r>
          </w:p>
        </w:tc>
        <w:tc>
          <w:tcPr>
            <w:tcW w:w="1081" w:type="pct"/>
            <w:tcBorders>
              <w:top w:val="single" w:sz="4" w:space="0" w:color="auto"/>
              <w:bottom w:val="double" w:sz="4" w:space="0" w:color="auto"/>
            </w:tcBorders>
            <w:shd w:val="clear" w:color="auto" w:fill="auto"/>
            <w:vAlign w:val="center"/>
          </w:tcPr>
          <w:p w14:paraId="118841B0" w14:textId="2F351B2A" w:rsidR="00581022" w:rsidRPr="00D408DC" w:rsidRDefault="000C3C97" w:rsidP="00581022">
            <w:pPr>
              <w:pStyle w:val="Bodytext"/>
              <w:spacing w:after="60"/>
              <w:jc w:val="right"/>
              <w:rPr>
                <w:b/>
                <w:bCs/>
                <w:color w:val="A6A6A6" w:themeColor="background1" w:themeShade="A6"/>
              </w:rPr>
            </w:pPr>
            <w:r>
              <w:rPr>
                <w:rFonts w:cs="Arial"/>
                <w:b/>
                <w:bCs/>
                <w:color w:val="A6A6A6"/>
                <w:szCs w:val="22"/>
              </w:rPr>
              <w:t>9</w:t>
            </w:r>
            <w:r w:rsidR="00581022">
              <w:rPr>
                <w:rFonts w:cs="Arial"/>
                <w:b/>
                <w:bCs/>
                <w:color w:val="A6A6A6"/>
                <w:szCs w:val="22"/>
              </w:rPr>
              <w:t>,941</w:t>
            </w:r>
          </w:p>
        </w:tc>
      </w:tr>
    </w:tbl>
    <w:p w14:paraId="1E570AD6" w14:textId="77777777" w:rsidR="00FE389C" w:rsidRDefault="00FE389C" w:rsidP="00052572">
      <w:pPr>
        <w:pStyle w:val="Bodytext"/>
        <w:rPr>
          <w:sz w:val="16"/>
          <w:szCs w:val="16"/>
        </w:rPr>
        <w:sectPr w:rsidR="00FE389C" w:rsidSect="00237BC5">
          <w:type w:val="continuous"/>
          <w:pgSz w:w="16840" w:h="11900" w:orient="landscape"/>
          <w:pgMar w:top="1021" w:right="1701" w:bottom="1021" w:left="851" w:header="851" w:footer="851" w:gutter="0"/>
          <w:cols w:space="720"/>
          <w:titlePg/>
          <w:docGrid w:linePitch="360"/>
        </w:sectPr>
      </w:pPr>
    </w:p>
    <w:tbl>
      <w:tblPr>
        <w:tblW w:w="5000" w:type="pct"/>
        <w:tblLook w:val="01E0" w:firstRow="1" w:lastRow="1" w:firstColumn="1" w:lastColumn="1" w:noHBand="0" w:noVBand="0"/>
      </w:tblPr>
      <w:tblGrid>
        <w:gridCol w:w="7513"/>
        <w:gridCol w:w="3686"/>
        <w:gridCol w:w="3089"/>
      </w:tblGrid>
      <w:tr w:rsidR="003E31E2" w:rsidRPr="008F5D90" w14:paraId="6BC1CC0B" w14:textId="77777777" w:rsidTr="00EC1B15">
        <w:tc>
          <w:tcPr>
            <w:tcW w:w="2629" w:type="pct"/>
            <w:shd w:val="clear" w:color="auto" w:fill="auto"/>
          </w:tcPr>
          <w:p w14:paraId="216CF753" w14:textId="77777777" w:rsidR="003E31E2" w:rsidRPr="008F5D90" w:rsidRDefault="003E31E2" w:rsidP="003E31E2">
            <w:pPr>
              <w:pStyle w:val="Bodytext"/>
              <w:spacing w:after="60"/>
              <w:rPr>
                <w:b/>
              </w:rPr>
            </w:pPr>
            <w:r>
              <w:rPr>
                <w:b/>
              </w:rPr>
              <w:lastRenderedPageBreak/>
              <w:t xml:space="preserve">Fixed asset investments </w:t>
            </w:r>
            <w:r w:rsidRPr="008F5D90">
              <w:rPr>
                <w:b/>
              </w:rPr>
              <w:t>by type</w:t>
            </w:r>
          </w:p>
        </w:tc>
        <w:tc>
          <w:tcPr>
            <w:tcW w:w="1290" w:type="pct"/>
            <w:shd w:val="clear" w:color="auto" w:fill="D9D9D9" w:themeFill="background1" w:themeFillShade="D9"/>
          </w:tcPr>
          <w:p w14:paraId="67139AA8" w14:textId="2E9B1372" w:rsidR="003E31E2" w:rsidRDefault="003E31E2" w:rsidP="003E31E2">
            <w:pPr>
              <w:pStyle w:val="Bodytext"/>
              <w:keepNext/>
              <w:spacing w:after="60"/>
              <w:jc w:val="right"/>
              <w:rPr>
                <w:b/>
              </w:rPr>
            </w:pPr>
            <w:r>
              <w:rPr>
                <w:b/>
              </w:rPr>
              <w:t>202</w:t>
            </w:r>
            <w:r w:rsidR="00012866">
              <w:rPr>
                <w:b/>
              </w:rPr>
              <w:t>3</w:t>
            </w:r>
            <w:r>
              <w:rPr>
                <w:b/>
              </w:rPr>
              <w:t>/2</w:t>
            </w:r>
            <w:r w:rsidR="00012866">
              <w:rPr>
                <w:b/>
              </w:rPr>
              <w:t>4</w:t>
            </w:r>
          </w:p>
          <w:p w14:paraId="6C58EA3D" w14:textId="0C1E87A2" w:rsidR="003E31E2" w:rsidRPr="008F5D90" w:rsidRDefault="003E31E2" w:rsidP="003E31E2">
            <w:pPr>
              <w:pStyle w:val="Bodytext"/>
              <w:keepNext/>
              <w:jc w:val="right"/>
              <w:rPr>
                <w:b/>
              </w:rPr>
            </w:pPr>
            <w:r>
              <w:rPr>
                <w:b/>
              </w:rPr>
              <w:t>£000</w:t>
            </w:r>
          </w:p>
        </w:tc>
        <w:tc>
          <w:tcPr>
            <w:tcW w:w="1081" w:type="pct"/>
            <w:shd w:val="clear" w:color="auto" w:fill="auto"/>
          </w:tcPr>
          <w:p w14:paraId="71A799AC" w14:textId="3AAA7144" w:rsidR="003E31E2" w:rsidRPr="002B08DA" w:rsidRDefault="003E31E2" w:rsidP="003E31E2">
            <w:pPr>
              <w:pStyle w:val="Bodytext"/>
              <w:keepNext/>
              <w:spacing w:after="60"/>
              <w:jc w:val="right"/>
              <w:rPr>
                <w:b/>
                <w:color w:val="A6A6A6" w:themeColor="background1" w:themeShade="A6"/>
              </w:rPr>
            </w:pPr>
            <w:r>
              <w:rPr>
                <w:b/>
                <w:color w:val="A6A6A6" w:themeColor="background1" w:themeShade="A6"/>
              </w:rPr>
              <w:t>202</w:t>
            </w:r>
            <w:r w:rsidR="00012866">
              <w:rPr>
                <w:b/>
                <w:color w:val="A6A6A6" w:themeColor="background1" w:themeShade="A6"/>
              </w:rPr>
              <w:t>2</w:t>
            </w:r>
            <w:r>
              <w:rPr>
                <w:b/>
                <w:color w:val="A6A6A6" w:themeColor="background1" w:themeShade="A6"/>
              </w:rPr>
              <w:t>/2</w:t>
            </w:r>
            <w:r w:rsidR="00012866">
              <w:rPr>
                <w:b/>
                <w:color w:val="A6A6A6" w:themeColor="background1" w:themeShade="A6"/>
              </w:rPr>
              <w:t>3</w:t>
            </w:r>
          </w:p>
          <w:p w14:paraId="07B9536A" w14:textId="192A2F3B" w:rsidR="003E31E2" w:rsidRPr="00F9240A" w:rsidRDefault="003E31E2" w:rsidP="003E31E2">
            <w:pPr>
              <w:pStyle w:val="Bodytext"/>
              <w:keepNext/>
              <w:spacing w:after="60"/>
              <w:jc w:val="right"/>
              <w:rPr>
                <w:b/>
                <w:color w:val="A6A6A6" w:themeColor="background1" w:themeShade="A6"/>
              </w:rPr>
            </w:pPr>
            <w:r w:rsidRPr="002B08DA">
              <w:rPr>
                <w:b/>
                <w:color w:val="A6A6A6" w:themeColor="background1" w:themeShade="A6"/>
              </w:rPr>
              <w:t>£000</w:t>
            </w:r>
          </w:p>
        </w:tc>
      </w:tr>
      <w:tr w:rsidR="007D51E5" w:rsidRPr="006644A8" w14:paraId="7CCCD541" w14:textId="77777777" w:rsidTr="00EC1B15">
        <w:tc>
          <w:tcPr>
            <w:tcW w:w="2629" w:type="pct"/>
            <w:shd w:val="clear" w:color="auto" w:fill="auto"/>
          </w:tcPr>
          <w:p w14:paraId="31659284" w14:textId="77777777" w:rsidR="007D51E5" w:rsidRPr="006644A8" w:rsidRDefault="007D51E5" w:rsidP="007D51E5">
            <w:pPr>
              <w:pStyle w:val="Bodytext"/>
              <w:spacing w:after="60"/>
            </w:pPr>
            <w:r w:rsidRPr="006644A8">
              <w:t>UK Equity Funds</w:t>
            </w:r>
          </w:p>
        </w:tc>
        <w:tc>
          <w:tcPr>
            <w:tcW w:w="1290" w:type="pct"/>
            <w:shd w:val="clear" w:color="auto" w:fill="D9D9D9" w:themeFill="background1" w:themeFillShade="D9"/>
            <w:vAlign w:val="center"/>
          </w:tcPr>
          <w:p w14:paraId="20B2A700" w14:textId="3DB43F86" w:rsidR="007D51E5" w:rsidRPr="006644A8" w:rsidRDefault="00C35CBF" w:rsidP="007D51E5">
            <w:pPr>
              <w:pStyle w:val="Bodytext"/>
              <w:keepNext/>
              <w:spacing w:after="60"/>
              <w:jc w:val="right"/>
            </w:pPr>
            <w:r>
              <w:rPr>
                <w:rFonts w:cs="Arial"/>
                <w:color w:val="424141"/>
                <w:szCs w:val="22"/>
              </w:rPr>
              <w:t>1,</w:t>
            </w:r>
            <w:r w:rsidR="007D51E5">
              <w:rPr>
                <w:rFonts w:cs="Arial"/>
                <w:color w:val="424141"/>
                <w:szCs w:val="22"/>
              </w:rPr>
              <w:t>198</w:t>
            </w:r>
          </w:p>
        </w:tc>
        <w:tc>
          <w:tcPr>
            <w:tcW w:w="1081" w:type="pct"/>
            <w:shd w:val="clear" w:color="auto" w:fill="auto"/>
            <w:vAlign w:val="center"/>
          </w:tcPr>
          <w:p w14:paraId="00BD64B3" w14:textId="6D957479" w:rsidR="007D51E5" w:rsidRPr="00F9240A" w:rsidRDefault="00C35CBF" w:rsidP="007D51E5">
            <w:pPr>
              <w:pStyle w:val="Bodytext"/>
              <w:keepNext/>
              <w:spacing w:after="60"/>
              <w:jc w:val="right"/>
              <w:rPr>
                <w:color w:val="A6A6A6" w:themeColor="background1" w:themeShade="A6"/>
              </w:rPr>
            </w:pPr>
            <w:r>
              <w:rPr>
                <w:rFonts w:cs="Arial"/>
                <w:color w:val="A6A6A6"/>
                <w:szCs w:val="22"/>
              </w:rPr>
              <w:t>3</w:t>
            </w:r>
            <w:r w:rsidR="007D51E5">
              <w:rPr>
                <w:rFonts w:cs="Arial"/>
                <w:color w:val="A6A6A6"/>
                <w:szCs w:val="22"/>
              </w:rPr>
              <w:t>,557</w:t>
            </w:r>
          </w:p>
        </w:tc>
      </w:tr>
      <w:tr w:rsidR="007D51E5" w:rsidRPr="006644A8" w14:paraId="1E7D6859" w14:textId="77777777" w:rsidTr="00EC1B15">
        <w:tc>
          <w:tcPr>
            <w:tcW w:w="2629" w:type="pct"/>
            <w:shd w:val="clear" w:color="auto" w:fill="auto"/>
          </w:tcPr>
          <w:p w14:paraId="591E2197" w14:textId="77777777" w:rsidR="007D51E5" w:rsidRPr="006644A8" w:rsidRDefault="007D51E5" w:rsidP="007D51E5">
            <w:pPr>
              <w:pStyle w:val="Bodytext"/>
              <w:spacing w:after="60"/>
            </w:pPr>
            <w:r w:rsidRPr="006644A8">
              <w:t>Overseas Equity Funds</w:t>
            </w:r>
          </w:p>
        </w:tc>
        <w:tc>
          <w:tcPr>
            <w:tcW w:w="1290" w:type="pct"/>
            <w:shd w:val="clear" w:color="auto" w:fill="D9D9D9" w:themeFill="background1" w:themeFillShade="D9"/>
            <w:vAlign w:val="center"/>
          </w:tcPr>
          <w:p w14:paraId="73FB7059" w14:textId="475B68AA" w:rsidR="007D51E5" w:rsidRPr="006644A8" w:rsidRDefault="007D51E5" w:rsidP="007D51E5">
            <w:pPr>
              <w:pStyle w:val="Bodytext"/>
              <w:keepNext/>
              <w:spacing w:after="60"/>
              <w:jc w:val="right"/>
            </w:pPr>
            <w:r>
              <w:rPr>
                <w:rFonts w:cs="Arial"/>
                <w:color w:val="424141"/>
                <w:szCs w:val="22"/>
              </w:rPr>
              <w:t>212</w:t>
            </w:r>
          </w:p>
        </w:tc>
        <w:tc>
          <w:tcPr>
            <w:tcW w:w="1081" w:type="pct"/>
            <w:shd w:val="clear" w:color="auto" w:fill="auto"/>
            <w:vAlign w:val="center"/>
          </w:tcPr>
          <w:p w14:paraId="10120603" w14:textId="446FBCED" w:rsidR="007D51E5" w:rsidRPr="00F9240A" w:rsidRDefault="007D51E5" w:rsidP="007D51E5">
            <w:pPr>
              <w:pStyle w:val="Bodytext"/>
              <w:keepNext/>
              <w:spacing w:after="60"/>
              <w:jc w:val="right"/>
              <w:rPr>
                <w:color w:val="A6A6A6" w:themeColor="background1" w:themeShade="A6"/>
              </w:rPr>
            </w:pPr>
            <w:r>
              <w:rPr>
                <w:rFonts w:cs="Arial"/>
                <w:color w:val="A6A6A6"/>
                <w:szCs w:val="22"/>
              </w:rPr>
              <w:t>312</w:t>
            </w:r>
          </w:p>
        </w:tc>
      </w:tr>
      <w:tr w:rsidR="007D51E5" w:rsidRPr="006644A8" w14:paraId="3A2AC97E" w14:textId="77777777" w:rsidTr="00EC1B15">
        <w:tc>
          <w:tcPr>
            <w:tcW w:w="2629" w:type="pct"/>
            <w:shd w:val="clear" w:color="auto" w:fill="auto"/>
          </w:tcPr>
          <w:p w14:paraId="4C18EE35" w14:textId="77777777" w:rsidR="007D51E5" w:rsidRPr="006644A8" w:rsidRDefault="007D51E5" w:rsidP="007D51E5">
            <w:pPr>
              <w:pStyle w:val="Bodytext"/>
              <w:spacing w:after="60"/>
            </w:pPr>
            <w:r w:rsidRPr="006644A8">
              <w:t>Bond Funds</w:t>
            </w:r>
          </w:p>
        </w:tc>
        <w:tc>
          <w:tcPr>
            <w:tcW w:w="1290" w:type="pct"/>
            <w:shd w:val="clear" w:color="auto" w:fill="D9D9D9" w:themeFill="background1" w:themeFillShade="D9"/>
            <w:vAlign w:val="center"/>
          </w:tcPr>
          <w:p w14:paraId="737732DB" w14:textId="24C148C3" w:rsidR="007D51E5" w:rsidRPr="006644A8" w:rsidRDefault="007D51E5" w:rsidP="007D51E5">
            <w:pPr>
              <w:pStyle w:val="Bodytext"/>
              <w:keepNext/>
              <w:spacing w:after="60"/>
              <w:jc w:val="right"/>
            </w:pPr>
            <w:r>
              <w:rPr>
                <w:rFonts w:cs="Arial"/>
                <w:color w:val="424141"/>
                <w:szCs w:val="22"/>
              </w:rPr>
              <w:t>787</w:t>
            </w:r>
          </w:p>
        </w:tc>
        <w:tc>
          <w:tcPr>
            <w:tcW w:w="1081" w:type="pct"/>
            <w:shd w:val="clear" w:color="auto" w:fill="auto"/>
            <w:vAlign w:val="center"/>
          </w:tcPr>
          <w:p w14:paraId="3EE6DFF7" w14:textId="7A2DE31C" w:rsidR="007D51E5" w:rsidRPr="00F9240A" w:rsidRDefault="007D51E5" w:rsidP="007D51E5">
            <w:pPr>
              <w:pStyle w:val="Bodytext"/>
              <w:keepNext/>
              <w:spacing w:after="60"/>
              <w:jc w:val="right"/>
              <w:rPr>
                <w:color w:val="A6A6A6" w:themeColor="background1" w:themeShade="A6"/>
              </w:rPr>
            </w:pPr>
            <w:r>
              <w:rPr>
                <w:rFonts w:cs="Arial"/>
                <w:color w:val="A6A6A6"/>
                <w:szCs w:val="22"/>
              </w:rPr>
              <w:t>738</w:t>
            </w:r>
          </w:p>
        </w:tc>
      </w:tr>
      <w:tr w:rsidR="007D51E5" w:rsidRPr="006644A8" w14:paraId="6F6D463D" w14:textId="77777777" w:rsidTr="00EC1B15">
        <w:tc>
          <w:tcPr>
            <w:tcW w:w="2629" w:type="pct"/>
            <w:shd w:val="clear" w:color="auto" w:fill="auto"/>
          </w:tcPr>
          <w:p w14:paraId="1680BA8C" w14:textId="77777777" w:rsidR="007D51E5" w:rsidRPr="006644A8" w:rsidRDefault="007D51E5" w:rsidP="007D51E5">
            <w:pPr>
              <w:pStyle w:val="Bodytext"/>
              <w:spacing w:after="60"/>
            </w:pPr>
            <w:r w:rsidRPr="006644A8">
              <w:t>Hedge Funds</w:t>
            </w:r>
          </w:p>
        </w:tc>
        <w:tc>
          <w:tcPr>
            <w:tcW w:w="1290" w:type="pct"/>
            <w:shd w:val="clear" w:color="auto" w:fill="D9D9D9" w:themeFill="background1" w:themeFillShade="D9"/>
            <w:vAlign w:val="center"/>
          </w:tcPr>
          <w:p w14:paraId="6381432E" w14:textId="27D22BBB" w:rsidR="007D51E5" w:rsidRPr="006644A8" w:rsidRDefault="007D51E5" w:rsidP="007D51E5">
            <w:pPr>
              <w:pStyle w:val="Bodytext"/>
              <w:keepNext/>
              <w:spacing w:after="60"/>
              <w:jc w:val="right"/>
            </w:pPr>
            <w:r>
              <w:rPr>
                <w:rFonts w:cs="Arial"/>
                <w:color w:val="424141"/>
                <w:szCs w:val="22"/>
              </w:rPr>
              <w:t>43</w:t>
            </w:r>
          </w:p>
        </w:tc>
        <w:tc>
          <w:tcPr>
            <w:tcW w:w="1081" w:type="pct"/>
            <w:shd w:val="clear" w:color="auto" w:fill="auto"/>
            <w:vAlign w:val="center"/>
          </w:tcPr>
          <w:p w14:paraId="70FB2FFF" w14:textId="085417FB" w:rsidR="007D51E5" w:rsidRPr="00F9240A" w:rsidRDefault="007D51E5" w:rsidP="007D51E5">
            <w:pPr>
              <w:pStyle w:val="Bodytext"/>
              <w:keepNext/>
              <w:spacing w:after="60"/>
              <w:jc w:val="right"/>
              <w:rPr>
                <w:color w:val="A6A6A6" w:themeColor="background1" w:themeShade="A6"/>
              </w:rPr>
            </w:pPr>
            <w:r>
              <w:rPr>
                <w:rFonts w:cs="Arial"/>
                <w:color w:val="A6A6A6"/>
                <w:szCs w:val="22"/>
              </w:rPr>
              <w:t>160</w:t>
            </w:r>
          </w:p>
        </w:tc>
      </w:tr>
      <w:tr w:rsidR="007D51E5" w:rsidRPr="006644A8" w14:paraId="130D709C" w14:textId="77777777" w:rsidTr="00EC1B15">
        <w:tc>
          <w:tcPr>
            <w:tcW w:w="2629" w:type="pct"/>
            <w:shd w:val="clear" w:color="auto" w:fill="auto"/>
          </w:tcPr>
          <w:p w14:paraId="4E2C950F" w14:textId="77777777" w:rsidR="007D51E5" w:rsidRPr="006644A8" w:rsidRDefault="007D51E5" w:rsidP="007D51E5">
            <w:pPr>
              <w:pStyle w:val="Bodytext"/>
              <w:spacing w:after="60"/>
            </w:pPr>
            <w:r w:rsidRPr="006644A8">
              <w:t>Property Funds</w:t>
            </w:r>
          </w:p>
        </w:tc>
        <w:tc>
          <w:tcPr>
            <w:tcW w:w="1290" w:type="pct"/>
            <w:shd w:val="clear" w:color="auto" w:fill="D9D9D9" w:themeFill="background1" w:themeFillShade="D9"/>
            <w:vAlign w:val="center"/>
          </w:tcPr>
          <w:p w14:paraId="1F5F46E1" w14:textId="3F258359" w:rsidR="007D51E5" w:rsidRPr="006644A8" w:rsidRDefault="007D51E5" w:rsidP="007D51E5">
            <w:pPr>
              <w:pStyle w:val="Bodytext"/>
              <w:keepNext/>
              <w:spacing w:after="60"/>
              <w:jc w:val="right"/>
            </w:pPr>
            <w:r>
              <w:rPr>
                <w:rFonts w:cs="Arial"/>
                <w:color w:val="424141"/>
                <w:szCs w:val="22"/>
              </w:rPr>
              <w:t>67</w:t>
            </w:r>
          </w:p>
        </w:tc>
        <w:tc>
          <w:tcPr>
            <w:tcW w:w="1081" w:type="pct"/>
            <w:shd w:val="clear" w:color="auto" w:fill="auto"/>
            <w:vAlign w:val="center"/>
          </w:tcPr>
          <w:p w14:paraId="252EE4D4" w14:textId="58CAE133" w:rsidR="007D51E5" w:rsidRPr="00F9240A" w:rsidRDefault="007D51E5" w:rsidP="007D51E5">
            <w:pPr>
              <w:pStyle w:val="Bodytext"/>
              <w:keepNext/>
              <w:spacing w:after="60"/>
              <w:jc w:val="right"/>
              <w:rPr>
                <w:color w:val="A6A6A6" w:themeColor="background1" w:themeShade="A6"/>
              </w:rPr>
            </w:pPr>
            <w:r>
              <w:rPr>
                <w:rFonts w:cs="Arial"/>
                <w:color w:val="A6A6A6"/>
                <w:szCs w:val="22"/>
              </w:rPr>
              <w:t>250</w:t>
            </w:r>
          </w:p>
        </w:tc>
      </w:tr>
      <w:tr w:rsidR="007D51E5" w:rsidRPr="006644A8" w14:paraId="218BF36C" w14:textId="77777777" w:rsidTr="00EC1B15">
        <w:tc>
          <w:tcPr>
            <w:tcW w:w="2629" w:type="pct"/>
            <w:shd w:val="clear" w:color="auto" w:fill="auto"/>
          </w:tcPr>
          <w:p w14:paraId="05A5D11D" w14:textId="77777777" w:rsidR="007D51E5" w:rsidRPr="006644A8" w:rsidRDefault="007D51E5" w:rsidP="007D51E5">
            <w:pPr>
              <w:pStyle w:val="Bodytext"/>
              <w:spacing w:after="60"/>
            </w:pPr>
            <w:r w:rsidRPr="006644A8">
              <w:t>XYZ Investment Units</w:t>
            </w:r>
          </w:p>
        </w:tc>
        <w:tc>
          <w:tcPr>
            <w:tcW w:w="1290" w:type="pct"/>
            <w:tcBorders>
              <w:bottom w:val="single" w:sz="4" w:space="0" w:color="auto"/>
            </w:tcBorders>
            <w:shd w:val="clear" w:color="auto" w:fill="D9D9D9" w:themeFill="background1" w:themeFillShade="D9"/>
            <w:vAlign w:val="center"/>
          </w:tcPr>
          <w:p w14:paraId="4554011A" w14:textId="5D011BCA" w:rsidR="007D51E5" w:rsidRPr="006644A8" w:rsidRDefault="007D51E5" w:rsidP="007D51E5">
            <w:pPr>
              <w:pStyle w:val="Bodytext"/>
              <w:keepNext/>
              <w:spacing w:after="60"/>
              <w:jc w:val="right"/>
            </w:pPr>
            <w:r>
              <w:rPr>
                <w:rFonts w:cs="Arial"/>
                <w:color w:val="424141"/>
                <w:szCs w:val="22"/>
              </w:rPr>
              <w:t>1,128</w:t>
            </w:r>
          </w:p>
        </w:tc>
        <w:tc>
          <w:tcPr>
            <w:tcW w:w="1081" w:type="pct"/>
            <w:tcBorders>
              <w:bottom w:val="single" w:sz="4" w:space="0" w:color="auto"/>
            </w:tcBorders>
            <w:shd w:val="clear" w:color="auto" w:fill="auto"/>
            <w:vAlign w:val="center"/>
          </w:tcPr>
          <w:p w14:paraId="42BB2BCB" w14:textId="5F402EAF" w:rsidR="007D51E5" w:rsidRPr="00F9240A" w:rsidRDefault="007D51E5" w:rsidP="007D51E5">
            <w:pPr>
              <w:pStyle w:val="Bodytext"/>
              <w:keepNext/>
              <w:spacing w:after="60"/>
              <w:jc w:val="right"/>
              <w:rPr>
                <w:color w:val="A6A6A6" w:themeColor="background1" w:themeShade="A6"/>
              </w:rPr>
            </w:pPr>
            <w:r>
              <w:rPr>
                <w:rFonts w:cs="Arial"/>
                <w:color w:val="A6A6A6"/>
                <w:szCs w:val="22"/>
              </w:rPr>
              <w:t>461</w:t>
            </w:r>
          </w:p>
        </w:tc>
      </w:tr>
      <w:tr w:rsidR="007D51E5" w:rsidRPr="006644A8" w14:paraId="5AA8DA38" w14:textId="77777777" w:rsidTr="00EC1B15">
        <w:tc>
          <w:tcPr>
            <w:tcW w:w="2629" w:type="pct"/>
            <w:shd w:val="clear" w:color="auto" w:fill="auto"/>
          </w:tcPr>
          <w:p w14:paraId="11064690" w14:textId="77777777" w:rsidR="007D51E5" w:rsidRPr="006644A8" w:rsidRDefault="007D51E5" w:rsidP="007D51E5">
            <w:pPr>
              <w:pStyle w:val="Bodytext"/>
              <w:spacing w:after="60"/>
            </w:pPr>
            <w:r w:rsidRPr="006644A8">
              <w:t>Total listed investments</w:t>
            </w:r>
          </w:p>
        </w:tc>
        <w:tc>
          <w:tcPr>
            <w:tcW w:w="1290" w:type="pct"/>
            <w:tcBorders>
              <w:top w:val="single" w:sz="4" w:space="0" w:color="auto"/>
            </w:tcBorders>
            <w:shd w:val="clear" w:color="auto" w:fill="D9D9D9" w:themeFill="background1" w:themeFillShade="D9"/>
            <w:vAlign w:val="center"/>
          </w:tcPr>
          <w:p w14:paraId="38CDAB00" w14:textId="59396C87" w:rsidR="007D51E5" w:rsidRPr="006644A8" w:rsidRDefault="00930522" w:rsidP="007D51E5">
            <w:pPr>
              <w:pStyle w:val="Bodytext"/>
              <w:keepNext/>
              <w:spacing w:after="60"/>
              <w:jc w:val="right"/>
            </w:pPr>
            <w:r>
              <w:rPr>
                <w:rFonts w:cs="Arial"/>
                <w:color w:val="424141"/>
                <w:szCs w:val="22"/>
              </w:rPr>
              <w:t>3</w:t>
            </w:r>
            <w:r w:rsidR="007D51E5">
              <w:rPr>
                <w:rFonts w:cs="Arial"/>
                <w:color w:val="424141"/>
                <w:szCs w:val="22"/>
              </w:rPr>
              <w:t>,435</w:t>
            </w:r>
          </w:p>
        </w:tc>
        <w:tc>
          <w:tcPr>
            <w:tcW w:w="1081" w:type="pct"/>
            <w:tcBorders>
              <w:top w:val="single" w:sz="4" w:space="0" w:color="auto"/>
            </w:tcBorders>
            <w:shd w:val="clear" w:color="auto" w:fill="auto"/>
            <w:vAlign w:val="center"/>
          </w:tcPr>
          <w:p w14:paraId="4525EAAD" w14:textId="6B947EE8" w:rsidR="007D51E5" w:rsidRPr="00F9240A" w:rsidRDefault="00930522" w:rsidP="007D51E5">
            <w:pPr>
              <w:pStyle w:val="Bodytext"/>
              <w:keepNext/>
              <w:spacing w:after="60"/>
              <w:jc w:val="right"/>
              <w:rPr>
                <w:color w:val="A6A6A6" w:themeColor="background1" w:themeShade="A6"/>
              </w:rPr>
            </w:pPr>
            <w:r>
              <w:rPr>
                <w:rFonts w:cs="Arial"/>
                <w:color w:val="A6A6A6"/>
                <w:szCs w:val="22"/>
              </w:rPr>
              <w:t>5</w:t>
            </w:r>
            <w:r w:rsidR="007D51E5">
              <w:rPr>
                <w:rFonts w:cs="Arial"/>
                <w:color w:val="A6A6A6"/>
                <w:szCs w:val="22"/>
              </w:rPr>
              <w:t>,478</w:t>
            </w:r>
          </w:p>
        </w:tc>
      </w:tr>
      <w:tr w:rsidR="007D51E5" w:rsidRPr="006644A8" w14:paraId="09E3D2BC" w14:textId="77777777" w:rsidTr="001B1991">
        <w:tc>
          <w:tcPr>
            <w:tcW w:w="2629" w:type="pct"/>
            <w:shd w:val="clear" w:color="auto" w:fill="auto"/>
          </w:tcPr>
          <w:p w14:paraId="1AC87B5A" w14:textId="77777777" w:rsidR="007D51E5" w:rsidRPr="006644A8" w:rsidRDefault="007D51E5" w:rsidP="007D51E5">
            <w:pPr>
              <w:pStyle w:val="Bodytext"/>
              <w:spacing w:after="60"/>
            </w:pPr>
            <w:r w:rsidRPr="006644A8">
              <w:t>Cash on interest bearing deposit</w:t>
            </w:r>
          </w:p>
        </w:tc>
        <w:tc>
          <w:tcPr>
            <w:tcW w:w="1290" w:type="pct"/>
            <w:shd w:val="clear" w:color="auto" w:fill="D9D9D9" w:themeFill="background1" w:themeFillShade="D9"/>
            <w:vAlign w:val="center"/>
          </w:tcPr>
          <w:p w14:paraId="1830D97B" w14:textId="5D027DAC" w:rsidR="007D51E5" w:rsidRPr="006644A8" w:rsidRDefault="007D51E5" w:rsidP="007D51E5">
            <w:pPr>
              <w:pStyle w:val="Bodytext"/>
              <w:keepNext/>
              <w:spacing w:after="60"/>
              <w:jc w:val="right"/>
            </w:pPr>
            <w:r>
              <w:rPr>
                <w:rFonts w:cs="Arial"/>
                <w:color w:val="424141"/>
                <w:szCs w:val="22"/>
              </w:rPr>
              <w:t>5,354</w:t>
            </w:r>
          </w:p>
        </w:tc>
        <w:tc>
          <w:tcPr>
            <w:tcW w:w="1081" w:type="pct"/>
            <w:shd w:val="clear" w:color="auto" w:fill="auto"/>
            <w:vAlign w:val="center"/>
          </w:tcPr>
          <w:p w14:paraId="2513F67D" w14:textId="57D5FC04" w:rsidR="007D51E5" w:rsidRPr="00F9240A" w:rsidRDefault="007D51E5" w:rsidP="007D51E5">
            <w:pPr>
              <w:pStyle w:val="Bodytext"/>
              <w:keepNext/>
              <w:spacing w:after="60"/>
              <w:jc w:val="right"/>
              <w:rPr>
                <w:color w:val="A6A6A6" w:themeColor="background1" w:themeShade="A6"/>
              </w:rPr>
            </w:pPr>
            <w:r>
              <w:rPr>
                <w:rFonts w:cs="Arial"/>
                <w:color w:val="A6A6A6"/>
                <w:szCs w:val="22"/>
              </w:rPr>
              <w:t>4,463</w:t>
            </w:r>
          </w:p>
        </w:tc>
      </w:tr>
      <w:tr w:rsidR="00CF225A" w:rsidRPr="008170A4" w14:paraId="359F87CE" w14:textId="77777777" w:rsidTr="002172BE">
        <w:tc>
          <w:tcPr>
            <w:tcW w:w="2629" w:type="pct"/>
            <w:shd w:val="clear" w:color="auto" w:fill="auto"/>
          </w:tcPr>
          <w:p w14:paraId="0418280E" w14:textId="77777777" w:rsidR="00CF225A" w:rsidRPr="00D408DC" w:rsidRDefault="00CF225A" w:rsidP="00CF225A">
            <w:pPr>
              <w:pStyle w:val="Bodytext"/>
              <w:spacing w:after="60"/>
              <w:rPr>
                <w:b/>
                <w:bCs/>
              </w:rPr>
            </w:pPr>
            <w:r w:rsidRPr="00D408DC">
              <w:rPr>
                <w:b/>
                <w:bCs/>
              </w:rPr>
              <w:t>Total</w:t>
            </w:r>
          </w:p>
        </w:tc>
        <w:tc>
          <w:tcPr>
            <w:tcW w:w="1290" w:type="pct"/>
            <w:tcBorders>
              <w:top w:val="single" w:sz="4" w:space="0" w:color="auto"/>
              <w:bottom w:val="double" w:sz="4" w:space="0" w:color="auto"/>
            </w:tcBorders>
            <w:shd w:val="clear" w:color="auto" w:fill="D9D9D9" w:themeFill="background1" w:themeFillShade="D9"/>
            <w:vAlign w:val="center"/>
          </w:tcPr>
          <w:p w14:paraId="2DC54594" w14:textId="62EB05AD" w:rsidR="00CF225A" w:rsidRPr="00D408DC" w:rsidRDefault="00CF225A" w:rsidP="00CF225A">
            <w:pPr>
              <w:pStyle w:val="Bodytext"/>
              <w:keepNext/>
              <w:spacing w:after="60"/>
              <w:jc w:val="right"/>
              <w:rPr>
                <w:b/>
                <w:bCs/>
              </w:rPr>
            </w:pPr>
            <w:r>
              <w:rPr>
                <w:rFonts w:cs="Arial"/>
                <w:b/>
                <w:bCs/>
                <w:color w:val="424141"/>
                <w:szCs w:val="22"/>
              </w:rPr>
              <w:t>8,789</w:t>
            </w:r>
          </w:p>
        </w:tc>
        <w:tc>
          <w:tcPr>
            <w:tcW w:w="1081" w:type="pct"/>
            <w:tcBorders>
              <w:top w:val="single" w:sz="4" w:space="0" w:color="auto"/>
              <w:bottom w:val="double" w:sz="4" w:space="0" w:color="auto"/>
            </w:tcBorders>
            <w:shd w:val="clear" w:color="auto" w:fill="auto"/>
            <w:vAlign w:val="center"/>
          </w:tcPr>
          <w:p w14:paraId="040B03DA" w14:textId="243D5111" w:rsidR="00CF225A" w:rsidRPr="00D408DC" w:rsidRDefault="00CF225A" w:rsidP="00CF225A">
            <w:pPr>
              <w:pStyle w:val="Bodytext"/>
              <w:keepNext/>
              <w:spacing w:after="60"/>
              <w:jc w:val="right"/>
              <w:rPr>
                <w:b/>
                <w:bCs/>
                <w:color w:val="A6A6A6" w:themeColor="background1" w:themeShade="A6"/>
              </w:rPr>
            </w:pPr>
            <w:r>
              <w:rPr>
                <w:rFonts w:cs="Arial"/>
                <w:b/>
                <w:bCs/>
                <w:color w:val="A6A6A6"/>
                <w:szCs w:val="22"/>
              </w:rPr>
              <w:t>9,941</w:t>
            </w:r>
          </w:p>
        </w:tc>
      </w:tr>
    </w:tbl>
    <w:p w14:paraId="4429B9DC" w14:textId="77777777" w:rsidR="00D9313C" w:rsidRPr="006644A8" w:rsidRDefault="00D9313C" w:rsidP="00D9313C">
      <w:pPr>
        <w:tabs>
          <w:tab w:val="left" w:pos="9072"/>
        </w:tabs>
        <w:ind w:right="249"/>
        <w:rPr>
          <w:rFonts w:asciiTheme="minorHAnsi" w:hAnsiTheme="minorHAnsi" w:cstheme="minorHAnsi"/>
          <w:b/>
          <w:szCs w:val="22"/>
          <w:highlight w:val="yellow"/>
        </w:rPr>
      </w:pPr>
    </w:p>
    <w:p w14:paraId="0FCC0677" w14:textId="77777777" w:rsidR="00D9313C" w:rsidRDefault="00D9313C" w:rsidP="00D9313C">
      <w:pPr>
        <w:pStyle w:val="Bodytext"/>
        <w:sectPr w:rsidR="00D9313C" w:rsidSect="00237BC5">
          <w:pgSz w:w="16840" w:h="11900" w:orient="landscape"/>
          <w:pgMar w:top="1021" w:right="1701" w:bottom="1021" w:left="851" w:header="851" w:footer="851" w:gutter="0"/>
          <w:cols w:space="720"/>
          <w:titlePg/>
          <w:docGrid w:linePitch="360"/>
        </w:sectPr>
      </w:pPr>
    </w:p>
    <w:p w14:paraId="2120B908" w14:textId="77777777" w:rsidR="00D9313C" w:rsidRPr="006644A8" w:rsidRDefault="00D9313C" w:rsidP="00D9313C">
      <w:pPr>
        <w:pStyle w:val="Bodytext"/>
      </w:pPr>
      <w:r w:rsidRPr="006644A8">
        <w:t>All investments are carried at their fair value.</w:t>
      </w:r>
      <w:r>
        <w:t xml:space="preserve"> </w:t>
      </w:r>
    </w:p>
    <w:p w14:paraId="7F672B6A" w14:textId="661DCA03" w:rsidR="00D9313C" w:rsidRPr="006644A8" w:rsidRDefault="00D9313C" w:rsidP="00D9313C">
      <w:pPr>
        <w:pStyle w:val="Bodytext"/>
      </w:pPr>
      <w:r w:rsidRPr="006644A8">
        <w:t xml:space="preserve">The </w:t>
      </w:r>
      <w:r>
        <w:t>charitable funds committee</w:t>
      </w:r>
      <w:r w:rsidRPr="006644A8">
        <w:t xml:space="preserve"> set</w:t>
      </w:r>
      <w:r>
        <w:t>s</w:t>
      </w:r>
      <w:r w:rsidRPr="006644A8">
        <w:t xml:space="preserve"> 5% of market value as at 31 March as the threshold for reporting material investments. As at 31 March </w:t>
      </w:r>
      <w:r>
        <w:t>202</w:t>
      </w:r>
      <w:r w:rsidR="00012866">
        <w:t>4</w:t>
      </w:r>
      <w:r w:rsidRPr="006644A8">
        <w:t xml:space="preserve"> the following investment was considered material: XYZ Investment Units: holding amounts to 6.9% (</w:t>
      </w:r>
      <w:r>
        <w:t>202</w:t>
      </w:r>
      <w:r w:rsidR="002B4A1F">
        <w:t>2</w:t>
      </w:r>
      <w:r w:rsidR="00B3314E">
        <w:t>/2</w:t>
      </w:r>
      <w:r w:rsidR="002B4A1F">
        <w:t>3</w:t>
      </w:r>
      <w:r w:rsidRPr="006644A8">
        <w:t xml:space="preserve"> 6.2%) of the total portfolio.</w:t>
      </w:r>
    </w:p>
    <w:p w14:paraId="33F97499" w14:textId="77777777" w:rsidR="00D9313C" w:rsidRPr="006644A8" w:rsidRDefault="00D9313C" w:rsidP="00D9313C">
      <w:pPr>
        <w:pStyle w:val="Bodytext"/>
        <w:rPr>
          <w:rFonts w:eastAsia="TimesNewRomanPSMT"/>
        </w:rPr>
      </w:pPr>
      <w:r w:rsidRPr="006644A8">
        <w:rPr>
          <w:rFonts w:eastAsia="TimesNewRomanPSMT"/>
        </w:rPr>
        <w:t xml:space="preserve">The significance of financial instruments to the ongoing financial sustainability of </w:t>
      </w:r>
      <w:r>
        <w:rPr>
          <w:rFonts w:eastAsia="TimesNewRomanPSMT"/>
        </w:rPr>
        <w:t xml:space="preserve">OtM </w:t>
      </w:r>
      <w:r w:rsidRPr="006644A8">
        <w:rPr>
          <w:rFonts w:eastAsia="TimesNewRomanPSMT"/>
        </w:rPr>
        <w:t>is considered in the risk analysis section of the annual report.</w:t>
      </w:r>
    </w:p>
    <w:p w14:paraId="03FAEB6D" w14:textId="77777777" w:rsidR="00D9313C" w:rsidRDefault="00D9313C" w:rsidP="00D9313C">
      <w:pPr>
        <w:pStyle w:val="Bodytext"/>
        <w:rPr>
          <w:rFonts w:eastAsia="TimesNewRomanPSMT"/>
        </w:rPr>
      </w:pPr>
      <w:r w:rsidRPr="006644A8">
        <w:rPr>
          <w:rFonts w:eastAsia="TimesNewRomanPSMT"/>
        </w:rPr>
        <w:t xml:space="preserve">The main risk from financial instruments lies in the combination of uncertain investment markets and volatility in yield. Due to ‘quantitative easing’ and </w:t>
      </w:r>
      <w:r>
        <w:rPr>
          <w:rFonts w:eastAsia="TimesNewRomanPSMT"/>
        </w:rPr>
        <w:t xml:space="preserve">the </w:t>
      </w:r>
      <w:r w:rsidRPr="006644A8">
        <w:rPr>
          <w:rFonts w:eastAsia="TimesNewRomanPSMT"/>
        </w:rPr>
        <w:t>market favouring lower risk investments, the yield on bonds has been low giving rise to a significant downside risk of a fall in capital values when interest rates return to normal levels.</w:t>
      </w:r>
    </w:p>
    <w:p w14:paraId="773A20AB" w14:textId="26DADB98" w:rsidR="00D9313C" w:rsidRDefault="00D9313C" w:rsidP="00D9313C">
      <w:pPr>
        <w:pStyle w:val="Bodytext"/>
        <w:rPr>
          <w:rFonts w:eastAsia="TimesNewRomanPSMT"/>
        </w:rPr>
      </w:pPr>
      <w:r w:rsidRPr="00992F75">
        <w:rPr>
          <w:rFonts w:eastAsia="TimesNewRomanPSMT"/>
        </w:rPr>
        <w:t>The default rate on fixed interest securities is expected to improve but it is not known how long this will take. The</w:t>
      </w:r>
      <w:r w:rsidRPr="006644A8">
        <w:rPr>
          <w:rFonts w:eastAsia="TimesNewRomanPSMT"/>
        </w:rPr>
        <w:t xml:space="preserve"> high current demand for high quality corporate bond and government stock continues to depress the yield.</w:t>
      </w:r>
    </w:p>
    <w:p w14:paraId="118FEC7E" w14:textId="1DB3B86F" w:rsidR="009C46BD" w:rsidRDefault="006E72A0" w:rsidP="00D9313C">
      <w:pPr>
        <w:pStyle w:val="Bodytext"/>
        <w:rPr>
          <w:rFonts w:eastAsia="TimesNewRomanPSMT"/>
        </w:rPr>
      </w:pPr>
      <w:r>
        <w:rPr>
          <w:rFonts w:eastAsia="TimesNewRomanPSMT"/>
        </w:rPr>
        <w:t>The re</w:t>
      </w:r>
      <w:r w:rsidR="006D7FB2">
        <w:rPr>
          <w:rFonts w:eastAsia="TimesNewRomanPSMT"/>
        </w:rPr>
        <w:t>cent</w:t>
      </w:r>
      <w:r>
        <w:rPr>
          <w:rFonts w:eastAsia="TimesNewRomanPSMT"/>
        </w:rPr>
        <w:t xml:space="preserve"> high rate of inflati</w:t>
      </w:r>
      <w:r w:rsidR="006D7FB2">
        <w:rPr>
          <w:rFonts w:eastAsia="TimesNewRomanPSMT"/>
        </w:rPr>
        <w:t xml:space="preserve">on </w:t>
      </w:r>
      <w:r w:rsidR="00C51837">
        <w:rPr>
          <w:rFonts w:eastAsia="TimesNewRomanPSMT"/>
        </w:rPr>
        <w:t xml:space="preserve">reduces the relative value of our </w:t>
      </w:r>
      <w:r w:rsidR="0036036D">
        <w:rPr>
          <w:rFonts w:eastAsia="TimesNewRomanPSMT"/>
        </w:rPr>
        <w:t>asset values</w:t>
      </w:r>
      <w:r w:rsidR="00C51837">
        <w:rPr>
          <w:rFonts w:eastAsia="TimesNewRomanPSMT"/>
        </w:rPr>
        <w:t xml:space="preserve">; £100 pounds </w:t>
      </w:r>
      <w:r w:rsidR="00D26638">
        <w:rPr>
          <w:rFonts w:eastAsia="TimesNewRomanPSMT"/>
        </w:rPr>
        <w:t>now will buy less than £100 the previous year.</w:t>
      </w:r>
    </w:p>
    <w:p w14:paraId="0C0434B7" w14:textId="40D24FFB" w:rsidR="00D9313C" w:rsidRPr="006644A8" w:rsidRDefault="00D9313C" w:rsidP="00D9313C">
      <w:pPr>
        <w:pStyle w:val="Bodytext"/>
        <w:rPr>
          <w:rFonts w:eastAsia="TimesNewRomanPSMT"/>
        </w:rPr>
      </w:pPr>
      <w:r w:rsidRPr="006644A8">
        <w:rPr>
          <w:rFonts w:eastAsia="TimesNewRomanPSMT"/>
        </w:rPr>
        <w:t xml:space="preserve">Liquidity risk is anticipated to be low as all assets are traded and the commitment to intervention by central banks and market regulators has continued to provide for orderly trading in the markets and so the ability to buy and sell quoted equities and stock is anticipated to continue. </w:t>
      </w:r>
      <w:r>
        <w:rPr>
          <w:rFonts w:eastAsia="TimesNewRomanPSMT"/>
        </w:rPr>
        <w:t>OtM’</w:t>
      </w:r>
      <w:r w:rsidR="00EE785C">
        <w:rPr>
          <w:rFonts w:eastAsia="TimesNewRomanPSMT"/>
        </w:rPr>
        <w:t>s</w:t>
      </w:r>
      <w:r>
        <w:rPr>
          <w:rFonts w:eastAsia="TimesNewRomanPSMT"/>
        </w:rPr>
        <w:t xml:space="preserve"> </w:t>
      </w:r>
      <w:r w:rsidRPr="006644A8">
        <w:rPr>
          <w:rFonts w:eastAsia="TimesNewRomanPSMT"/>
        </w:rPr>
        <w:t xml:space="preserve">investments are mainly traded in markets with good liquidity and high trading volumes. </w:t>
      </w:r>
      <w:r>
        <w:rPr>
          <w:rFonts w:eastAsia="TimesNewRomanPSMT"/>
        </w:rPr>
        <w:t xml:space="preserve">OtM </w:t>
      </w:r>
      <w:r w:rsidRPr="006644A8">
        <w:rPr>
          <w:rFonts w:eastAsia="TimesNewRomanPSMT"/>
        </w:rPr>
        <w:t>ha</w:t>
      </w:r>
      <w:r>
        <w:rPr>
          <w:rFonts w:eastAsia="TimesNewRomanPSMT"/>
        </w:rPr>
        <w:t>ve</w:t>
      </w:r>
      <w:r w:rsidRPr="006644A8">
        <w:rPr>
          <w:rFonts w:eastAsia="TimesNewRomanPSMT"/>
        </w:rPr>
        <w:t xml:space="preserve"> no material investment holdings in markets subject to exchange controls or trading restrictions.</w:t>
      </w:r>
    </w:p>
    <w:p w14:paraId="1866F5DF" w14:textId="77777777" w:rsidR="00D9313C" w:rsidRPr="006644A8" w:rsidRDefault="00D9313C" w:rsidP="00D9313C">
      <w:pPr>
        <w:pStyle w:val="Bodytext"/>
      </w:pPr>
      <w:r>
        <w:rPr>
          <w:rFonts w:eastAsia="TimesNewRomanPSMT"/>
        </w:rPr>
        <w:t xml:space="preserve">OtM </w:t>
      </w:r>
      <w:r w:rsidRPr="006644A8">
        <w:rPr>
          <w:rFonts w:eastAsia="TimesNewRomanPSMT"/>
        </w:rPr>
        <w:t xml:space="preserve">manages these investment risks by retaining expert advisors and operating an investment policy that provides for a high degree of </w:t>
      </w:r>
      <w:r w:rsidRPr="006644A8">
        <w:rPr>
          <w:rFonts w:eastAsia="TimesNewRomanPSMT"/>
        </w:rPr>
        <w:lastRenderedPageBreak/>
        <w:t>diversification of holdings within investment asset classes.</w:t>
      </w:r>
      <w:r>
        <w:rPr>
          <w:rFonts w:eastAsia="TimesNewRomanPSMT"/>
        </w:rPr>
        <w:t xml:space="preserve"> </w:t>
      </w:r>
      <w:r w:rsidRPr="006644A8">
        <w:t>All investments were made in companies listed on a UK stock exchange or incorporated in the UK and therefore all investments are treated as investment assets in the UK.</w:t>
      </w:r>
      <w:r>
        <w:t xml:space="preserve"> </w:t>
      </w:r>
      <w:r w:rsidRPr="006644A8">
        <w:t xml:space="preserve">Restricted appeals to fund specific equipment or assets are held on notice deposit or overnight on the money markets in accordance with the </w:t>
      </w:r>
      <w:r>
        <w:t xml:space="preserve">charitable funds committee’s </w:t>
      </w:r>
      <w:r w:rsidRPr="006644A8">
        <w:t>investment policy.</w:t>
      </w:r>
    </w:p>
    <w:p w14:paraId="40F337FD" w14:textId="77777777" w:rsidR="00D9313C" w:rsidRDefault="00D9313C" w:rsidP="00D9313C">
      <w:pPr>
        <w:pStyle w:val="Bodytext"/>
        <w:rPr>
          <w:rFonts w:eastAsia="TimesNewRomanPSMT"/>
        </w:rPr>
      </w:pPr>
      <w:r>
        <w:rPr>
          <w:rFonts w:eastAsia="TimesNewRomanPSMT"/>
        </w:rPr>
        <w:t xml:space="preserve">OtM </w:t>
      </w:r>
      <w:r w:rsidRPr="006644A8">
        <w:rPr>
          <w:rFonts w:eastAsia="TimesNewRomanPSMT"/>
        </w:rPr>
        <w:t>does not make use of derivatives and similar complex financial instruments as it takes the view that investments are held for their longer-term yield total return and historic</w:t>
      </w:r>
      <w:r>
        <w:rPr>
          <w:rFonts w:eastAsia="TimesNewRomanPSMT"/>
        </w:rPr>
        <w:t>al</w:t>
      </w:r>
      <w:r w:rsidRPr="006644A8">
        <w:rPr>
          <w:rFonts w:eastAsia="TimesNewRomanPSMT"/>
        </w:rPr>
        <w:t xml:space="preserve"> studies of quoted financial instruments have shown that volatility in any particular 5-year period will normally be corrected.</w:t>
      </w:r>
    </w:p>
    <w:p w14:paraId="4DB7C5CB" w14:textId="77777777" w:rsidR="00D9313C" w:rsidRDefault="00D9313C" w:rsidP="00D9313C">
      <w:pPr>
        <w:pStyle w:val="Heading3"/>
        <w:sectPr w:rsidR="00D9313C" w:rsidSect="00237BC5">
          <w:type w:val="continuous"/>
          <w:pgSz w:w="16840" w:h="11900" w:orient="landscape"/>
          <w:pgMar w:top="1021" w:right="1701" w:bottom="1021" w:left="851" w:header="851" w:footer="851" w:gutter="0"/>
          <w:cols w:num="2" w:space="720"/>
          <w:titlePg/>
          <w:docGrid w:linePitch="360"/>
        </w:sectPr>
      </w:pPr>
    </w:p>
    <w:p w14:paraId="1E2BD145" w14:textId="77777777" w:rsidR="00D9313C" w:rsidRPr="006644A8" w:rsidRDefault="00D9313C" w:rsidP="00685E4A">
      <w:pPr>
        <w:pStyle w:val="TableTitle"/>
        <w:keepNext/>
      </w:pPr>
      <w:r>
        <w:t xml:space="preserve">17 </w:t>
      </w:r>
      <w:r w:rsidRPr="006644A8">
        <w:t>Analysis of current debtors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8"/>
      </w:tblGrid>
      <w:tr w:rsidR="00D9313C" w:rsidRPr="006644A8" w14:paraId="560F6869" w14:textId="77777777" w:rsidTr="00EC1B15">
        <w:tc>
          <w:tcPr>
            <w:tcW w:w="5000" w:type="pct"/>
            <w:shd w:val="clear" w:color="auto" w:fill="auto"/>
          </w:tcPr>
          <w:p w14:paraId="1207F359" w14:textId="77777777" w:rsidR="00D9313C" w:rsidRPr="006644A8" w:rsidRDefault="00D9313C" w:rsidP="00685E4A">
            <w:pPr>
              <w:pStyle w:val="Bodytext"/>
              <w:keepNext/>
            </w:pPr>
            <w:r w:rsidRPr="006644A8">
              <w:t xml:space="preserve">Paragraph 10.68 of the </w:t>
            </w:r>
            <w:r>
              <w:t>SORP FRS 102</w:t>
            </w:r>
            <w:r w:rsidRPr="006644A8">
              <w:t xml:space="preserve"> requires that an analysis of debtors is included in the note to the accounts.</w:t>
            </w:r>
          </w:p>
        </w:tc>
      </w:tr>
    </w:tbl>
    <w:p w14:paraId="28255E23" w14:textId="77777777" w:rsidR="00D9313C" w:rsidRPr="006644A8" w:rsidRDefault="00D9313C" w:rsidP="00685E4A">
      <w:pPr>
        <w:keepNext/>
        <w:tabs>
          <w:tab w:val="left" w:pos="9072"/>
        </w:tabs>
        <w:ind w:right="249"/>
        <w:rPr>
          <w:rFonts w:asciiTheme="minorHAnsi" w:hAnsiTheme="minorHAnsi" w:cstheme="minorHAnsi"/>
          <w:szCs w:val="22"/>
        </w:rPr>
      </w:pPr>
    </w:p>
    <w:tbl>
      <w:tblPr>
        <w:tblW w:w="5000" w:type="pct"/>
        <w:tblLook w:val="01E0" w:firstRow="1" w:lastRow="1" w:firstColumn="1" w:lastColumn="1" w:noHBand="0" w:noVBand="0"/>
      </w:tblPr>
      <w:tblGrid>
        <w:gridCol w:w="8081"/>
        <w:gridCol w:w="3401"/>
        <w:gridCol w:w="2806"/>
      </w:tblGrid>
      <w:tr w:rsidR="003E31E2" w:rsidRPr="008F5D90" w14:paraId="0DEB762B" w14:textId="77777777" w:rsidTr="005B6A0F">
        <w:tc>
          <w:tcPr>
            <w:tcW w:w="2828" w:type="pct"/>
            <w:shd w:val="clear" w:color="auto" w:fill="auto"/>
          </w:tcPr>
          <w:p w14:paraId="3C991DF6" w14:textId="77777777" w:rsidR="003E31E2" w:rsidRPr="008F5D90" w:rsidRDefault="003E31E2" w:rsidP="003E31E2">
            <w:pPr>
              <w:pStyle w:val="Bodytext"/>
              <w:keepNext/>
              <w:spacing w:after="60"/>
              <w:rPr>
                <w:b/>
              </w:rPr>
            </w:pPr>
            <w:r w:rsidRPr="008F5D90">
              <w:rPr>
                <w:b/>
              </w:rPr>
              <w:t>Debtors under 1 year</w:t>
            </w:r>
          </w:p>
        </w:tc>
        <w:tc>
          <w:tcPr>
            <w:tcW w:w="1190" w:type="pct"/>
            <w:shd w:val="clear" w:color="auto" w:fill="D9D9D9" w:themeFill="background1" w:themeFillShade="D9"/>
          </w:tcPr>
          <w:p w14:paraId="2626B6CC" w14:textId="363F68AE" w:rsidR="001A425B" w:rsidRDefault="003E31E2" w:rsidP="001A425B">
            <w:pPr>
              <w:pStyle w:val="Bodytext"/>
              <w:keepNext/>
              <w:spacing w:after="60"/>
              <w:jc w:val="right"/>
              <w:rPr>
                <w:b/>
              </w:rPr>
            </w:pPr>
            <w:r>
              <w:rPr>
                <w:b/>
              </w:rPr>
              <w:t>202</w:t>
            </w:r>
            <w:r w:rsidR="001A425B">
              <w:rPr>
                <w:b/>
              </w:rPr>
              <w:t>3/</w:t>
            </w:r>
            <w:r>
              <w:rPr>
                <w:b/>
              </w:rPr>
              <w:t>2</w:t>
            </w:r>
            <w:r w:rsidR="001A425B">
              <w:rPr>
                <w:b/>
              </w:rPr>
              <w:t>4</w:t>
            </w:r>
          </w:p>
          <w:p w14:paraId="1DA191EE" w14:textId="11F2AEC0" w:rsidR="003E31E2" w:rsidRPr="008F5D90" w:rsidRDefault="003E31E2" w:rsidP="001A425B">
            <w:pPr>
              <w:pStyle w:val="Bodytext"/>
              <w:keepNext/>
              <w:spacing w:after="60"/>
              <w:jc w:val="right"/>
              <w:rPr>
                <w:b/>
              </w:rPr>
            </w:pPr>
            <w:r>
              <w:rPr>
                <w:b/>
              </w:rPr>
              <w:t>£000</w:t>
            </w:r>
          </w:p>
        </w:tc>
        <w:tc>
          <w:tcPr>
            <w:tcW w:w="982" w:type="pct"/>
            <w:shd w:val="clear" w:color="auto" w:fill="auto"/>
          </w:tcPr>
          <w:p w14:paraId="2C2A2F63" w14:textId="7B9F2B3F" w:rsidR="003E31E2" w:rsidRPr="002B08DA" w:rsidRDefault="003E31E2" w:rsidP="003E31E2">
            <w:pPr>
              <w:pStyle w:val="Bodytext"/>
              <w:keepNext/>
              <w:spacing w:after="60"/>
              <w:jc w:val="right"/>
              <w:rPr>
                <w:b/>
                <w:color w:val="A6A6A6" w:themeColor="background1" w:themeShade="A6"/>
              </w:rPr>
            </w:pPr>
            <w:r>
              <w:rPr>
                <w:b/>
                <w:color w:val="A6A6A6" w:themeColor="background1" w:themeShade="A6"/>
              </w:rPr>
              <w:t>202</w:t>
            </w:r>
            <w:r w:rsidR="001A425B">
              <w:rPr>
                <w:b/>
                <w:color w:val="A6A6A6" w:themeColor="background1" w:themeShade="A6"/>
              </w:rPr>
              <w:t>2</w:t>
            </w:r>
            <w:r>
              <w:rPr>
                <w:b/>
                <w:color w:val="A6A6A6" w:themeColor="background1" w:themeShade="A6"/>
              </w:rPr>
              <w:t>/2</w:t>
            </w:r>
            <w:r w:rsidR="001A425B">
              <w:rPr>
                <w:b/>
                <w:color w:val="A6A6A6" w:themeColor="background1" w:themeShade="A6"/>
              </w:rPr>
              <w:t>3</w:t>
            </w:r>
          </w:p>
          <w:p w14:paraId="670D8D1D" w14:textId="307855F5" w:rsidR="003E31E2" w:rsidRPr="00F9240A" w:rsidRDefault="003E31E2" w:rsidP="003E31E2">
            <w:pPr>
              <w:pStyle w:val="Bodytext"/>
              <w:keepNext/>
              <w:spacing w:after="60"/>
              <w:jc w:val="right"/>
              <w:rPr>
                <w:b/>
                <w:color w:val="A6A6A6" w:themeColor="background1" w:themeShade="A6"/>
              </w:rPr>
            </w:pPr>
            <w:r w:rsidRPr="002B08DA">
              <w:rPr>
                <w:b/>
                <w:color w:val="A6A6A6" w:themeColor="background1" w:themeShade="A6"/>
              </w:rPr>
              <w:t>£000</w:t>
            </w:r>
          </w:p>
        </w:tc>
      </w:tr>
      <w:tr w:rsidR="00D9313C" w:rsidRPr="006644A8" w14:paraId="0C33BD36" w14:textId="77777777" w:rsidTr="002A57E4">
        <w:tc>
          <w:tcPr>
            <w:tcW w:w="2828" w:type="pct"/>
            <w:shd w:val="clear" w:color="auto" w:fill="auto"/>
          </w:tcPr>
          <w:p w14:paraId="1D2100ED" w14:textId="77777777" w:rsidR="00D9313C" w:rsidRPr="006644A8" w:rsidRDefault="00D9313C" w:rsidP="00685E4A">
            <w:pPr>
              <w:pStyle w:val="Bodytext"/>
              <w:keepNext/>
              <w:spacing w:after="60"/>
            </w:pPr>
            <w:r w:rsidRPr="006644A8">
              <w:t>Accrued income</w:t>
            </w:r>
          </w:p>
        </w:tc>
        <w:tc>
          <w:tcPr>
            <w:tcW w:w="1190" w:type="pct"/>
            <w:tcBorders>
              <w:bottom w:val="single" w:sz="4" w:space="0" w:color="auto"/>
            </w:tcBorders>
            <w:shd w:val="clear" w:color="auto" w:fill="D9D9D9" w:themeFill="background1" w:themeFillShade="D9"/>
          </w:tcPr>
          <w:p w14:paraId="162D4B82" w14:textId="3CB6A325" w:rsidR="00D9313C" w:rsidRPr="006644A8" w:rsidRDefault="00534B56" w:rsidP="00685E4A">
            <w:pPr>
              <w:pStyle w:val="Bodytext"/>
              <w:keepNext/>
              <w:spacing w:after="60"/>
              <w:jc w:val="right"/>
            </w:pPr>
            <w:r>
              <w:t>6</w:t>
            </w:r>
            <w:r w:rsidR="00D9313C" w:rsidRPr="006644A8">
              <w:t>7</w:t>
            </w:r>
          </w:p>
        </w:tc>
        <w:tc>
          <w:tcPr>
            <w:tcW w:w="982" w:type="pct"/>
            <w:tcBorders>
              <w:bottom w:val="single" w:sz="4" w:space="0" w:color="auto"/>
            </w:tcBorders>
            <w:shd w:val="clear" w:color="auto" w:fill="auto"/>
          </w:tcPr>
          <w:p w14:paraId="62B671AC" w14:textId="1386730B" w:rsidR="00D9313C" w:rsidRPr="00F9240A" w:rsidRDefault="00D82F43" w:rsidP="00685E4A">
            <w:pPr>
              <w:pStyle w:val="Bodytext"/>
              <w:keepNext/>
              <w:spacing w:after="60"/>
              <w:jc w:val="right"/>
              <w:rPr>
                <w:color w:val="A6A6A6" w:themeColor="background1" w:themeShade="A6"/>
              </w:rPr>
            </w:pPr>
            <w:r>
              <w:rPr>
                <w:color w:val="A6A6A6" w:themeColor="background1" w:themeShade="A6"/>
              </w:rPr>
              <w:t>53</w:t>
            </w:r>
          </w:p>
        </w:tc>
      </w:tr>
      <w:tr w:rsidR="00D9313C" w:rsidRPr="008170A4" w14:paraId="7A538EAF" w14:textId="77777777" w:rsidTr="002A57E4">
        <w:tc>
          <w:tcPr>
            <w:tcW w:w="2828" w:type="pct"/>
            <w:shd w:val="clear" w:color="auto" w:fill="auto"/>
          </w:tcPr>
          <w:p w14:paraId="37EE7F68" w14:textId="77777777" w:rsidR="00D9313C" w:rsidRPr="00D408DC" w:rsidRDefault="00D9313C" w:rsidP="00685E4A">
            <w:pPr>
              <w:pStyle w:val="Bodytext"/>
              <w:keepNext/>
              <w:spacing w:after="60"/>
              <w:rPr>
                <w:b/>
                <w:bCs/>
              </w:rPr>
            </w:pPr>
            <w:r w:rsidRPr="00D408DC">
              <w:rPr>
                <w:b/>
                <w:bCs/>
              </w:rPr>
              <w:t>Total</w:t>
            </w:r>
          </w:p>
        </w:tc>
        <w:tc>
          <w:tcPr>
            <w:tcW w:w="1190" w:type="pct"/>
            <w:tcBorders>
              <w:top w:val="single" w:sz="4" w:space="0" w:color="auto"/>
              <w:bottom w:val="double" w:sz="4" w:space="0" w:color="auto"/>
            </w:tcBorders>
            <w:shd w:val="clear" w:color="auto" w:fill="D9D9D9" w:themeFill="background1" w:themeFillShade="D9"/>
          </w:tcPr>
          <w:p w14:paraId="539A9ADD" w14:textId="4C757153" w:rsidR="00D9313C" w:rsidRPr="00D408DC" w:rsidRDefault="00534B56" w:rsidP="00685E4A">
            <w:pPr>
              <w:pStyle w:val="Bodytext"/>
              <w:keepNext/>
              <w:spacing w:after="60"/>
              <w:jc w:val="right"/>
              <w:rPr>
                <w:b/>
                <w:bCs/>
              </w:rPr>
            </w:pPr>
            <w:r>
              <w:rPr>
                <w:b/>
                <w:bCs/>
              </w:rPr>
              <w:t>6</w:t>
            </w:r>
            <w:r w:rsidR="00D9313C" w:rsidRPr="00D408DC">
              <w:rPr>
                <w:b/>
                <w:bCs/>
              </w:rPr>
              <w:t>7</w:t>
            </w:r>
          </w:p>
        </w:tc>
        <w:tc>
          <w:tcPr>
            <w:tcW w:w="982" w:type="pct"/>
            <w:tcBorders>
              <w:top w:val="single" w:sz="4" w:space="0" w:color="auto"/>
              <w:bottom w:val="double" w:sz="4" w:space="0" w:color="auto"/>
            </w:tcBorders>
            <w:shd w:val="clear" w:color="auto" w:fill="auto"/>
          </w:tcPr>
          <w:p w14:paraId="6D33E135" w14:textId="27F83B13" w:rsidR="00D9313C" w:rsidRPr="00D408DC" w:rsidRDefault="00D82F43" w:rsidP="00685E4A">
            <w:pPr>
              <w:pStyle w:val="Bodytext"/>
              <w:keepNext/>
              <w:spacing w:after="60"/>
              <w:jc w:val="right"/>
              <w:rPr>
                <w:b/>
                <w:bCs/>
                <w:color w:val="A6A6A6" w:themeColor="background1" w:themeShade="A6"/>
              </w:rPr>
            </w:pPr>
            <w:r>
              <w:rPr>
                <w:b/>
                <w:bCs/>
                <w:color w:val="A6A6A6" w:themeColor="background1" w:themeShade="A6"/>
              </w:rPr>
              <w:t>53</w:t>
            </w:r>
          </w:p>
        </w:tc>
      </w:tr>
    </w:tbl>
    <w:p w14:paraId="4894ACE0" w14:textId="77777777" w:rsidR="00B504EA" w:rsidRDefault="00B504EA" w:rsidP="00064992">
      <w:pPr>
        <w:pStyle w:val="TableTitle"/>
      </w:pPr>
      <w:bookmarkStart w:id="65" w:name="_Ref431896116"/>
    </w:p>
    <w:p w14:paraId="7295C715" w14:textId="314F419B" w:rsidR="00D9313C" w:rsidRPr="006644A8" w:rsidRDefault="00D9313C" w:rsidP="00064992">
      <w:pPr>
        <w:pStyle w:val="TableTitle"/>
      </w:pPr>
      <w:r>
        <w:t xml:space="preserve">18 </w:t>
      </w:r>
      <w:r w:rsidRPr="006644A8">
        <w:t>Analysis of cash and cash equivalents</w:t>
      </w:r>
      <w:bookmarkEnd w:id="6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8"/>
      </w:tblGrid>
      <w:tr w:rsidR="00D9313C" w:rsidRPr="006644A8" w14:paraId="68500452" w14:textId="77777777" w:rsidTr="00EC1B15">
        <w:tc>
          <w:tcPr>
            <w:tcW w:w="5000" w:type="pct"/>
            <w:shd w:val="clear" w:color="auto" w:fill="auto"/>
          </w:tcPr>
          <w:p w14:paraId="7703660A" w14:textId="77777777" w:rsidR="00D9313C" w:rsidRPr="006644A8" w:rsidRDefault="00D9313C" w:rsidP="00EC1B15">
            <w:pPr>
              <w:pStyle w:val="Bodytext"/>
            </w:pPr>
            <w:r w:rsidRPr="006644A8">
              <w:t xml:space="preserve">Paragraph 14.17 of the </w:t>
            </w:r>
            <w:r>
              <w:t>SORP FRS 102</w:t>
            </w:r>
            <w:r w:rsidRPr="006644A8">
              <w:t xml:space="preserve"> requires that charities using the indirect method of preparing their statement of cash flows must provide a reconciliation </w:t>
            </w:r>
            <w:r>
              <w:t xml:space="preserve">of </w:t>
            </w:r>
            <w:r w:rsidRPr="006644A8">
              <w:t>cash and cash equivalents and an example is provided in table</w:t>
            </w:r>
            <w:r>
              <w:t xml:space="preserve"> 8</w:t>
            </w:r>
            <w:r w:rsidRPr="006644A8">
              <w:t>.</w:t>
            </w:r>
          </w:p>
          <w:p w14:paraId="2227B4CE" w14:textId="37B0929B" w:rsidR="00D9313C" w:rsidRPr="006644A8" w:rsidRDefault="00D9313C" w:rsidP="003A1E46">
            <w:pPr>
              <w:pStyle w:val="Bodytext"/>
            </w:pPr>
            <w:r w:rsidRPr="006644A8">
              <w:t xml:space="preserve">Paragraph 10.73 of the </w:t>
            </w:r>
            <w:r>
              <w:t>SORP FRS 102</w:t>
            </w:r>
            <w:r w:rsidRPr="006644A8">
              <w:t xml:space="preserve"> requires that an analysis of short-term investments is required.</w:t>
            </w:r>
            <w:r>
              <w:t xml:space="preserve"> </w:t>
            </w:r>
            <w:r w:rsidRPr="006644A8">
              <w:t>In this case, these assets are included in cash and cash equivalents as they are highly liquid, so the narrative has been moved from the old current investment note.</w:t>
            </w:r>
            <w:r w:rsidR="00DE6702">
              <w:t xml:space="preserve"> </w:t>
            </w:r>
            <w:r w:rsidRPr="006644A8">
              <w:t>The final sentence in this note is not strictly required.</w:t>
            </w:r>
            <w:r>
              <w:t xml:space="preserve"> </w:t>
            </w:r>
            <w:r w:rsidRPr="006644A8">
              <w:t xml:space="preserve">Where significant cash or cash equivalent balance is not available for use, perhaps because it is held in endowment funds a note must be included to disclose the amount that is unavailable and the reason it is unavailable (paragraph 14.20 of the </w:t>
            </w:r>
            <w:r>
              <w:t>SORP FRS 102</w:t>
            </w:r>
            <w:r w:rsidRPr="006644A8">
              <w:t>).</w:t>
            </w:r>
          </w:p>
        </w:tc>
      </w:tr>
    </w:tbl>
    <w:p w14:paraId="60C2B48C" w14:textId="77777777" w:rsidR="00D9313C" w:rsidRPr="006644A8" w:rsidRDefault="00D9313C" w:rsidP="00D9313C">
      <w:pPr>
        <w:tabs>
          <w:tab w:val="left" w:pos="9072"/>
        </w:tabs>
        <w:ind w:right="249"/>
        <w:rPr>
          <w:rFonts w:asciiTheme="minorHAnsi" w:hAnsiTheme="minorHAnsi" w:cstheme="minorHAnsi"/>
        </w:rPr>
      </w:pPr>
    </w:p>
    <w:tbl>
      <w:tblPr>
        <w:tblW w:w="5000" w:type="pct"/>
        <w:tblLook w:val="01E0" w:firstRow="1" w:lastRow="1" w:firstColumn="1" w:lastColumn="1" w:noHBand="0" w:noVBand="0"/>
      </w:tblPr>
      <w:tblGrid>
        <w:gridCol w:w="8222"/>
        <w:gridCol w:w="3403"/>
        <w:gridCol w:w="2663"/>
      </w:tblGrid>
      <w:tr w:rsidR="003E31E2" w:rsidRPr="008C437A" w14:paraId="61F56296" w14:textId="77777777" w:rsidTr="00EC1B15">
        <w:tc>
          <w:tcPr>
            <w:tcW w:w="2877" w:type="pct"/>
            <w:shd w:val="clear" w:color="auto" w:fill="auto"/>
          </w:tcPr>
          <w:p w14:paraId="28955B3E" w14:textId="77777777" w:rsidR="003E31E2" w:rsidRPr="008C437A" w:rsidRDefault="003E31E2" w:rsidP="003E31E2">
            <w:pPr>
              <w:pStyle w:val="Bodytext"/>
              <w:keepNext/>
              <w:spacing w:after="60"/>
              <w:rPr>
                <w:b/>
              </w:rPr>
            </w:pPr>
          </w:p>
        </w:tc>
        <w:tc>
          <w:tcPr>
            <w:tcW w:w="1191" w:type="pct"/>
            <w:shd w:val="clear" w:color="auto" w:fill="D9D9D9" w:themeFill="background1" w:themeFillShade="D9"/>
          </w:tcPr>
          <w:p w14:paraId="675835CA" w14:textId="264ED3F2" w:rsidR="003E31E2" w:rsidRDefault="003E31E2" w:rsidP="003E31E2">
            <w:pPr>
              <w:pStyle w:val="Bodytext"/>
              <w:keepNext/>
              <w:spacing w:after="60"/>
              <w:jc w:val="right"/>
              <w:rPr>
                <w:b/>
              </w:rPr>
            </w:pPr>
            <w:r>
              <w:rPr>
                <w:b/>
              </w:rPr>
              <w:t>202</w:t>
            </w:r>
            <w:r w:rsidR="001A425B">
              <w:rPr>
                <w:b/>
              </w:rPr>
              <w:t>3</w:t>
            </w:r>
            <w:r>
              <w:rPr>
                <w:b/>
              </w:rPr>
              <w:t>/2</w:t>
            </w:r>
            <w:r w:rsidR="001A425B">
              <w:rPr>
                <w:b/>
              </w:rPr>
              <w:t>4</w:t>
            </w:r>
          </w:p>
          <w:p w14:paraId="3F33E803" w14:textId="46F7A8F6" w:rsidR="003E31E2" w:rsidRPr="008C437A" w:rsidRDefault="003E31E2" w:rsidP="003E31E2">
            <w:pPr>
              <w:pStyle w:val="Bodytext"/>
              <w:keepNext/>
              <w:spacing w:after="60"/>
              <w:jc w:val="right"/>
              <w:rPr>
                <w:b/>
              </w:rPr>
            </w:pPr>
            <w:r>
              <w:rPr>
                <w:b/>
              </w:rPr>
              <w:t>£000</w:t>
            </w:r>
          </w:p>
        </w:tc>
        <w:tc>
          <w:tcPr>
            <w:tcW w:w="932" w:type="pct"/>
            <w:shd w:val="clear" w:color="auto" w:fill="auto"/>
          </w:tcPr>
          <w:p w14:paraId="718274B8" w14:textId="0897A1CE" w:rsidR="003E31E2" w:rsidRPr="002B08DA" w:rsidRDefault="003E31E2" w:rsidP="003E31E2">
            <w:pPr>
              <w:pStyle w:val="Bodytext"/>
              <w:keepNext/>
              <w:spacing w:after="60"/>
              <w:jc w:val="right"/>
              <w:rPr>
                <w:b/>
                <w:color w:val="A6A6A6" w:themeColor="background1" w:themeShade="A6"/>
              </w:rPr>
            </w:pPr>
            <w:r>
              <w:rPr>
                <w:b/>
                <w:color w:val="A6A6A6" w:themeColor="background1" w:themeShade="A6"/>
              </w:rPr>
              <w:t>202</w:t>
            </w:r>
            <w:r w:rsidR="001A425B">
              <w:rPr>
                <w:b/>
                <w:color w:val="A6A6A6" w:themeColor="background1" w:themeShade="A6"/>
              </w:rPr>
              <w:t>2</w:t>
            </w:r>
            <w:r>
              <w:rPr>
                <w:b/>
                <w:color w:val="A6A6A6" w:themeColor="background1" w:themeShade="A6"/>
              </w:rPr>
              <w:t>/2</w:t>
            </w:r>
            <w:r w:rsidR="001A425B">
              <w:rPr>
                <w:b/>
                <w:color w:val="A6A6A6" w:themeColor="background1" w:themeShade="A6"/>
              </w:rPr>
              <w:t>3</w:t>
            </w:r>
          </w:p>
          <w:p w14:paraId="737B72F0" w14:textId="02B541D5" w:rsidR="003E31E2" w:rsidRPr="00F9240A" w:rsidRDefault="003E31E2" w:rsidP="003E31E2">
            <w:pPr>
              <w:pStyle w:val="Bodytext"/>
              <w:keepNext/>
              <w:spacing w:after="60"/>
              <w:jc w:val="right"/>
              <w:rPr>
                <w:b/>
                <w:color w:val="A6A6A6" w:themeColor="background1" w:themeShade="A6"/>
              </w:rPr>
            </w:pPr>
            <w:r w:rsidRPr="002B08DA">
              <w:rPr>
                <w:b/>
                <w:color w:val="A6A6A6" w:themeColor="background1" w:themeShade="A6"/>
              </w:rPr>
              <w:t>£000</w:t>
            </w:r>
          </w:p>
        </w:tc>
      </w:tr>
      <w:tr w:rsidR="00FC666C" w:rsidRPr="006644A8" w14:paraId="7FB1D371" w14:textId="77777777" w:rsidTr="00EC1B15">
        <w:tc>
          <w:tcPr>
            <w:tcW w:w="2877" w:type="pct"/>
            <w:shd w:val="clear" w:color="auto" w:fill="auto"/>
          </w:tcPr>
          <w:p w14:paraId="1DD40902" w14:textId="77777777" w:rsidR="00FC666C" w:rsidRPr="009D1F12" w:rsidRDefault="00FC666C" w:rsidP="00A72CC1">
            <w:pPr>
              <w:pStyle w:val="Bodytext9pt"/>
              <w:rPr>
                <w:szCs w:val="22"/>
              </w:rPr>
            </w:pPr>
            <w:r w:rsidRPr="00A72CC1">
              <w:rPr>
                <w:sz w:val="22"/>
                <w:szCs w:val="22"/>
              </w:rPr>
              <w:t>Cash in hand</w:t>
            </w:r>
          </w:p>
        </w:tc>
        <w:tc>
          <w:tcPr>
            <w:tcW w:w="1191" w:type="pct"/>
            <w:shd w:val="clear" w:color="auto" w:fill="D9D9D9" w:themeFill="background1" w:themeFillShade="D9"/>
            <w:vAlign w:val="center"/>
          </w:tcPr>
          <w:p w14:paraId="6A6A5682" w14:textId="675E9D3A" w:rsidR="00FC666C" w:rsidRPr="006644A8" w:rsidRDefault="00FC666C" w:rsidP="00FC666C">
            <w:pPr>
              <w:pStyle w:val="Bodytext"/>
              <w:keepNext/>
              <w:spacing w:after="60"/>
              <w:jc w:val="right"/>
            </w:pPr>
            <w:r>
              <w:rPr>
                <w:rFonts w:cs="Arial"/>
                <w:color w:val="424141"/>
                <w:szCs w:val="22"/>
              </w:rPr>
              <w:t>-7</w:t>
            </w:r>
            <w:r w:rsidR="001777D6">
              <w:rPr>
                <w:rFonts w:cs="Arial"/>
                <w:color w:val="424141"/>
                <w:szCs w:val="22"/>
              </w:rPr>
              <w:t>89</w:t>
            </w:r>
          </w:p>
        </w:tc>
        <w:tc>
          <w:tcPr>
            <w:tcW w:w="932" w:type="pct"/>
            <w:shd w:val="clear" w:color="auto" w:fill="auto"/>
            <w:vAlign w:val="center"/>
          </w:tcPr>
          <w:p w14:paraId="0C85AFB1" w14:textId="095DC6A8" w:rsidR="00FC666C" w:rsidRPr="00F9240A" w:rsidRDefault="00FC666C" w:rsidP="00FC666C">
            <w:pPr>
              <w:pStyle w:val="Bodytext"/>
              <w:keepNext/>
              <w:spacing w:after="60"/>
              <w:jc w:val="right"/>
              <w:rPr>
                <w:color w:val="A6A6A6" w:themeColor="background1" w:themeShade="A6"/>
              </w:rPr>
            </w:pPr>
            <w:r>
              <w:rPr>
                <w:rFonts w:cs="Arial"/>
                <w:color w:val="A6A6A6"/>
                <w:szCs w:val="22"/>
              </w:rPr>
              <w:t>-861</w:t>
            </w:r>
          </w:p>
        </w:tc>
      </w:tr>
      <w:tr w:rsidR="00FC666C" w:rsidRPr="006644A8" w14:paraId="4A71D7E5" w14:textId="77777777" w:rsidTr="00EC1B15">
        <w:tc>
          <w:tcPr>
            <w:tcW w:w="2877" w:type="pct"/>
            <w:shd w:val="clear" w:color="auto" w:fill="auto"/>
          </w:tcPr>
          <w:p w14:paraId="64099474" w14:textId="77777777" w:rsidR="00FC666C" w:rsidRPr="006644A8" w:rsidRDefault="00FC666C" w:rsidP="00FC666C">
            <w:pPr>
              <w:pStyle w:val="Bodytext"/>
              <w:keepNext/>
              <w:spacing w:after="60"/>
            </w:pPr>
            <w:r w:rsidRPr="006644A8">
              <w:t>Notice deposits (less than 3 months)</w:t>
            </w:r>
          </w:p>
        </w:tc>
        <w:tc>
          <w:tcPr>
            <w:tcW w:w="1191" w:type="pct"/>
            <w:shd w:val="clear" w:color="auto" w:fill="D9D9D9" w:themeFill="background1" w:themeFillShade="D9"/>
            <w:vAlign w:val="center"/>
          </w:tcPr>
          <w:p w14:paraId="5E911076" w14:textId="6D9AD58C" w:rsidR="00FC666C" w:rsidRPr="006644A8" w:rsidRDefault="00FC666C" w:rsidP="00FC666C">
            <w:pPr>
              <w:pStyle w:val="Bodytext"/>
              <w:keepNext/>
              <w:spacing w:after="60"/>
              <w:jc w:val="right"/>
            </w:pPr>
            <w:r>
              <w:rPr>
                <w:rFonts w:cs="Arial"/>
                <w:color w:val="424141"/>
                <w:szCs w:val="22"/>
              </w:rPr>
              <w:t>1,500</w:t>
            </w:r>
          </w:p>
        </w:tc>
        <w:tc>
          <w:tcPr>
            <w:tcW w:w="932" w:type="pct"/>
            <w:shd w:val="clear" w:color="auto" w:fill="auto"/>
            <w:vAlign w:val="center"/>
          </w:tcPr>
          <w:p w14:paraId="7E317566" w14:textId="67FF56BD" w:rsidR="00FC666C" w:rsidRPr="00F9240A" w:rsidRDefault="00FC666C" w:rsidP="00FC666C">
            <w:pPr>
              <w:pStyle w:val="Bodytext"/>
              <w:keepNext/>
              <w:spacing w:after="60"/>
              <w:jc w:val="right"/>
              <w:rPr>
                <w:color w:val="A6A6A6" w:themeColor="background1" w:themeShade="A6"/>
              </w:rPr>
            </w:pPr>
            <w:r>
              <w:rPr>
                <w:rFonts w:cs="Arial"/>
                <w:color w:val="A6A6A6"/>
                <w:szCs w:val="22"/>
              </w:rPr>
              <w:t>1,639</w:t>
            </w:r>
          </w:p>
        </w:tc>
      </w:tr>
      <w:tr w:rsidR="00FC666C" w:rsidRPr="008170A4" w14:paraId="028069F2" w14:textId="77777777" w:rsidTr="00A72CC1">
        <w:tc>
          <w:tcPr>
            <w:tcW w:w="2877" w:type="pct"/>
            <w:shd w:val="clear" w:color="auto" w:fill="auto"/>
          </w:tcPr>
          <w:p w14:paraId="0C744031" w14:textId="77777777" w:rsidR="00FC666C" w:rsidRPr="00D408DC" w:rsidRDefault="00FC666C" w:rsidP="00FC666C">
            <w:pPr>
              <w:pStyle w:val="Bodytext"/>
              <w:keepNext/>
              <w:spacing w:after="60"/>
              <w:rPr>
                <w:b/>
                <w:bCs/>
              </w:rPr>
            </w:pPr>
            <w:r w:rsidRPr="00D408DC">
              <w:rPr>
                <w:b/>
                <w:bCs/>
              </w:rPr>
              <w:t>Total cash and cash equivalents</w:t>
            </w:r>
          </w:p>
        </w:tc>
        <w:tc>
          <w:tcPr>
            <w:tcW w:w="1191" w:type="pct"/>
            <w:tcBorders>
              <w:top w:val="single" w:sz="4" w:space="0" w:color="auto"/>
              <w:bottom w:val="double" w:sz="4" w:space="0" w:color="auto"/>
            </w:tcBorders>
            <w:shd w:val="clear" w:color="auto" w:fill="auto"/>
            <w:vAlign w:val="center"/>
          </w:tcPr>
          <w:p w14:paraId="62CF3CAA" w14:textId="155D4828" w:rsidR="00FC666C" w:rsidRPr="00A72CC1" w:rsidRDefault="001777D6" w:rsidP="00FC666C">
            <w:pPr>
              <w:pStyle w:val="Bodytext"/>
              <w:keepNext/>
              <w:spacing w:after="60"/>
              <w:jc w:val="right"/>
              <w:rPr>
                <w:b/>
                <w:bCs/>
              </w:rPr>
            </w:pPr>
            <w:r w:rsidRPr="00A72CC1">
              <w:rPr>
                <w:rFonts w:cs="Arial"/>
                <w:b/>
                <w:bCs/>
                <w:color w:val="424141"/>
                <w:szCs w:val="22"/>
              </w:rPr>
              <w:t>711</w:t>
            </w:r>
          </w:p>
        </w:tc>
        <w:tc>
          <w:tcPr>
            <w:tcW w:w="932" w:type="pct"/>
            <w:tcBorders>
              <w:top w:val="single" w:sz="4" w:space="0" w:color="auto"/>
              <w:bottom w:val="double" w:sz="4" w:space="0" w:color="auto"/>
            </w:tcBorders>
            <w:shd w:val="clear" w:color="auto" w:fill="auto"/>
            <w:vAlign w:val="center"/>
          </w:tcPr>
          <w:p w14:paraId="43572DAF" w14:textId="6EB44732" w:rsidR="00FC666C" w:rsidRPr="00A72CC1" w:rsidRDefault="00FC666C" w:rsidP="00FC666C">
            <w:pPr>
              <w:pStyle w:val="Bodytext"/>
              <w:keepNext/>
              <w:spacing w:after="60"/>
              <w:jc w:val="right"/>
              <w:rPr>
                <w:b/>
                <w:bCs/>
                <w:color w:val="A6A6A6" w:themeColor="background1" w:themeShade="A6"/>
              </w:rPr>
            </w:pPr>
            <w:r w:rsidRPr="00A72CC1">
              <w:rPr>
                <w:rFonts w:cs="Arial"/>
                <w:b/>
                <w:bCs/>
                <w:color w:val="A6A6A6"/>
                <w:szCs w:val="22"/>
              </w:rPr>
              <w:t>778</w:t>
            </w:r>
          </w:p>
        </w:tc>
      </w:tr>
    </w:tbl>
    <w:p w14:paraId="136D1473" w14:textId="77777777" w:rsidR="00D9313C" w:rsidRPr="006644A8" w:rsidRDefault="00D9313C" w:rsidP="00D9313C">
      <w:pPr>
        <w:tabs>
          <w:tab w:val="left" w:pos="9072"/>
        </w:tabs>
        <w:ind w:right="249"/>
        <w:rPr>
          <w:rFonts w:asciiTheme="minorHAnsi" w:hAnsiTheme="minorHAnsi" w:cstheme="minorHAnsi"/>
        </w:rPr>
      </w:pPr>
    </w:p>
    <w:p w14:paraId="5AB647B6" w14:textId="77777777" w:rsidR="00D9313C" w:rsidRDefault="00D9313C" w:rsidP="00D9313C">
      <w:pPr>
        <w:pStyle w:val="Bodytext"/>
        <w:sectPr w:rsidR="00D9313C" w:rsidSect="00237BC5">
          <w:type w:val="continuous"/>
          <w:pgSz w:w="16840" w:h="11900" w:orient="landscape"/>
          <w:pgMar w:top="1021" w:right="1701" w:bottom="1021" w:left="851" w:header="851" w:footer="851" w:gutter="0"/>
          <w:cols w:space="720"/>
          <w:titlePg/>
          <w:docGrid w:linePitch="360"/>
        </w:sectPr>
      </w:pPr>
    </w:p>
    <w:p w14:paraId="1DE9E9FC" w14:textId="0BF5123D" w:rsidR="00D9313C" w:rsidRPr="006644A8" w:rsidRDefault="00D9313C" w:rsidP="00D9313C">
      <w:pPr>
        <w:pStyle w:val="Bodytext"/>
      </w:pPr>
      <w:r w:rsidRPr="006644A8">
        <w:lastRenderedPageBreak/>
        <w:t xml:space="preserve">The notice deposits are sums held on interest bearing deposit with Any </w:t>
      </w:r>
      <w:r w:rsidR="0098328A">
        <w:t>B</w:t>
      </w:r>
      <w:r w:rsidRPr="006644A8">
        <w:t>ank and represent restricted appeals to fund specific equipment or funds held to facilitate cash flow and the fulfilment of obligations to make grant payments. The funds are held on a 90-day notice account and are therefore classified as cash and cash equivalent</w:t>
      </w:r>
      <w:r>
        <w:t>s.</w:t>
      </w:r>
    </w:p>
    <w:p w14:paraId="31C22C5C" w14:textId="77777777" w:rsidR="00D9313C" w:rsidRPr="006644A8" w:rsidRDefault="00D9313C" w:rsidP="00D9313C">
      <w:pPr>
        <w:pStyle w:val="Bodytext"/>
      </w:pPr>
      <w:r w:rsidRPr="006644A8">
        <w:t>No cash or cash equivalents or current asset investments were held in non-cash investments or outside of the UK.</w:t>
      </w:r>
    </w:p>
    <w:p w14:paraId="012C87AA" w14:textId="77777777" w:rsidR="00D9313C" w:rsidRPr="006644A8" w:rsidRDefault="00D9313C" w:rsidP="00D9313C">
      <w:pPr>
        <w:pStyle w:val="Bodytext"/>
      </w:pPr>
      <w:r w:rsidRPr="006644A8">
        <w:t>All of the amounts held on interest bearing deposit are available to spend on charitable activities</w:t>
      </w:r>
    </w:p>
    <w:p w14:paraId="24CAC3EC" w14:textId="7902484B" w:rsidR="00D9313C" w:rsidRDefault="00D9313C" w:rsidP="00064992">
      <w:pPr>
        <w:pStyle w:val="TableTitle"/>
      </w:pPr>
      <w:bookmarkStart w:id="66" w:name="_Ref432485285"/>
      <w:r>
        <w:t xml:space="preserve">19 </w:t>
      </w:r>
      <w:r w:rsidRPr="006644A8">
        <w:t>Analysis of liabilities</w:t>
      </w:r>
      <w:bookmarkEnd w:id="6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8"/>
      </w:tblGrid>
      <w:tr w:rsidR="00D9313C" w:rsidRPr="006644A8" w14:paraId="3167B734" w14:textId="77777777" w:rsidTr="00EC1B15">
        <w:tc>
          <w:tcPr>
            <w:tcW w:w="5000" w:type="pct"/>
            <w:tcBorders>
              <w:bottom w:val="single" w:sz="4" w:space="0" w:color="auto"/>
            </w:tcBorders>
            <w:shd w:val="clear" w:color="auto" w:fill="auto"/>
          </w:tcPr>
          <w:p w14:paraId="11CB0B8B" w14:textId="77777777" w:rsidR="00D9313C" w:rsidRPr="006644A8" w:rsidRDefault="00D9313C" w:rsidP="00EC1B15">
            <w:pPr>
              <w:pStyle w:val="Bodytext"/>
            </w:pPr>
            <w:r w:rsidRPr="006644A8">
              <w:t xml:space="preserve">Paragraph 10.82 of the </w:t>
            </w:r>
            <w:r>
              <w:t>SORP FRS 102</w:t>
            </w:r>
            <w:r w:rsidRPr="006644A8">
              <w:t xml:space="preserve"> specifie</w:t>
            </w:r>
            <w:r>
              <w:t>s</w:t>
            </w:r>
            <w:r w:rsidRPr="006644A8">
              <w:t xml:space="preserve"> the classifications that creditors (both those due in less than a year and more than a year) should be analysed over.</w:t>
            </w:r>
          </w:p>
          <w:p w14:paraId="35868450" w14:textId="77777777" w:rsidR="00D9313C" w:rsidRDefault="00D9313C" w:rsidP="00EC1B15">
            <w:pPr>
              <w:pStyle w:val="Bodytext"/>
            </w:pPr>
            <w:r w:rsidRPr="006644A8">
              <w:t xml:space="preserve">Paragraph 5.59 of the </w:t>
            </w:r>
            <w:r>
              <w:t>SORP FRS 102</w:t>
            </w:r>
            <w:r w:rsidRPr="006644A8">
              <w:t xml:space="preserve"> states that where a charity has deferred income, the notes to the accounts must explain the reason why the income has been deferred and must analyse the movement on deferred income.</w:t>
            </w:r>
            <w:r>
              <w:t xml:space="preserve"> </w:t>
            </w:r>
            <w:r w:rsidRPr="006644A8">
              <w:t>This charity has no deferred income, so this note is not required.</w:t>
            </w:r>
          </w:p>
          <w:p w14:paraId="048EC4B9" w14:textId="77777777" w:rsidR="00D9313C" w:rsidRPr="00EF0F1C" w:rsidRDefault="00D9313C" w:rsidP="00EC1B15">
            <w:pPr>
              <w:pStyle w:val="Bodytext"/>
            </w:pPr>
            <w:r w:rsidRPr="00EF0F1C">
              <w:t>The guidance on the impact of Covid-19 provides the following guidance in relation to liabilities and provisions:</w:t>
            </w:r>
          </w:p>
          <w:p w14:paraId="741DAC4B" w14:textId="77777777" w:rsidR="00D9313C" w:rsidRPr="006644A8" w:rsidRDefault="00D9313C" w:rsidP="00EC1B15">
            <w:pPr>
              <w:pStyle w:val="Bodytext"/>
            </w:pPr>
            <w:r w:rsidRPr="00EF0F1C">
              <w:t>‘charities providing goods and services to beneficiaries may need to give consideration as to any costs arising from potential or actual disruption to supply chains, availability of staff, and the charity’s ability to fulfil any contractual obligations or meet performance targets which may give rise to additional costs or penalties. Unless any change to conditions as at the reporting date results from this information then it would not be an adjusting event (SORP module 13).’</w:t>
            </w:r>
          </w:p>
        </w:tc>
      </w:tr>
    </w:tbl>
    <w:p w14:paraId="3E106F15" w14:textId="77777777" w:rsidR="00EF0F1C" w:rsidRDefault="00EF0F1C" w:rsidP="00D9313C">
      <w:pPr>
        <w:rPr>
          <w:sz w:val="16"/>
          <w:szCs w:val="16"/>
        </w:rPr>
      </w:pPr>
    </w:p>
    <w:tbl>
      <w:tblPr>
        <w:tblW w:w="4962" w:type="pct"/>
        <w:tblLook w:val="01E0" w:firstRow="1" w:lastRow="1" w:firstColumn="1" w:lastColumn="1" w:noHBand="0" w:noVBand="0"/>
      </w:tblPr>
      <w:tblGrid>
        <w:gridCol w:w="8363"/>
        <w:gridCol w:w="3434"/>
        <w:gridCol w:w="2382"/>
      </w:tblGrid>
      <w:tr w:rsidR="003E31E2" w:rsidRPr="008C437A" w14:paraId="3D6B5D4D" w14:textId="77777777" w:rsidTr="00EF0F1C">
        <w:trPr>
          <w:cantSplit/>
        </w:trPr>
        <w:tc>
          <w:tcPr>
            <w:tcW w:w="2949" w:type="pct"/>
            <w:shd w:val="clear" w:color="auto" w:fill="auto"/>
          </w:tcPr>
          <w:p w14:paraId="63BE8651" w14:textId="77777777" w:rsidR="000400BB" w:rsidRPr="008C437A" w:rsidRDefault="000400BB" w:rsidP="003E31E2">
            <w:pPr>
              <w:pStyle w:val="Bodytext"/>
              <w:spacing w:after="60"/>
              <w:rPr>
                <w:b/>
              </w:rPr>
            </w:pPr>
          </w:p>
        </w:tc>
        <w:tc>
          <w:tcPr>
            <w:tcW w:w="1211" w:type="pct"/>
            <w:shd w:val="clear" w:color="auto" w:fill="D9D9D9" w:themeFill="background1" w:themeFillShade="D9"/>
          </w:tcPr>
          <w:p w14:paraId="0CDA18CC" w14:textId="10A76FD2" w:rsidR="003E31E2" w:rsidRDefault="003E31E2" w:rsidP="003E31E2">
            <w:pPr>
              <w:pStyle w:val="Bodytext"/>
              <w:keepNext/>
              <w:spacing w:after="60"/>
              <w:jc w:val="right"/>
              <w:rPr>
                <w:b/>
              </w:rPr>
            </w:pPr>
            <w:r>
              <w:rPr>
                <w:b/>
              </w:rPr>
              <w:t>202</w:t>
            </w:r>
            <w:r w:rsidR="00BA4F67">
              <w:rPr>
                <w:b/>
              </w:rPr>
              <w:t>3</w:t>
            </w:r>
            <w:r>
              <w:rPr>
                <w:b/>
              </w:rPr>
              <w:t>/2</w:t>
            </w:r>
            <w:r w:rsidR="00BA4F67">
              <w:rPr>
                <w:b/>
              </w:rPr>
              <w:t>4</w:t>
            </w:r>
          </w:p>
          <w:p w14:paraId="1DF30DB8" w14:textId="793F0561" w:rsidR="003E31E2" w:rsidRPr="008C437A" w:rsidRDefault="003E31E2" w:rsidP="003E31E2">
            <w:pPr>
              <w:pStyle w:val="Bodytext"/>
              <w:spacing w:after="60"/>
              <w:jc w:val="right"/>
              <w:rPr>
                <w:b/>
              </w:rPr>
            </w:pPr>
            <w:r>
              <w:rPr>
                <w:b/>
              </w:rPr>
              <w:t>£000</w:t>
            </w:r>
          </w:p>
        </w:tc>
        <w:tc>
          <w:tcPr>
            <w:tcW w:w="840" w:type="pct"/>
            <w:shd w:val="clear" w:color="auto" w:fill="auto"/>
          </w:tcPr>
          <w:p w14:paraId="2B908788" w14:textId="35BFFFE3" w:rsidR="003E31E2" w:rsidRPr="002B08DA" w:rsidRDefault="003E31E2" w:rsidP="003E31E2">
            <w:pPr>
              <w:pStyle w:val="Bodytext"/>
              <w:keepNext/>
              <w:spacing w:after="60"/>
              <w:jc w:val="right"/>
              <w:rPr>
                <w:b/>
                <w:color w:val="A6A6A6" w:themeColor="background1" w:themeShade="A6"/>
              </w:rPr>
            </w:pPr>
            <w:r>
              <w:rPr>
                <w:b/>
                <w:color w:val="A6A6A6" w:themeColor="background1" w:themeShade="A6"/>
              </w:rPr>
              <w:t>202</w:t>
            </w:r>
            <w:r w:rsidR="00BA4F67">
              <w:rPr>
                <w:b/>
                <w:color w:val="A6A6A6" w:themeColor="background1" w:themeShade="A6"/>
              </w:rPr>
              <w:t>2</w:t>
            </w:r>
            <w:r>
              <w:rPr>
                <w:b/>
                <w:color w:val="A6A6A6" w:themeColor="background1" w:themeShade="A6"/>
              </w:rPr>
              <w:t>/2</w:t>
            </w:r>
            <w:r w:rsidR="00BA4F67">
              <w:rPr>
                <w:b/>
                <w:color w:val="A6A6A6" w:themeColor="background1" w:themeShade="A6"/>
              </w:rPr>
              <w:t>3</w:t>
            </w:r>
          </w:p>
          <w:p w14:paraId="1E5852C0" w14:textId="4ADE1EB1" w:rsidR="003E31E2" w:rsidRPr="00F9240A" w:rsidRDefault="003E31E2" w:rsidP="003E31E2">
            <w:pPr>
              <w:pStyle w:val="Bodytext"/>
              <w:spacing w:after="60"/>
              <w:jc w:val="right"/>
              <w:rPr>
                <w:b/>
                <w:color w:val="A6A6A6" w:themeColor="background1" w:themeShade="A6"/>
              </w:rPr>
            </w:pPr>
            <w:r w:rsidRPr="002B08DA">
              <w:rPr>
                <w:b/>
                <w:color w:val="A6A6A6" w:themeColor="background1" w:themeShade="A6"/>
              </w:rPr>
              <w:t>£000</w:t>
            </w:r>
          </w:p>
        </w:tc>
      </w:tr>
      <w:tr w:rsidR="00D9313C" w:rsidRPr="006644A8" w14:paraId="63D74B75" w14:textId="77777777" w:rsidTr="00EF0F1C">
        <w:trPr>
          <w:cantSplit/>
        </w:trPr>
        <w:tc>
          <w:tcPr>
            <w:tcW w:w="2949" w:type="pct"/>
            <w:shd w:val="clear" w:color="auto" w:fill="auto"/>
          </w:tcPr>
          <w:p w14:paraId="5AE72CBC" w14:textId="77777777" w:rsidR="00D9313C" w:rsidRPr="00D408DC" w:rsidRDefault="00D9313C" w:rsidP="00EC1B15">
            <w:pPr>
              <w:pStyle w:val="Bodytext"/>
              <w:spacing w:after="60"/>
              <w:rPr>
                <w:b/>
                <w:bCs/>
              </w:rPr>
            </w:pPr>
            <w:r w:rsidRPr="00D408DC">
              <w:rPr>
                <w:b/>
                <w:bCs/>
              </w:rPr>
              <w:t>Creditors falling due within 1 year</w:t>
            </w:r>
          </w:p>
        </w:tc>
        <w:tc>
          <w:tcPr>
            <w:tcW w:w="1211" w:type="pct"/>
            <w:shd w:val="clear" w:color="auto" w:fill="D9D9D9" w:themeFill="background1" w:themeFillShade="D9"/>
          </w:tcPr>
          <w:p w14:paraId="71AC195C" w14:textId="77777777" w:rsidR="00D9313C" w:rsidRPr="006644A8" w:rsidRDefault="00D9313C" w:rsidP="00EC1B15">
            <w:pPr>
              <w:pStyle w:val="Bodytext"/>
              <w:spacing w:after="60"/>
              <w:jc w:val="right"/>
            </w:pPr>
          </w:p>
        </w:tc>
        <w:tc>
          <w:tcPr>
            <w:tcW w:w="840" w:type="pct"/>
            <w:shd w:val="clear" w:color="auto" w:fill="auto"/>
          </w:tcPr>
          <w:p w14:paraId="7255E24B" w14:textId="77777777" w:rsidR="00D9313C" w:rsidRPr="00F9240A" w:rsidRDefault="00D9313C" w:rsidP="00EC1B15">
            <w:pPr>
              <w:pStyle w:val="Bodytext"/>
              <w:spacing w:after="60"/>
              <w:jc w:val="right"/>
              <w:rPr>
                <w:color w:val="A6A6A6" w:themeColor="background1" w:themeShade="A6"/>
              </w:rPr>
            </w:pPr>
          </w:p>
        </w:tc>
      </w:tr>
      <w:tr w:rsidR="00444C83" w:rsidRPr="006644A8" w14:paraId="15F7ADC0" w14:textId="77777777" w:rsidTr="00EC1B15">
        <w:trPr>
          <w:cantSplit/>
        </w:trPr>
        <w:tc>
          <w:tcPr>
            <w:tcW w:w="2949" w:type="pct"/>
            <w:shd w:val="clear" w:color="auto" w:fill="auto"/>
          </w:tcPr>
          <w:p w14:paraId="5576BD37" w14:textId="77777777" w:rsidR="00444C83" w:rsidRPr="006644A8" w:rsidRDefault="00444C83" w:rsidP="00444C83">
            <w:pPr>
              <w:pStyle w:val="Bodytext"/>
              <w:spacing w:after="60"/>
            </w:pPr>
            <w:r w:rsidRPr="006644A8">
              <w:t>Trade creditors</w:t>
            </w:r>
          </w:p>
        </w:tc>
        <w:tc>
          <w:tcPr>
            <w:tcW w:w="1211" w:type="pct"/>
            <w:shd w:val="clear" w:color="auto" w:fill="D9D9D9" w:themeFill="background1" w:themeFillShade="D9"/>
            <w:vAlign w:val="center"/>
          </w:tcPr>
          <w:p w14:paraId="4745CE88" w14:textId="3EDF3874" w:rsidR="00444C83" w:rsidRPr="006644A8" w:rsidRDefault="00444C83" w:rsidP="00444C83">
            <w:pPr>
              <w:pStyle w:val="Bodytext"/>
              <w:spacing w:after="60"/>
              <w:jc w:val="right"/>
            </w:pPr>
            <w:r>
              <w:rPr>
                <w:rFonts w:cs="Arial"/>
                <w:color w:val="424141"/>
                <w:szCs w:val="22"/>
              </w:rPr>
              <w:t>550</w:t>
            </w:r>
          </w:p>
        </w:tc>
        <w:tc>
          <w:tcPr>
            <w:tcW w:w="840" w:type="pct"/>
            <w:shd w:val="clear" w:color="auto" w:fill="auto"/>
            <w:vAlign w:val="center"/>
          </w:tcPr>
          <w:p w14:paraId="5C11124B" w14:textId="62D2DE21" w:rsidR="00444C83" w:rsidRPr="00F9240A" w:rsidRDefault="00444C83" w:rsidP="00444C83">
            <w:pPr>
              <w:pStyle w:val="Bodytext"/>
              <w:spacing w:after="60"/>
              <w:jc w:val="right"/>
              <w:rPr>
                <w:color w:val="A6A6A6" w:themeColor="background1" w:themeShade="A6"/>
              </w:rPr>
            </w:pPr>
            <w:r>
              <w:rPr>
                <w:rFonts w:cs="Arial"/>
                <w:color w:val="A6A6A6"/>
                <w:szCs w:val="22"/>
              </w:rPr>
              <w:t>410</w:t>
            </w:r>
          </w:p>
        </w:tc>
      </w:tr>
      <w:tr w:rsidR="00444C83" w:rsidRPr="006644A8" w14:paraId="4F3CD905" w14:textId="77777777" w:rsidTr="005B6A0F">
        <w:trPr>
          <w:cantSplit/>
        </w:trPr>
        <w:tc>
          <w:tcPr>
            <w:tcW w:w="2949" w:type="pct"/>
            <w:shd w:val="clear" w:color="auto" w:fill="auto"/>
          </w:tcPr>
          <w:p w14:paraId="59D164CF" w14:textId="77777777" w:rsidR="00444C83" w:rsidRPr="006644A8" w:rsidRDefault="00444C83" w:rsidP="00444C83">
            <w:pPr>
              <w:pStyle w:val="Bodytext"/>
              <w:spacing w:after="60"/>
            </w:pPr>
            <w:r w:rsidRPr="006644A8">
              <w:t>Accruals for grants owed to NHS bodies</w:t>
            </w:r>
          </w:p>
        </w:tc>
        <w:tc>
          <w:tcPr>
            <w:tcW w:w="1211" w:type="pct"/>
            <w:shd w:val="clear" w:color="auto" w:fill="D9D9D9" w:themeFill="background1" w:themeFillShade="D9"/>
            <w:vAlign w:val="center"/>
          </w:tcPr>
          <w:p w14:paraId="51152CAB" w14:textId="01322A88" w:rsidR="00444C83" w:rsidRPr="006644A8" w:rsidRDefault="00444C83" w:rsidP="00444C83">
            <w:pPr>
              <w:pStyle w:val="Bodytext"/>
              <w:spacing w:after="60"/>
              <w:jc w:val="right"/>
            </w:pPr>
            <w:r>
              <w:rPr>
                <w:rFonts w:cs="Arial"/>
                <w:color w:val="424141"/>
                <w:szCs w:val="22"/>
              </w:rPr>
              <w:t>480</w:t>
            </w:r>
          </w:p>
        </w:tc>
        <w:tc>
          <w:tcPr>
            <w:tcW w:w="840" w:type="pct"/>
            <w:shd w:val="clear" w:color="auto" w:fill="auto"/>
            <w:vAlign w:val="center"/>
          </w:tcPr>
          <w:p w14:paraId="345F834C" w14:textId="2BBB8E5E" w:rsidR="00444C83" w:rsidRPr="00F9240A" w:rsidRDefault="00444C83" w:rsidP="00444C83">
            <w:pPr>
              <w:pStyle w:val="Bodytext"/>
              <w:spacing w:after="60"/>
              <w:jc w:val="right"/>
              <w:rPr>
                <w:color w:val="A6A6A6" w:themeColor="background1" w:themeShade="A6"/>
              </w:rPr>
            </w:pPr>
            <w:r>
              <w:rPr>
                <w:rFonts w:cs="Arial"/>
                <w:color w:val="A6A6A6"/>
                <w:szCs w:val="22"/>
              </w:rPr>
              <w:t>563</w:t>
            </w:r>
          </w:p>
        </w:tc>
      </w:tr>
      <w:tr w:rsidR="00444C83" w:rsidRPr="006644A8" w14:paraId="6EB116E8" w14:textId="77777777" w:rsidTr="002A57E4">
        <w:trPr>
          <w:cantSplit/>
        </w:trPr>
        <w:tc>
          <w:tcPr>
            <w:tcW w:w="2949" w:type="pct"/>
            <w:shd w:val="clear" w:color="auto" w:fill="auto"/>
          </w:tcPr>
          <w:p w14:paraId="6C5E698F" w14:textId="77777777" w:rsidR="00444C83" w:rsidRPr="006644A8" w:rsidRDefault="00444C83" w:rsidP="00444C83">
            <w:pPr>
              <w:pStyle w:val="Bodytext"/>
              <w:spacing w:after="60"/>
            </w:pPr>
            <w:r w:rsidRPr="006644A8">
              <w:t xml:space="preserve">Other accruals </w:t>
            </w:r>
          </w:p>
        </w:tc>
        <w:tc>
          <w:tcPr>
            <w:tcW w:w="1211" w:type="pct"/>
            <w:tcBorders>
              <w:bottom w:val="single" w:sz="4" w:space="0" w:color="auto"/>
            </w:tcBorders>
            <w:shd w:val="clear" w:color="auto" w:fill="D9D9D9" w:themeFill="background1" w:themeFillShade="D9"/>
            <w:vAlign w:val="center"/>
          </w:tcPr>
          <w:p w14:paraId="7D047D7E" w14:textId="2FDF3701" w:rsidR="00444C83" w:rsidRPr="006644A8" w:rsidRDefault="00444C83" w:rsidP="00444C83">
            <w:pPr>
              <w:pStyle w:val="Bodytext"/>
              <w:spacing w:after="60"/>
              <w:jc w:val="right"/>
            </w:pPr>
            <w:r>
              <w:rPr>
                <w:rFonts w:cs="Arial"/>
                <w:color w:val="424141"/>
                <w:szCs w:val="22"/>
              </w:rPr>
              <w:t>3</w:t>
            </w:r>
          </w:p>
        </w:tc>
        <w:tc>
          <w:tcPr>
            <w:tcW w:w="840" w:type="pct"/>
            <w:tcBorders>
              <w:bottom w:val="single" w:sz="4" w:space="0" w:color="auto"/>
            </w:tcBorders>
            <w:shd w:val="clear" w:color="auto" w:fill="auto"/>
            <w:vAlign w:val="center"/>
          </w:tcPr>
          <w:p w14:paraId="304F565E" w14:textId="4332BF09" w:rsidR="00444C83" w:rsidRPr="00F9240A" w:rsidRDefault="00444C83" w:rsidP="00444C83">
            <w:pPr>
              <w:pStyle w:val="Bodytext"/>
              <w:spacing w:after="60"/>
              <w:jc w:val="right"/>
              <w:rPr>
                <w:color w:val="A6A6A6" w:themeColor="background1" w:themeShade="A6"/>
              </w:rPr>
            </w:pPr>
            <w:r>
              <w:rPr>
                <w:rFonts w:cs="Arial"/>
                <w:color w:val="A6A6A6"/>
                <w:szCs w:val="22"/>
              </w:rPr>
              <w:t>2</w:t>
            </w:r>
          </w:p>
        </w:tc>
      </w:tr>
      <w:tr w:rsidR="00444C83" w:rsidRPr="006644A8" w14:paraId="21A55B62" w14:textId="77777777" w:rsidTr="002A57E4">
        <w:trPr>
          <w:cantSplit/>
        </w:trPr>
        <w:tc>
          <w:tcPr>
            <w:tcW w:w="2949" w:type="pct"/>
            <w:shd w:val="clear" w:color="auto" w:fill="auto"/>
          </w:tcPr>
          <w:p w14:paraId="1AC8BC6B" w14:textId="77777777" w:rsidR="00444C83" w:rsidRPr="006644A8" w:rsidRDefault="00444C83" w:rsidP="00444C83">
            <w:pPr>
              <w:pStyle w:val="Bodytext"/>
              <w:spacing w:after="60"/>
            </w:pPr>
          </w:p>
        </w:tc>
        <w:tc>
          <w:tcPr>
            <w:tcW w:w="1211" w:type="pct"/>
            <w:tcBorders>
              <w:top w:val="single" w:sz="4" w:space="0" w:color="auto"/>
            </w:tcBorders>
            <w:shd w:val="clear" w:color="auto" w:fill="D9D9D9" w:themeFill="background1" w:themeFillShade="D9"/>
            <w:vAlign w:val="center"/>
          </w:tcPr>
          <w:p w14:paraId="21F10B59" w14:textId="442B12EA" w:rsidR="00444C83" w:rsidRPr="00D408DC" w:rsidRDefault="00444C83" w:rsidP="00444C83">
            <w:pPr>
              <w:pStyle w:val="Bodytext"/>
              <w:spacing w:after="60"/>
              <w:jc w:val="right"/>
              <w:rPr>
                <w:b/>
                <w:bCs/>
              </w:rPr>
            </w:pPr>
            <w:r>
              <w:rPr>
                <w:rFonts w:cs="Arial"/>
                <w:b/>
                <w:bCs/>
                <w:color w:val="424141"/>
                <w:szCs w:val="22"/>
              </w:rPr>
              <w:t>1,033</w:t>
            </w:r>
          </w:p>
        </w:tc>
        <w:tc>
          <w:tcPr>
            <w:tcW w:w="840" w:type="pct"/>
            <w:tcBorders>
              <w:top w:val="single" w:sz="4" w:space="0" w:color="auto"/>
            </w:tcBorders>
            <w:shd w:val="clear" w:color="auto" w:fill="auto"/>
            <w:vAlign w:val="center"/>
          </w:tcPr>
          <w:p w14:paraId="374D0AD5" w14:textId="5963AF61" w:rsidR="00444C83" w:rsidRPr="00D408DC" w:rsidRDefault="00444C83" w:rsidP="00444C83">
            <w:pPr>
              <w:pStyle w:val="Bodytext"/>
              <w:spacing w:after="60"/>
              <w:jc w:val="right"/>
              <w:rPr>
                <w:b/>
                <w:bCs/>
                <w:color w:val="A6A6A6" w:themeColor="background1" w:themeShade="A6"/>
              </w:rPr>
            </w:pPr>
            <w:r>
              <w:rPr>
                <w:rFonts w:cs="Arial"/>
                <w:b/>
                <w:bCs/>
                <w:color w:val="A6A6A6"/>
                <w:szCs w:val="22"/>
              </w:rPr>
              <w:t>975</w:t>
            </w:r>
          </w:p>
        </w:tc>
      </w:tr>
      <w:tr w:rsidR="00444C83" w:rsidRPr="006644A8" w14:paraId="50A02F1D" w14:textId="77777777" w:rsidTr="005B6A0F">
        <w:trPr>
          <w:cantSplit/>
        </w:trPr>
        <w:tc>
          <w:tcPr>
            <w:tcW w:w="2949" w:type="pct"/>
            <w:shd w:val="clear" w:color="auto" w:fill="auto"/>
          </w:tcPr>
          <w:p w14:paraId="5FAF7573" w14:textId="77777777" w:rsidR="00444C83" w:rsidRPr="00D408DC" w:rsidRDefault="00444C83" w:rsidP="00444C83">
            <w:pPr>
              <w:pStyle w:val="Bodytext"/>
              <w:spacing w:after="60"/>
              <w:rPr>
                <w:b/>
                <w:bCs/>
              </w:rPr>
            </w:pPr>
            <w:r w:rsidRPr="00D408DC">
              <w:rPr>
                <w:b/>
                <w:bCs/>
              </w:rPr>
              <w:t>Creditors falling due after more than 1 year</w:t>
            </w:r>
          </w:p>
        </w:tc>
        <w:tc>
          <w:tcPr>
            <w:tcW w:w="1211" w:type="pct"/>
            <w:shd w:val="clear" w:color="auto" w:fill="D9D9D9" w:themeFill="background1" w:themeFillShade="D9"/>
            <w:vAlign w:val="center"/>
          </w:tcPr>
          <w:p w14:paraId="6939951E" w14:textId="604C12D9" w:rsidR="00444C83" w:rsidRPr="006644A8" w:rsidRDefault="00444C83" w:rsidP="00444C83">
            <w:pPr>
              <w:pStyle w:val="Bodytext"/>
              <w:spacing w:after="60"/>
              <w:jc w:val="right"/>
            </w:pPr>
            <w:r>
              <w:rPr>
                <w:rFonts w:cs="Arial"/>
                <w:color w:val="424141"/>
                <w:szCs w:val="22"/>
              </w:rPr>
              <w:t> </w:t>
            </w:r>
          </w:p>
        </w:tc>
        <w:tc>
          <w:tcPr>
            <w:tcW w:w="840" w:type="pct"/>
            <w:shd w:val="clear" w:color="auto" w:fill="auto"/>
            <w:vAlign w:val="center"/>
          </w:tcPr>
          <w:p w14:paraId="611A7FA8" w14:textId="77777777" w:rsidR="00444C83" w:rsidRPr="00F9240A" w:rsidRDefault="00444C83" w:rsidP="00444C83">
            <w:pPr>
              <w:pStyle w:val="Bodytext"/>
              <w:spacing w:after="60"/>
              <w:jc w:val="right"/>
              <w:rPr>
                <w:color w:val="A6A6A6" w:themeColor="background1" w:themeShade="A6"/>
              </w:rPr>
            </w:pPr>
          </w:p>
        </w:tc>
      </w:tr>
      <w:tr w:rsidR="00444C83" w:rsidRPr="006644A8" w14:paraId="474A1A96" w14:textId="77777777" w:rsidTr="002A57E4">
        <w:trPr>
          <w:cantSplit/>
        </w:trPr>
        <w:tc>
          <w:tcPr>
            <w:tcW w:w="2949" w:type="pct"/>
            <w:shd w:val="clear" w:color="auto" w:fill="auto"/>
          </w:tcPr>
          <w:p w14:paraId="2C3C58A2" w14:textId="77777777" w:rsidR="00444C83" w:rsidRPr="006644A8" w:rsidRDefault="00444C83" w:rsidP="00444C83">
            <w:pPr>
              <w:pStyle w:val="Bodytext"/>
              <w:spacing w:after="60"/>
            </w:pPr>
            <w:r w:rsidRPr="006644A8">
              <w:t>Accruals for grants owed to NHS bodies</w:t>
            </w:r>
          </w:p>
        </w:tc>
        <w:tc>
          <w:tcPr>
            <w:tcW w:w="1211" w:type="pct"/>
            <w:tcBorders>
              <w:bottom w:val="single" w:sz="4" w:space="0" w:color="auto"/>
            </w:tcBorders>
            <w:shd w:val="clear" w:color="auto" w:fill="D9D9D9" w:themeFill="background1" w:themeFillShade="D9"/>
            <w:vAlign w:val="center"/>
          </w:tcPr>
          <w:p w14:paraId="22210450" w14:textId="6CB05C97" w:rsidR="00444C83" w:rsidRPr="006644A8" w:rsidRDefault="00444C83" w:rsidP="00444C83">
            <w:pPr>
              <w:pStyle w:val="Bodytext"/>
              <w:spacing w:after="60"/>
              <w:jc w:val="right"/>
            </w:pPr>
            <w:r>
              <w:rPr>
                <w:rFonts w:cs="Arial"/>
                <w:color w:val="424141"/>
                <w:szCs w:val="22"/>
              </w:rPr>
              <w:t>1,137</w:t>
            </w:r>
          </w:p>
        </w:tc>
        <w:tc>
          <w:tcPr>
            <w:tcW w:w="840" w:type="pct"/>
            <w:tcBorders>
              <w:bottom w:val="single" w:sz="4" w:space="0" w:color="auto"/>
            </w:tcBorders>
            <w:shd w:val="clear" w:color="auto" w:fill="auto"/>
            <w:vAlign w:val="center"/>
          </w:tcPr>
          <w:p w14:paraId="67AF3326" w14:textId="6C1D4EB8" w:rsidR="00444C83" w:rsidRPr="00F9240A" w:rsidRDefault="00444C83" w:rsidP="00444C83">
            <w:pPr>
              <w:pStyle w:val="Bodytext"/>
              <w:spacing w:after="60"/>
              <w:jc w:val="right"/>
              <w:rPr>
                <w:color w:val="A6A6A6" w:themeColor="background1" w:themeShade="A6"/>
              </w:rPr>
            </w:pPr>
            <w:r>
              <w:rPr>
                <w:rFonts w:cs="Arial"/>
                <w:color w:val="A6A6A6"/>
                <w:szCs w:val="22"/>
              </w:rPr>
              <w:t>1,076</w:t>
            </w:r>
          </w:p>
        </w:tc>
      </w:tr>
      <w:tr w:rsidR="00444C83" w:rsidRPr="008170A4" w14:paraId="3496FE1D" w14:textId="77777777" w:rsidTr="002A57E4">
        <w:trPr>
          <w:cantSplit/>
        </w:trPr>
        <w:tc>
          <w:tcPr>
            <w:tcW w:w="2949" w:type="pct"/>
            <w:shd w:val="clear" w:color="auto" w:fill="auto"/>
          </w:tcPr>
          <w:p w14:paraId="4FD5E40E" w14:textId="77777777" w:rsidR="00444C83" w:rsidRPr="00D408DC" w:rsidRDefault="00444C83" w:rsidP="00444C83">
            <w:pPr>
              <w:pStyle w:val="Bodytext"/>
              <w:spacing w:after="60"/>
              <w:rPr>
                <w:b/>
                <w:bCs/>
              </w:rPr>
            </w:pPr>
            <w:r w:rsidRPr="00D408DC">
              <w:rPr>
                <w:b/>
                <w:bCs/>
              </w:rPr>
              <w:t>Total</w:t>
            </w:r>
          </w:p>
        </w:tc>
        <w:tc>
          <w:tcPr>
            <w:tcW w:w="1211" w:type="pct"/>
            <w:tcBorders>
              <w:top w:val="single" w:sz="4" w:space="0" w:color="auto"/>
              <w:bottom w:val="double" w:sz="4" w:space="0" w:color="auto"/>
            </w:tcBorders>
            <w:shd w:val="clear" w:color="auto" w:fill="D9D9D9" w:themeFill="background1" w:themeFillShade="D9"/>
            <w:vAlign w:val="center"/>
          </w:tcPr>
          <w:p w14:paraId="5B9AC414" w14:textId="764AED26" w:rsidR="00444C83" w:rsidRPr="00D408DC" w:rsidRDefault="00444C83" w:rsidP="00444C83">
            <w:pPr>
              <w:pStyle w:val="Bodytext"/>
              <w:spacing w:after="60"/>
              <w:jc w:val="right"/>
              <w:rPr>
                <w:b/>
                <w:bCs/>
              </w:rPr>
            </w:pPr>
            <w:r>
              <w:rPr>
                <w:rFonts w:cs="Arial"/>
                <w:b/>
                <w:bCs/>
                <w:color w:val="424141"/>
                <w:szCs w:val="22"/>
              </w:rPr>
              <w:t>2,170</w:t>
            </w:r>
          </w:p>
        </w:tc>
        <w:tc>
          <w:tcPr>
            <w:tcW w:w="840" w:type="pct"/>
            <w:tcBorders>
              <w:top w:val="single" w:sz="4" w:space="0" w:color="auto"/>
              <w:bottom w:val="double" w:sz="4" w:space="0" w:color="auto"/>
            </w:tcBorders>
            <w:shd w:val="clear" w:color="auto" w:fill="auto"/>
            <w:vAlign w:val="center"/>
          </w:tcPr>
          <w:p w14:paraId="5B6108AF" w14:textId="38876623" w:rsidR="00444C83" w:rsidRPr="00D408DC" w:rsidRDefault="00444C83" w:rsidP="00444C83">
            <w:pPr>
              <w:pStyle w:val="Bodytext"/>
              <w:spacing w:after="60"/>
              <w:jc w:val="right"/>
              <w:rPr>
                <w:b/>
                <w:bCs/>
                <w:color w:val="A6A6A6" w:themeColor="background1" w:themeShade="A6"/>
              </w:rPr>
            </w:pPr>
            <w:r>
              <w:rPr>
                <w:rFonts w:cs="Arial"/>
                <w:b/>
                <w:bCs/>
                <w:color w:val="A6A6A6"/>
                <w:szCs w:val="22"/>
              </w:rPr>
              <w:t>2,051</w:t>
            </w:r>
          </w:p>
        </w:tc>
      </w:tr>
    </w:tbl>
    <w:p w14:paraId="2FB4BD8D" w14:textId="77777777" w:rsidR="00032D41" w:rsidRDefault="00032D41" w:rsidP="00DE60D6">
      <w:pPr>
        <w:pStyle w:val="TableTitle"/>
      </w:pPr>
    </w:p>
    <w:p w14:paraId="1F9F5E87" w14:textId="37FFB352" w:rsidR="00D9313C" w:rsidRDefault="00D9313C" w:rsidP="00DE60D6">
      <w:pPr>
        <w:pStyle w:val="TableTitle"/>
      </w:pPr>
      <w:r>
        <w:t xml:space="preserve">20 </w:t>
      </w:r>
      <w:r w:rsidRPr="006644A8">
        <w:t>Reconciliation of net income/(expenditure) to net cash flow from operating activities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8"/>
      </w:tblGrid>
      <w:tr w:rsidR="00D9313C" w:rsidRPr="006644A8" w14:paraId="4F9D7F85" w14:textId="77777777" w:rsidTr="00EC1B15">
        <w:tc>
          <w:tcPr>
            <w:tcW w:w="5000" w:type="pct"/>
            <w:tcBorders>
              <w:bottom w:val="single" w:sz="4" w:space="0" w:color="auto"/>
            </w:tcBorders>
            <w:shd w:val="clear" w:color="auto" w:fill="auto"/>
          </w:tcPr>
          <w:p w14:paraId="3FFA192A" w14:textId="77777777" w:rsidR="00D9313C" w:rsidRPr="00DE60D6" w:rsidRDefault="00D9313C" w:rsidP="00DE60D6">
            <w:pPr>
              <w:pStyle w:val="Bodytext"/>
            </w:pPr>
            <w:r w:rsidRPr="006644A8">
              <w:t xml:space="preserve">Paragraph 14.17 of the </w:t>
            </w:r>
            <w:r>
              <w:t>SORP FRS 102</w:t>
            </w:r>
            <w:r w:rsidRPr="006644A8">
              <w:t xml:space="preserve"> requires that charities using the indirect method of preparing their statement of cash flows must provide a reconciliation of net income/(expenditure) presented in the SoFA to the cash flows from operating activities presented in the statement of cash flows.</w:t>
            </w:r>
            <w:r>
              <w:t xml:space="preserve"> </w:t>
            </w:r>
            <w:r w:rsidRPr="006644A8">
              <w:t xml:space="preserve">Table 9 in the </w:t>
            </w:r>
            <w:r>
              <w:t>SORP FRS 102</w:t>
            </w:r>
            <w:r w:rsidRPr="006644A8">
              <w:t xml:space="preserve"> provide</w:t>
            </w:r>
            <w:r>
              <w:t>s</w:t>
            </w:r>
            <w:r w:rsidRPr="006644A8">
              <w:t xml:space="preserve"> an example of how the reconciliation may be set out.</w:t>
            </w:r>
          </w:p>
          <w:p w14:paraId="78A43BF8" w14:textId="438D2B7C" w:rsidR="00D9313C" w:rsidRPr="00D408DC" w:rsidRDefault="00D9313C" w:rsidP="00DE60D6">
            <w:pPr>
              <w:pStyle w:val="Bodytext"/>
              <w:rPr>
                <w:b/>
                <w:bCs/>
                <w:i/>
                <w:iCs/>
              </w:rPr>
            </w:pPr>
            <w:r w:rsidRPr="00DE60D6">
              <w:t xml:space="preserve">For those charities with borrowings and/ or finance leases, paragraph 14.17a of the SORP FRS 102 requires a reconciliation of net debt to be included in the notes to the accounts. A template for that note is provided in table 10A of the SORP FRS 102. As this charity does not have any financing activities, </w:t>
            </w:r>
            <w:r w:rsidR="00DE60D6">
              <w:t>this</w:t>
            </w:r>
            <w:r w:rsidRPr="00DE60D6">
              <w:t xml:space="preserve"> note is not required.</w:t>
            </w:r>
          </w:p>
        </w:tc>
      </w:tr>
    </w:tbl>
    <w:p w14:paraId="6831F6D8" w14:textId="77777777" w:rsidR="00D9313C" w:rsidRPr="00D408DC" w:rsidRDefault="00D9313C" w:rsidP="00DE60D6"/>
    <w:tbl>
      <w:tblPr>
        <w:tblW w:w="4941" w:type="pct"/>
        <w:tblLook w:val="01E0" w:firstRow="1" w:lastRow="1" w:firstColumn="1" w:lastColumn="1" w:noHBand="0" w:noVBand="0"/>
      </w:tblPr>
      <w:tblGrid>
        <w:gridCol w:w="8508"/>
        <w:gridCol w:w="3346"/>
        <w:gridCol w:w="2265"/>
      </w:tblGrid>
      <w:tr w:rsidR="003E31E2" w:rsidRPr="008C437A" w14:paraId="7430973F" w14:textId="77777777" w:rsidTr="00EC1B15">
        <w:tc>
          <w:tcPr>
            <w:tcW w:w="3013" w:type="pct"/>
            <w:shd w:val="clear" w:color="auto" w:fill="auto"/>
          </w:tcPr>
          <w:p w14:paraId="5FD79B07" w14:textId="77777777" w:rsidR="003E31E2" w:rsidRPr="008C437A" w:rsidRDefault="003E31E2" w:rsidP="003E31E2">
            <w:pPr>
              <w:pStyle w:val="Bodytext"/>
              <w:spacing w:after="60"/>
              <w:rPr>
                <w:b/>
              </w:rPr>
            </w:pPr>
          </w:p>
        </w:tc>
        <w:tc>
          <w:tcPr>
            <w:tcW w:w="1185" w:type="pct"/>
            <w:shd w:val="clear" w:color="auto" w:fill="D9D9D9" w:themeFill="background1" w:themeFillShade="D9"/>
          </w:tcPr>
          <w:p w14:paraId="6D022C6C" w14:textId="5538D840" w:rsidR="003E31E2" w:rsidRDefault="003E31E2" w:rsidP="003E31E2">
            <w:pPr>
              <w:pStyle w:val="Bodytext"/>
              <w:keepNext/>
              <w:spacing w:after="60"/>
              <w:jc w:val="right"/>
              <w:rPr>
                <w:b/>
              </w:rPr>
            </w:pPr>
            <w:r>
              <w:rPr>
                <w:b/>
              </w:rPr>
              <w:t>202</w:t>
            </w:r>
            <w:r w:rsidR="00A756F2">
              <w:rPr>
                <w:b/>
              </w:rPr>
              <w:t>3</w:t>
            </w:r>
            <w:r>
              <w:rPr>
                <w:b/>
              </w:rPr>
              <w:t>/2</w:t>
            </w:r>
            <w:r w:rsidR="00A756F2">
              <w:rPr>
                <w:b/>
              </w:rPr>
              <w:t>4</w:t>
            </w:r>
          </w:p>
          <w:p w14:paraId="1356F304" w14:textId="49E3E2BB" w:rsidR="003E31E2" w:rsidRPr="008C437A" w:rsidRDefault="003E31E2" w:rsidP="003E31E2">
            <w:pPr>
              <w:pStyle w:val="Bodytext"/>
              <w:spacing w:after="60"/>
              <w:jc w:val="right"/>
              <w:rPr>
                <w:b/>
              </w:rPr>
            </w:pPr>
            <w:r>
              <w:rPr>
                <w:b/>
              </w:rPr>
              <w:t>£000</w:t>
            </w:r>
          </w:p>
        </w:tc>
        <w:tc>
          <w:tcPr>
            <w:tcW w:w="802" w:type="pct"/>
            <w:shd w:val="clear" w:color="auto" w:fill="auto"/>
          </w:tcPr>
          <w:p w14:paraId="6F22915D" w14:textId="79B260D8" w:rsidR="003E31E2" w:rsidRPr="002B08DA" w:rsidRDefault="003E31E2" w:rsidP="003E31E2">
            <w:pPr>
              <w:pStyle w:val="Bodytext"/>
              <w:keepNext/>
              <w:spacing w:after="60"/>
              <w:jc w:val="right"/>
              <w:rPr>
                <w:b/>
                <w:color w:val="A6A6A6" w:themeColor="background1" w:themeShade="A6"/>
              </w:rPr>
            </w:pPr>
            <w:r>
              <w:rPr>
                <w:b/>
                <w:color w:val="A6A6A6" w:themeColor="background1" w:themeShade="A6"/>
              </w:rPr>
              <w:t>202</w:t>
            </w:r>
            <w:r w:rsidR="00A756F2">
              <w:rPr>
                <w:b/>
                <w:color w:val="A6A6A6" w:themeColor="background1" w:themeShade="A6"/>
              </w:rPr>
              <w:t>2</w:t>
            </w:r>
            <w:r>
              <w:rPr>
                <w:b/>
                <w:color w:val="A6A6A6" w:themeColor="background1" w:themeShade="A6"/>
              </w:rPr>
              <w:t>/2</w:t>
            </w:r>
            <w:r w:rsidR="00A756F2">
              <w:rPr>
                <w:b/>
                <w:color w:val="A6A6A6" w:themeColor="background1" w:themeShade="A6"/>
              </w:rPr>
              <w:t>3</w:t>
            </w:r>
          </w:p>
          <w:p w14:paraId="17C4CE72" w14:textId="6B1DBFF8" w:rsidR="003E31E2" w:rsidRPr="00F9240A" w:rsidRDefault="003E31E2" w:rsidP="003E31E2">
            <w:pPr>
              <w:pStyle w:val="Bodytext"/>
              <w:spacing w:after="60"/>
              <w:jc w:val="right"/>
              <w:rPr>
                <w:b/>
                <w:color w:val="A6A6A6" w:themeColor="background1" w:themeShade="A6"/>
              </w:rPr>
            </w:pPr>
            <w:r w:rsidRPr="002B08DA">
              <w:rPr>
                <w:b/>
                <w:color w:val="A6A6A6" w:themeColor="background1" w:themeShade="A6"/>
              </w:rPr>
              <w:t>£000</w:t>
            </w:r>
          </w:p>
        </w:tc>
      </w:tr>
      <w:tr w:rsidR="006E1D1E" w:rsidRPr="006644A8" w14:paraId="37DE1CA1" w14:textId="77777777" w:rsidTr="00EC1B15">
        <w:tc>
          <w:tcPr>
            <w:tcW w:w="3013" w:type="pct"/>
            <w:shd w:val="clear" w:color="auto" w:fill="auto"/>
          </w:tcPr>
          <w:p w14:paraId="07272FB2" w14:textId="153729BA" w:rsidR="006E1D1E" w:rsidRPr="00D408DC" w:rsidRDefault="006E1D1E" w:rsidP="006E1D1E">
            <w:pPr>
              <w:pStyle w:val="Bodytext"/>
              <w:spacing w:after="60"/>
              <w:rPr>
                <w:b/>
                <w:bCs/>
                <w:iCs/>
              </w:rPr>
            </w:pPr>
            <w:r w:rsidRPr="00D408DC">
              <w:rPr>
                <w:b/>
                <w:bCs/>
                <w:iCs/>
              </w:rPr>
              <w:t xml:space="preserve">Net income/(expenditure) for </w:t>
            </w:r>
            <w:r>
              <w:rPr>
                <w:b/>
                <w:bCs/>
                <w:iCs/>
              </w:rPr>
              <w:t>202</w:t>
            </w:r>
            <w:r w:rsidR="00A756F2">
              <w:rPr>
                <w:b/>
                <w:bCs/>
                <w:iCs/>
              </w:rPr>
              <w:t>3</w:t>
            </w:r>
            <w:r>
              <w:rPr>
                <w:b/>
                <w:bCs/>
                <w:iCs/>
              </w:rPr>
              <w:t>/2</w:t>
            </w:r>
            <w:r w:rsidR="00A756F2">
              <w:rPr>
                <w:b/>
                <w:bCs/>
                <w:iCs/>
              </w:rPr>
              <w:t>4</w:t>
            </w:r>
            <w:r w:rsidRPr="00D408DC">
              <w:rPr>
                <w:b/>
                <w:bCs/>
                <w:iCs/>
              </w:rPr>
              <w:t xml:space="preserve"> (as per the </w:t>
            </w:r>
            <w:r w:rsidR="00342FDC">
              <w:rPr>
                <w:b/>
                <w:bCs/>
                <w:iCs/>
              </w:rPr>
              <w:t>s</w:t>
            </w:r>
            <w:r w:rsidRPr="00D408DC">
              <w:rPr>
                <w:b/>
                <w:bCs/>
                <w:iCs/>
              </w:rPr>
              <w:t xml:space="preserve">tatement of </w:t>
            </w:r>
            <w:r w:rsidR="00342FDC">
              <w:rPr>
                <w:b/>
                <w:bCs/>
                <w:iCs/>
              </w:rPr>
              <w:t>f</w:t>
            </w:r>
            <w:r w:rsidRPr="00D408DC">
              <w:rPr>
                <w:b/>
                <w:bCs/>
                <w:iCs/>
              </w:rPr>
              <w:t xml:space="preserve">inancial </w:t>
            </w:r>
            <w:r w:rsidR="00342FDC">
              <w:rPr>
                <w:b/>
                <w:bCs/>
                <w:iCs/>
              </w:rPr>
              <w:t>a</w:t>
            </w:r>
            <w:r w:rsidRPr="00D408DC">
              <w:rPr>
                <w:b/>
                <w:bCs/>
                <w:iCs/>
              </w:rPr>
              <w:t>ctivities)</w:t>
            </w:r>
          </w:p>
        </w:tc>
        <w:tc>
          <w:tcPr>
            <w:tcW w:w="1185" w:type="pct"/>
            <w:shd w:val="clear" w:color="auto" w:fill="D9D9D9" w:themeFill="background1" w:themeFillShade="D9"/>
            <w:vAlign w:val="center"/>
          </w:tcPr>
          <w:p w14:paraId="6CC6815E" w14:textId="0386CAE8" w:rsidR="006E1D1E" w:rsidRPr="00D201F5" w:rsidRDefault="006E1D1E" w:rsidP="006E1D1E">
            <w:pPr>
              <w:pStyle w:val="Bodytext"/>
              <w:jc w:val="right"/>
            </w:pPr>
            <w:r>
              <w:rPr>
                <w:rFonts w:cs="Arial"/>
                <w:color w:val="424141"/>
                <w:szCs w:val="22"/>
              </w:rPr>
              <w:t>-1,3</w:t>
            </w:r>
            <w:r w:rsidR="004B6A5D">
              <w:rPr>
                <w:rFonts w:cs="Arial"/>
                <w:color w:val="424141"/>
                <w:szCs w:val="22"/>
              </w:rPr>
              <w:t>24</w:t>
            </w:r>
            <w:r>
              <w:rPr>
                <w:rFonts w:cs="Arial"/>
                <w:color w:val="424141"/>
                <w:szCs w:val="22"/>
              </w:rPr>
              <w:t xml:space="preserve"> </w:t>
            </w:r>
          </w:p>
        </w:tc>
        <w:tc>
          <w:tcPr>
            <w:tcW w:w="802" w:type="pct"/>
            <w:shd w:val="clear" w:color="auto" w:fill="auto"/>
            <w:vAlign w:val="center"/>
          </w:tcPr>
          <w:p w14:paraId="2D47D5B4" w14:textId="5D78ACD5" w:rsidR="006E1D1E" w:rsidRPr="00D201F5" w:rsidRDefault="006E1D1E" w:rsidP="006E1D1E">
            <w:pPr>
              <w:pStyle w:val="Bodytext"/>
              <w:spacing w:after="60"/>
              <w:jc w:val="right"/>
              <w:rPr>
                <w:color w:val="A6A6A6" w:themeColor="background1" w:themeShade="A6"/>
              </w:rPr>
            </w:pPr>
            <w:r>
              <w:rPr>
                <w:rFonts w:cs="Arial"/>
                <w:color w:val="424141"/>
                <w:szCs w:val="22"/>
              </w:rPr>
              <w:t>-</w:t>
            </w:r>
            <w:r w:rsidR="003214E4">
              <w:rPr>
                <w:rFonts w:cs="Arial"/>
                <w:color w:val="424141"/>
                <w:szCs w:val="22"/>
              </w:rPr>
              <w:t>1,0</w:t>
            </w:r>
            <w:r>
              <w:rPr>
                <w:rFonts w:cs="Arial"/>
                <w:color w:val="424141"/>
                <w:szCs w:val="22"/>
              </w:rPr>
              <w:t xml:space="preserve">30 </w:t>
            </w:r>
          </w:p>
        </w:tc>
      </w:tr>
      <w:tr w:rsidR="00D201F5" w:rsidRPr="006644A8" w14:paraId="28B7AEA2" w14:textId="77777777" w:rsidTr="00EC1B15">
        <w:tc>
          <w:tcPr>
            <w:tcW w:w="3013" w:type="pct"/>
            <w:shd w:val="clear" w:color="auto" w:fill="auto"/>
          </w:tcPr>
          <w:p w14:paraId="5EFD15D7" w14:textId="77777777" w:rsidR="00D201F5" w:rsidRPr="006644A8" w:rsidRDefault="00D201F5" w:rsidP="00D201F5">
            <w:pPr>
              <w:pStyle w:val="Bodytext"/>
              <w:spacing w:after="60"/>
            </w:pPr>
            <w:r w:rsidRPr="006644A8">
              <w:t>Adjustments for:</w:t>
            </w:r>
          </w:p>
        </w:tc>
        <w:tc>
          <w:tcPr>
            <w:tcW w:w="1185" w:type="pct"/>
            <w:shd w:val="clear" w:color="auto" w:fill="D9D9D9" w:themeFill="background1" w:themeFillShade="D9"/>
            <w:vAlign w:val="center"/>
          </w:tcPr>
          <w:p w14:paraId="2E3BD2A4" w14:textId="5854E444" w:rsidR="00D201F5" w:rsidRPr="00D201F5" w:rsidRDefault="00D201F5" w:rsidP="00D201F5">
            <w:pPr>
              <w:pStyle w:val="Bodytext"/>
              <w:jc w:val="right"/>
            </w:pPr>
            <w:r w:rsidRPr="00D201F5">
              <w:t> </w:t>
            </w:r>
          </w:p>
        </w:tc>
        <w:tc>
          <w:tcPr>
            <w:tcW w:w="802" w:type="pct"/>
            <w:shd w:val="clear" w:color="auto" w:fill="auto"/>
            <w:vAlign w:val="center"/>
          </w:tcPr>
          <w:p w14:paraId="480CA8E2" w14:textId="77777777" w:rsidR="00D201F5" w:rsidRPr="00D201F5" w:rsidRDefault="00D201F5" w:rsidP="00D201F5">
            <w:pPr>
              <w:pStyle w:val="Bodytext"/>
              <w:spacing w:after="60"/>
              <w:jc w:val="right"/>
              <w:rPr>
                <w:color w:val="A6A6A6" w:themeColor="background1" w:themeShade="A6"/>
              </w:rPr>
            </w:pPr>
          </w:p>
        </w:tc>
      </w:tr>
      <w:tr w:rsidR="00951840" w:rsidRPr="006644A8" w14:paraId="018377B2" w14:textId="77777777" w:rsidTr="00EC1B15">
        <w:tc>
          <w:tcPr>
            <w:tcW w:w="3013" w:type="pct"/>
            <w:shd w:val="clear" w:color="auto" w:fill="auto"/>
          </w:tcPr>
          <w:p w14:paraId="52F543BB" w14:textId="77777777" w:rsidR="00951840" w:rsidRPr="00B0765D" w:rsidRDefault="00951840" w:rsidP="00951840">
            <w:pPr>
              <w:pStyle w:val="Bullet"/>
            </w:pPr>
            <w:r w:rsidRPr="00B0765D">
              <w:t>(Gains)/losses on investments</w:t>
            </w:r>
          </w:p>
        </w:tc>
        <w:tc>
          <w:tcPr>
            <w:tcW w:w="1185" w:type="pct"/>
            <w:shd w:val="clear" w:color="auto" w:fill="D9D9D9" w:themeFill="background1" w:themeFillShade="D9"/>
            <w:vAlign w:val="center"/>
          </w:tcPr>
          <w:p w14:paraId="2634331A" w14:textId="13B56E24" w:rsidR="00951840" w:rsidRPr="00D201F5" w:rsidRDefault="00951840" w:rsidP="00951840">
            <w:pPr>
              <w:pStyle w:val="Bodytext"/>
              <w:jc w:val="right"/>
            </w:pPr>
            <w:r>
              <w:rPr>
                <w:rFonts w:cs="Arial"/>
                <w:color w:val="424141"/>
                <w:szCs w:val="22"/>
              </w:rPr>
              <w:t xml:space="preserve">474 </w:t>
            </w:r>
          </w:p>
        </w:tc>
        <w:tc>
          <w:tcPr>
            <w:tcW w:w="802" w:type="pct"/>
            <w:shd w:val="clear" w:color="auto" w:fill="auto"/>
            <w:vAlign w:val="center"/>
          </w:tcPr>
          <w:p w14:paraId="3B9941F0" w14:textId="7468D261" w:rsidR="00951840" w:rsidRPr="00D201F5" w:rsidRDefault="00951840" w:rsidP="00951840">
            <w:pPr>
              <w:pStyle w:val="Bodytext"/>
              <w:spacing w:after="60"/>
              <w:jc w:val="right"/>
              <w:rPr>
                <w:color w:val="A6A6A6" w:themeColor="background1" w:themeShade="A6"/>
              </w:rPr>
            </w:pPr>
            <w:r>
              <w:rPr>
                <w:rFonts w:cs="Arial"/>
                <w:color w:val="424141"/>
                <w:szCs w:val="22"/>
              </w:rPr>
              <w:t>-</w:t>
            </w:r>
            <w:r w:rsidR="003214E4">
              <w:rPr>
                <w:rFonts w:cs="Arial"/>
                <w:color w:val="424141"/>
                <w:szCs w:val="22"/>
              </w:rPr>
              <w:t>1</w:t>
            </w:r>
            <w:r>
              <w:rPr>
                <w:rFonts w:cs="Arial"/>
                <w:color w:val="424141"/>
                <w:szCs w:val="22"/>
              </w:rPr>
              <w:t xml:space="preserve">,460 </w:t>
            </w:r>
          </w:p>
        </w:tc>
      </w:tr>
      <w:tr w:rsidR="00951840" w:rsidRPr="006644A8" w14:paraId="030BB634" w14:textId="77777777" w:rsidTr="00EC1B15">
        <w:tc>
          <w:tcPr>
            <w:tcW w:w="3013" w:type="pct"/>
            <w:shd w:val="clear" w:color="auto" w:fill="auto"/>
          </w:tcPr>
          <w:p w14:paraId="2B93A389" w14:textId="77777777" w:rsidR="00951840" w:rsidRPr="00B0765D" w:rsidRDefault="00951840" w:rsidP="00951840">
            <w:pPr>
              <w:pStyle w:val="Bullet"/>
            </w:pPr>
            <w:r w:rsidRPr="00B0765D">
              <w:t>Dividends, interest and rents from investments</w:t>
            </w:r>
          </w:p>
        </w:tc>
        <w:tc>
          <w:tcPr>
            <w:tcW w:w="1185" w:type="pct"/>
            <w:shd w:val="clear" w:color="auto" w:fill="D9D9D9" w:themeFill="background1" w:themeFillShade="D9"/>
            <w:vAlign w:val="center"/>
          </w:tcPr>
          <w:p w14:paraId="59F57744" w14:textId="324F25DC" w:rsidR="00951840" w:rsidRPr="00D201F5" w:rsidRDefault="00951840" w:rsidP="00951840">
            <w:pPr>
              <w:pStyle w:val="Bodytext"/>
              <w:jc w:val="right"/>
            </w:pPr>
            <w:r>
              <w:rPr>
                <w:rFonts w:cs="Arial"/>
                <w:color w:val="424141"/>
                <w:szCs w:val="22"/>
              </w:rPr>
              <w:t xml:space="preserve">-414 </w:t>
            </w:r>
          </w:p>
        </w:tc>
        <w:tc>
          <w:tcPr>
            <w:tcW w:w="802" w:type="pct"/>
            <w:shd w:val="clear" w:color="auto" w:fill="auto"/>
            <w:vAlign w:val="center"/>
          </w:tcPr>
          <w:p w14:paraId="38ED4F65" w14:textId="216C270A" w:rsidR="00951840" w:rsidRPr="00D201F5" w:rsidRDefault="00951840" w:rsidP="00951840">
            <w:pPr>
              <w:pStyle w:val="Bodytext"/>
              <w:spacing w:after="60"/>
              <w:jc w:val="right"/>
              <w:rPr>
                <w:color w:val="A6A6A6" w:themeColor="background1" w:themeShade="A6"/>
              </w:rPr>
            </w:pPr>
            <w:r>
              <w:rPr>
                <w:rFonts w:cs="Arial"/>
                <w:color w:val="424141"/>
                <w:szCs w:val="22"/>
              </w:rPr>
              <w:t xml:space="preserve">-408 </w:t>
            </w:r>
          </w:p>
        </w:tc>
      </w:tr>
      <w:tr w:rsidR="00951840" w:rsidRPr="006644A8" w14:paraId="66186F8F" w14:textId="77777777" w:rsidTr="00700602">
        <w:tc>
          <w:tcPr>
            <w:tcW w:w="3013" w:type="pct"/>
            <w:shd w:val="clear" w:color="auto" w:fill="auto"/>
          </w:tcPr>
          <w:p w14:paraId="7CD1E3BF" w14:textId="77777777" w:rsidR="00951840" w:rsidRPr="00B0765D" w:rsidRDefault="00951840" w:rsidP="00951840">
            <w:pPr>
              <w:pStyle w:val="Bullet"/>
            </w:pPr>
            <w:r w:rsidRPr="00B0765D">
              <w:t>(Increase)/decrease in debtors</w:t>
            </w:r>
          </w:p>
        </w:tc>
        <w:tc>
          <w:tcPr>
            <w:tcW w:w="1185" w:type="pct"/>
            <w:shd w:val="clear" w:color="auto" w:fill="D9D9D9" w:themeFill="background1" w:themeFillShade="D9"/>
            <w:vAlign w:val="center"/>
          </w:tcPr>
          <w:p w14:paraId="1B1AFFE3" w14:textId="1A686F71" w:rsidR="00951840" w:rsidRPr="00D201F5" w:rsidRDefault="00951840" w:rsidP="00951840">
            <w:pPr>
              <w:pStyle w:val="Bodytext"/>
              <w:jc w:val="right"/>
            </w:pPr>
            <w:r>
              <w:rPr>
                <w:rFonts w:cs="Arial"/>
                <w:color w:val="424141"/>
                <w:szCs w:val="22"/>
              </w:rPr>
              <w:t>-1</w:t>
            </w:r>
            <w:r w:rsidR="007645AD">
              <w:rPr>
                <w:rFonts w:cs="Arial"/>
                <w:color w:val="424141"/>
                <w:szCs w:val="22"/>
              </w:rPr>
              <w:t>4</w:t>
            </w:r>
            <w:r>
              <w:rPr>
                <w:rFonts w:cs="Arial"/>
                <w:color w:val="424141"/>
                <w:szCs w:val="22"/>
              </w:rPr>
              <w:t xml:space="preserve"> </w:t>
            </w:r>
          </w:p>
        </w:tc>
        <w:tc>
          <w:tcPr>
            <w:tcW w:w="802" w:type="pct"/>
            <w:shd w:val="clear" w:color="auto" w:fill="auto"/>
            <w:vAlign w:val="center"/>
          </w:tcPr>
          <w:p w14:paraId="75D777B6" w14:textId="33880E67" w:rsidR="00951840" w:rsidRPr="00D201F5" w:rsidRDefault="00951840" w:rsidP="00951840">
            <w:pPr>
              <w:pStyle w:val="Bodytext"/>
              <w:spacing w:after="60"/>
              <w:jc w:val="right"/>
              <w:rPr>
                <w:color w:val="A6A6A6" w:themeColor="background1" w:themeShade="A6"/>
              </w:rPr>
            </w:pPr>
            <w:r>
              <w:rPr>
                <w:rFonts w:cs="Arial"/>
                <w:color w:val="424141"/>
                <w:szCs w:val="22"/>
              </w:rPr>
              <w:t xml:space="preserve">750 </w:t>
            </w:r>
          </w:p>
        </w:tc>
      </w:tr>
      <w:tr w:rsidR="00951840" w:rsidRPr="006644A8" w14:paraId="3D4F1E99" w14:textId="77777777" w:rsidTr="006508A2">
        <w:tc>
          <w:tcPr>
            <w:tcW w:w="3013" w:type="pct"/>
            <w:shd w:val="clear" w:color="auto" w:fill="auto"/>
          </w:tcPr>
          <w:p w14:paraId="527CB743" w14:textId="77777777" w:rsidR="00951840" w:rsidRPr="00B0765D" w:rsidRDefault="00951840" w:rsidP="00951840">
            <w:pPr>
              <w:pStyle w:val="Bullet"/>
            </w:pPr>
            <w:r w:rsidRPr="00B0765D">
              <w:t>Increase/(decrease) in creditors</w:t>
            </w:r>
          </w:p>
        </w:tc>
        <w:tc>
          <w:tcPr>
            <w:tcW w:w="1185" w:type="pct"/>
            <w:tcBorders>
              <w:bottom w:val="single" w:sz="4" w:space="0" w:color="auto"/>
            </w:tcBorders>
            <w:shd w:val="clear" w:color="auto" w:fill="D9D9D9" w:themeFill="background1" w:themeFillShade="D9"/>
            <w:vAlign w:val="center"/>
          </w:tcPr>
          <w:p w14:paraId="158F57EA" w14:textId="059D62C8" w:rsidR="00951840" w:rsidRPr="00D201F5" w:rsidRDefault="00951840" w:rsidP="00951840">
            <w:pPr>
              <w:pStyle w:val="Bodytext"/>
              <w:jc w:val="right"/>
            </w:pPr>
            <w:r>
              <w:rPr>
                <w:rFonts w:cs="Arial"/>
                <w:color w:val="424141"/>
                <w:szCs w:val="22"/>
              </w:rPr>
              <w:t xml:space="preserve">119 </w:t>
            </w:r>
          </w:p>
        </w:tc>
        <w:tc>
          <w:tcPr>
            <w:tcW w:w="802" w:type="pct"/>
            <w:tcBorders>
              <w:bottom w:val="single" w:sz="4" w:space="0" w:color="auto"/>
            </w:tcBorders>
            <w:shd w:val="clear" w:color="auto" w:fill="auto"/>
            <w:vAlign w:val="center"/>
          </w:tcPr>
          <w:p w14:paraId="372C65EE" w14:textId="46CA0478" w:rsidR="00951840" w:rsidRPr="00D201F5" w:rsidRDefault="00FB354D" w:rsidP="00951840">
            <w:pPr>
              <w:pStyle w:val="Bodytext"/>
              <w:spacing w:after="60"/>
              <w:jc w:val="right"/>
              <w:rPr>
                <w:color w:val="A6A6A6" w:themeColor="background1" w:themeShade="A6"/>
              </w:rPr>
            </w:pPr>
            <w:r>
              <w:rPr>
                <w:rFonts w:cs="Arial"/>
                <w:color w:val="424141"/>
                <w:szCs w:val="22"/>
              </w:rPr>
              <w:t xml:space="preserve">616 </w:t>
            </w:r>
          </w:p>
        </w:tc>
      </w:tr>
      <w:tr w:rsidR="00B51B9F" w:rsidRPr="008170A4" w14:paraId="3C31E4C2" w14:textId="77777777" w:rsidTr="006508A2">
        <w:tc>
          <w:tcPr>
            <w:tcW w:w="3013" w:type="pct"/>
            <w:shd w:val="clear" w:color="auto" w:fill="auto"/>
          </w:tcPr>
          <w:p w14:paraId="1F55A3D5" w14:textId="77777777" w:rsidR="00B51B9F" w:rsidRPr="00D408DC" w:rsidRDefault="00B51B9F" w:rsidP="00B51B9F">
            <w:pPr>
              <w:pStyle w:val="Bodytext"/>
              <w:spacing w:after="60"/>
              <w:rPr>
                <w:b/>
                <w:bCs/>
                <w:iCs/>
              </w:rPr>
            </w:pPr>
            <w:r w:rsidRPr="00D408DC">
              <w:rPr>
                <w:b/>
                <w:bCs/>
                <w:iCs/>
              </w:rPr>
              <w:t>Net cash provided by (used in) operating activities</w:t>
            </w:r>
          </w:p>
        </w:tc>
        <w:tc>
          <w:tcPr>
            <w:tcW w:w="1185" w:type="pct"/>
            <w:tcBorders>
              <w:top w:val="single" w:sz="4" w:space="0" w:color="auto"/>
              <w:bottom w:val="double" w:sz="4" w:space="0" w:color="auto"/>
            </w:tcBorders>
            <w:shd w:val="clear" w:color="auto" w:fill="D9D9D9" w:themeFill="background1" w:themeFillShade="D9"/>
            <w:vAlign w:val="center"/>
          </w:tcPr>
          <w:p w14:paraId="337AEA76" w14:textId="020D74D5" w:rsidR="00B51B9F" w:rsidRPr="00D201F5" w:rsidRDefault="00B51B9F" w:rsidP="00B51B9F">
            <w:pPr>
              <w:pStyle w:val="Bodytext"/>
              <w:jc w:val="right"/>
            </w:pPr>
            <w:r>
              <w:rPr>
                <w:rFonts w:cs="Arial"/>
                <w:b/>
                <w:bCs/>
                <w:color w:val="424141"/>
                <w:szCs w:val="22"/>
              </w:rPr>
              <w:t>-1,1</w:t>
            </w:r>
            <w:r w:rsidR="003214E4">
              <w:rPr>
                <w:rFonts w:cs="Arial"/>
                <w:b/>
                <w:bCs/>
                <w:color w:val="424141"/>
                <w:szCs w:val="22"/>
              </w:rPr>
              <w:t>59</w:t>
            </w:r>
            <w:r>
              <w:rPr>
                <w:rFonts w:cs="Arial"/>
                <w:b/>
                <w:bCs/>
                <w:color w:val="424141"/>
                <w:szCs w:val="22"/>
              </w:rPr>
              <w:t xml:space="preserve"> </w:t>
            </w:r>
          </w:p>
        </w:tc>
        <w:tc>
          <w:tcPr>
            <w:tcW w:w="802" w:type="pct"/>
            <w:tcBorders>
              <w:top w:val="single" w:sz="4" w:space="0" w:color="auto"/>
              <w:bottom w:val="double" w:sz="4" w:space="0" w:color="auto"/>
            </w:tcBorders>
            <w:shd w:val="clear" w:color="auto" w:fill="auto"/>
            <w:vAlign w:val="center"/>
          </w:tcPr>
          <w:p w14:paraId="0D8180AB" w14:textId="77EA42EA" w:rsidR="00B51B9F" w:rsidRPr="00D201F5" w:rsidRDefault="00B51B9F" w:rsidP="00B51B9F">
            <w:pPr>
              <w:pStyle w:val="Bodytext"/>
              <w:spacing w:after="60"/>
              <w:jc w:val="right"/>
              <w:rPr>
                <w:b/>
                <w:bCs/>
                <w:iCs/>
                <w:color w:val="A6A6A6" w:themeColor="background1" w:themeShade="A6"/>
              </w:rPr>
            </w:pPr>
            <w:r>
              <w:rPr>
                <w:rFonts w:cs="Arial"/>
                <w:b/>
                <w:bCs/>
                <w:color w:val="424141"/>
                <w:szCs w:val="22"/>
              </w:rPr>
              <w:t xml:space="preserve">-1,532 </w:t>
            </w:r>
          </w:p>
        </w:tc>
      </w:tr>
    </w:tbl>
    <w:p w14:paraId="6F3A3797" w14:textId="77777777" w:rsidR="001F53B7" w:rsidRDefault="001F53B7" w:rsidP="00137A7E">
      <w:pPr>
        <w:pStyle w:val="TableTitle"/>
      </w:pPr>
    </w:p>
    <w:p w14:paraId="6121A8A3" w14:textId="5D03A0BC" w:rsidR="00D9313C" w:rsidRPr="006644A8" w:rsidRDefault="00D9313C" w:rsidP="00137A7E">
      <w:pPr>
        <w:pStyle w:val="TableTitle"/>
        <w:rPr>
          <w:i/>
        </w:rPr>
      </w:pPr>
      <w:r>
        <w:t xml:space="preserve">21 </w:t>
      </w:r>
      <w:r w:rsidRPr="006644A8">
        <w:t>Transfers between funds</w:t>
      </w:r>
    </w:p>
    <w:tbl>
      <w:tblPr>
        <w:tblStyle w:val="TableGrid"/>
        <w:tblW w:w="5000" w:type="pct"/>
        <w:tblLook w:val="04A0" w:firstRow="1" w:lastRow="0" w:firstColumn="1" w:lastColumn="0" w:noHBand="0" w:noVBand="1"/>
      </w:tblPr>
      <w:tblGrid>
        <w:gridCol w:w="14278"/>
      </w:tblGrid>
      <w:tr w:rsidR="00D9313C" w14:paraId="76D4A405" w14:textId="77777777" w:rsidTr="00EC1B15">
        <w:tc>
          <w:tcPr>
            <w:tcW w:w="5000" w:type="pct"/>
          </w:tcPr>
          <w:p w14:paraId="634F5DF6" w14:textId="77777777" w:rsidR="00D9313C" w:rsidRDefault="00D9313C" w:rsidP="00EC1B15">
            <w:pPr>
              <w:pStyle w:val="Bodytext"/>
            </w:pPr>
            <w:r>
              <w:t>Paragraph 2.26 of the SORP FRS 102 sets out the reasons that transfers may be made between funds. Paragraph 2.29 requires that details of the reasons for any material transfers should be disclosed in the notes to the accounts.</w:t>
            </w:r>
          </w:p>
        </w:tc>
      </w:tr>
    </w:tbl>
    <w:p w14:paraId="56A5451B" w14:textId="77777777" w:rsidR="00D9313C" w:rsidRPr="006644A8" w:rsidRDefault="00D9313C" w:rsidP="00D9313C">
      <w:pPr>
        <w:tabs>
          <w:tab w:val="left" w:pos="9072"/>
        </w:tabs>
        <w:ind w:right="249"/>
        <w:rPr>
          <w:rFonts w:asciiTheme="minorHAnsi" w:hAnsiTheme="minorHAnsi" w:cstheme="minorHAnsi"/>
          <w:szCs w:val="22"/>
        </w:rPr>
      </w:pPr>
    </w:p>
    <w:p w14:paraId="1D590F3A" w14:textId="77777777" w:rsidR="00D9313C" w:rsidRDefault="00D9313C" w:rsidP="00D9313C">
      <w:pPr>
        <w:pStyle w:val="Bodytext"/>
        <w:sectPr w:rsidR="00D9313C" w:rsidSect="00237BC5">
          <w:pgSz w:w="16840" w:h="11900" w:orient="landscape"/>
          <w:pgMar w:top="1021" w:right="1701" w:bottom="1021" w:left="851" w:header="851" w:footer="851" w:gutter="0"/>
          <w:cols w:space="720"/>
          <w:titlePg/>
          <w:docGrid w:linePitch="360"/>
        </w:sectPr>
      </w:pPr>
    </w:p>
    <w:p w14:paraId="7CA9E58E" w14:textId="77777777" w:rsidR="00D9313C" w:rsidRDefault="00D9313C" w:rsidP="00D9313C">
      <w:pPr>
        <w:pStyle w:val="Bodytext"/>
      </w:pPr>
      <w:r>
        <w:t xml:space="preserve">During the year </w:t>
      </w:r>
      <w:r w:rsidRPr="006644A8">
        <w:t xml:space="preserve">£22,000 </w:t>
      </w:r>
      <w:r>
        <w:t xml:space="preserve">was transferred </w:t>
      </w:r>
      <w:r w:rsidRPr="006644A8">
        <w:t xml:space="preserve">from restricted funds to unrestricted funds </w:t>
      </w:r>
      <w:r>
        <w:t>when the</w:t>
      </w:r>
      <w:r w:rsidRPr="006644A8">
        <w:t xml:space="preserve"> Dexa Scanner </w:t>
      </w:r>
      <w:r>
        <w:t xml:space="preserve">was purchased </w:t>
      </w:r>
      <w:r w:rsidRPr="006644A8">
        <w:t xml:space="preserve">for the </w:t>
      </w:r>
      <w:r>
        <w:t>Healthville</w:t>
      </w:r>
      <w:r w:rsidRPr="006644A8">
        <w:t xml:space="preserve"> </w:t>
      </w:r>
      <w:r>
        <w:t>H</w:t>
      </w:r>
      <w:r w:rsidRPr="006644A8">
        <w:t>ospital.</w:t>
      </w:r>
      <w:r>
        <w:t xml:space="preserve"> The restriction on the fund was the purchase of the Scanner so as the fund’s objective was met the HHFT board meeting as corporate trustee decided to transfer the balance on the </w:t>
      </w:r>
      <w:r>
        <w:t>fund to unrestricted funds in accordance with the wishes of the donors to that fund.</w:t>
      </w:r>
    </w:p>
    <w:p w14:paraId="1CD86F5A" w14:textId="77777777" w:rsidR="00D9313C" w:rsidRPr="006644A8" w:rsidRDefault="00D9313C" w:rsidP="00D9313C">
      <w:pPr>
        <w:pStyle w:val="Bodytext"/>
      </w:pPr>
      <w:r>
        <w:t xml:space="preserve"> </w:t>
      </w:r>
    </w:p>
    <w:p w14:paraId="36347F6D" w14:textId="77777777" w:rsidR="00D9313C" w:rsidRDefault="00D9313C" w:rsidP="00D9313C">
      <w:pPr>
        <w:pStyle w:val="Heading3"/>
        <w:sectPr w:rsidR="00D9313C" w:rsidSect="00237BC5">
          <w:type w:val="continuous"/>
          <w:pgSz w:w="16840" w:h="11900" w:orient="landscape"/>
          <w:pgMar w:top="1021" w:right="1701" w:bottom="1021" w:left="851" w:header="851" w:footer="851" w:gutter="0"/>
          <w:cols w:num="2" w:space="720"/>
          <w:titlePg/>
          <w:docGrid w:linePitch="360"/>
        </w:sectPr>
      </w:pPr>
    </w:p>
    <w:p w14:paraId="2F6EA25B" w14:textId="77777777" w:rsidR="001F53B7" w:rsidRDefault="001F53B7" w:rsidP="00137A7E">
      <w:pPr>
        <w:pStyle w:val="TableTitle"/>
      </w:pPr>
    </w:p>
    <w:p w14:paraId="046E4E66" w14:textId="77777777" w:rsidR="001F53B7" w:rsidRDefault="001F53B7" w:rsidP="00137A7E">
      <w:pPr>
        <w:pStyle w:val="TableTitle"/>
      </w:pPr>
    </w:p>
    <w:p w14:paraId="17094720" w14:textId="50D131BF" w:rsidR="00D9313C" w:rsidRPr="006644A8" w:rsidRDefault="00D9313C" w:rsidP="00137A7E">
      <w:pPr>
        <w:pStyle w:val="TableTitle"/>
      </w:pPr>
      <w:r>
        <w:t xml:space="preserve">22 </w:t>
      </w:r>
      <w:r w:rsidRPr="006644A8">
        <w:t>Analysis of charitable funds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8"/>
      </w:tblGrid>
      <w:tr w:rsidR="00D9313C" w:rsidRPr="006644A8" w14:paraId="67A82BB7" w14:textId="77777777" w:rsidTr="00EC1B15">
        <w:tc>
          <w:tcPr>
            <w:tcW w:w="5000" w:type="pct"/>
            <w:shd w:val="clear" w:color="auto" w:fill="auto"/>
          </w:tcPr>
          <w:p w14:paraId="59FA57E3" w14:textId="77777777" w:rsidR="00D9313C" w:rsidRPr="00D86892" w:rsidRDefault="00D9313C" w:rsidP="00EC1B15">
            <w:pPr>
              <w:pStyle w:val="Bodytext"/>
            </w:pPr>
            <w:r w:rsidRPr="00D86892">
              <w:t xml:space="preserve">Paragraph 2.29 of the </w:t>
            </w:r>
            <w:r>
              <w:t>SORP FRS 102</w:t>
            </w:r>
            <w:r w:rsidRPr="00D86892">
              <w:t xml:space="preserve"> sets out the disclosure requirements in relation to the charitable funds:</w:t>
            </w:r>
          </w:p>
          <w:p w14:paraId="740A8151" w14:textId="77777777" w:rsidR="00D9313C" w:rsidRPr="00137A7E" w:rsidRDefault="00D9313C" w:rsidP="00137A7E">
            <w:pPr>
              <w:pStyle w:val="Bullet"/>
            </w:pPr>
            <w:r w:rsidRPr="00137A7E">
              <w:t>a summary of the assets and liabilities of each category of fund of the charity, if not provided by presenting this information in a columnar balance sheet</w:t>
            </w:r>
          </w:p>
          <w:p w14:paraId="5210092B" w14:textId="77777777" w:rsidR="00D9313C" w:rsidRPr="00137A7E" w:rsidRDefault="00D9313C" w:rsidP="00137A7E">
            <w:pPr>
              <w:pStyle w:val="Bullet"/>
            </w:pPr>
            <w:r w:rsidRPr="00137A7E">
              <w:t>details of the purposes and trust law restrictions imposed on each material individual fund</w:t>
            </w:r>
          </w:p>
          <w:p w14:paraId="4C3CA37E" w14:textId="77777777" w:rsidR="00D9313C" w:rsidRPr="00137A7E" w:rsidRDefault="00D9313C" w:rsidP="00137A7E">
            <w:pPr>
              <w:pStyle w:val="Bullet"/>
            </w:pPr>
            <w:r w:rsidRPr="00137A7E">
              <w:t>details of the movements on material individual funds in the reporting period, reconciling the opening and closing fund balance (small funds with similar purposes may be aggregated)</w:t>
            </w:r>
          </w:p>
          <w:p w14:paraId="4D58EFB1" w14:textId="77777777" w:rsidR="00D9313C" w:rsidRPr="00137A7E" w:rsidRDefault="00D9313C" w:rsidP="00137A7E">
            <w:pPr>
              <w:pStyle w:val="Bullet"/>
            </w:pPr>
            <w:r w:rsidRPr="00137A7E">
              <w:t>details of the reasons for any material transfers between different classes of funds</w:t>
            </w:r>
          </w:p>
          <w:p w14:paraId="67F027C0" w14:textId="77777777" w:rsidR="00D9313C" w:rsidRPr="00137A7E" w:rsidRDefault="00D9313C" w:rsidP="00137A7E">
            <w:pPr>
              <w:pStyle w:val="Bullet"/>
            </w:pPr>
            <w:r w:rsidRPr="00137A7E">
              <w:t>where endowment has been converted to income, details of the amount(s) converted and the legal power for its conversion</w:t>
            </w:r>
          </w:p>
          <w:p w14:paraId="0331D169" w14:textId="77777777" w:rsidR="00D9313C" w:rsidRPr="00137A7E" w:rsidRDefault="00D9313C" w:rsidP="00137A7E">
            <w:pPr>
              <w:pStyle w:val="Bullet"/>
            </w:pPr>
            <w:r w:rsidRPr="00137A7E">
              <w:t>where the trustees have a power to invest permanent endowment on a total return basis, the details of the movements in the value of unapplied total return for the reporting period (refer to the SORP module ‘Total return (investments)’)</w:t>
            </w:r>
          </w:p>
          <w:p w14:paraId="293B68C3" w14:textId="77777777" w:rsidR="00D9313C" w:rsidRPr="00D86892" w:rsidRDefault="00D9313C" w:rsidP="00137A7E">
            <w:pPr>
              <w:pStyle w:val="Bullet"/>
            </w:pPr>
            <w:r w:rsidRPr="00137A7E">
              <w:t>details of the</w:t>
            </w:r>
            <w:r w:rsidRPr="00D86892">
              <w:t xml:space="preserve"> planned use of any material designated funds, explaining the purpose of the designation.</w:t>
            </w:r>
          </w:p>
          <w:p w14:paraId="672EBC7C" w14:textId="77777777" w:rsidR="00D9313C" w:rsidRDefault="00D9313C" w:rsidP="00EC1B15">
            <w:pPr>
              <w:pStyle w:val="Bodytext"/>
              <w:rPr>
                <w:rFonts w:eastAsiaTheme="minorHAnsi"/>
                <w:iCs/>
              </w:rPr>
            </w:pPr>
            <w:r w:rsidRPr="00D86892">
              <w:rPr>
                <w:rFonts w:eastAsiaTheme="minorHAnsi"/>
                <w:iCs/>
              </w:rPr>
              <w:t>This note provides this information.</w:t>
            </w:r>
            <w:r>
              <w:rPr>
                <w:rFonts w:eastAsiaTheme="minorHAnsi"/>
                <w:iCs/>
              </w:rPr>
              <w:t xml:space="preserve"> </w:t>
            </w:r>
            <w:r w:rsidRPr="00D86892">
              <w:rPr>
                <w:rFonts w:eastAsiaTheme="minorHAnsi"/>
                <w:iCs/>
              </w:rPr>
              <w:t xml:space="preserve">The </w:t>
            </w:r>
            <w:r>
              <w:rPr>
                <w:rFonts w:eastAsiaTheme="minorHAnsi"/>
                <w:iCs/>
              </w:rPr>
              <w:t>charitable funds committee</w:t>
            </w:r>
            <w:r w:rsidRPr="00D86892">
              <w:rPr>
                <w:rFonts w:eastAsiaTheme="minorHAnsi"/>
                <w:iCs/>
              </w:rPr>
              <w:t xml:space="preserve"> ha</w:t>
            </w:r>
            <w:r>
              <w:rPr>
                <w:rFonts w:eastAsiaTheme="minorHAnsi"/>
                <w:iCs/>
              </w:rPr>
              <w:t>s</w:t>
            </w:r>
            <w:r w:rsidRPr="00D86892">
              <w:rPr>
                <w:rFonts w:eastAsiaTheme="minorHAnsi"/>
                <w:iCs/>
              </w:rPr>
              <w:t xml:space="preserve"> determined that they will invest the permanent endowment on a total return basis.</w:t>
            </w:r>
            <w:r>
              <w:rPr>
                <w:rFonts w:eastAsiaTheme="minorHAnsi"/>
                <w:iCs/>
              </w:rPr>
              <w:t xml:space="preserve"> </w:t>
            </w:r>
            <w:r w:rsidRPr="00D86892">
              <w:rPr>
                <w:rFonts w:eastAsiaTheme="minorHAnsi"/>
                <w:iCs/>
              </w:rPr>
              <w:t>The requirements of the sixth bullet point are included in note</w:t>
            </w:r>
            <w:r>
              <w:rPr>
                <w:rFonts w:eastAsiaTheme="minorHAnsi"/>
                <w:iCs/>
              </w:rPr>
              <w:t xml:space="preserve"> 23</w:t>
            </w:r>
            <w:r w:rsidRPr="00D86892">
              <w:rPr>
                <w:rFonts w:eastAsiaTheme="minorHAnsi"/>
                <w:iCs/>
              </w:rPr>
              <w:t>.</w:t>
            </w:r>
            <w:r>
              <w:rPr>
                <w:rFonts w:eastAsiaTheme="minorHAnsi"/>
                <w:iCs/>
              </w:rPr>
              <w:t xml:space="preserve"> </w:t>
            </w:r>
          </w:p>
          <w:p w14:paraId="0701C202" w14:textId="77777777" w:rsidR="00D9313C" w:rsidRDefault="00D9313C" w:rsidP="00EC1B15">
            <w:pPr>
              <w:pStyle w:val="Bodytext"/>
              <w:rPr>
                <w:rFonts w:eastAsiaTheme="minorHAnsi"/>
                <w:iCs/>
              </w:rPr>
            </w:pPr>
            <w:r>
              <w:rPr>
                <w:rFonts w:eastAsiaTheme="minorHAnsi"/>
                <w:iCs/>
              </w:rPr>
              <w:t>The information sheet issued by the Charity Commission in April 2018 includes a reminder that comparative figures are required when making disclosures in relation to funds.</w:t>
            </w:r>
          </w:p>
          <w:p w14:paraId="697C7BD9" w14:textId="77777777" w:rsidR="00D9313C" w:rsidRPr="00950A26" w:rsidRDefault="00D9313C" w:rsidP="00EC1B15">
            <w:pPr>
              <w:pStyle w:val="Bodytext"/>
              <w:rPr>
                <w:rFonts w:eastAsiaTheme="minorHAnsi"/>
                <w:iCs/>
              </w:rPr>
            </w:pPr>
            <w:r w:rsidRPr="00950A26">
              <w:rPr>
                <w:rFonts w:eastAsiaTheme="minorHAnsi"/>
                <w:iCs/>
              </w:rPr>
              <w:t>These notes show the comparatives in columns against the current year rather than in a separate table. Columns with nil entries have been deleted from the analysis of endowment fund movements and restricted fund movements.</w:t>
            </w:r>
          </w:p>
        </w:tc>
      </w:tr>
    </w:tbl>
    <w:p w14:paraId="34CEFB14" w14:textId="77777777" w:rsidR="0079432B" w:rsidRDefault="0079432B" w:rsidP="00137A7E">
      <w:pPr>
        <w:pStyle w:val="TableTitle"/>
        <w:keepNext/>
        <w:numPr>
          <w:ilvl w:val="0"/>
          <w:numId w:val="44"/>
        </w:numPr>
        <w:sectPr w:rsidR="0079432B" w:rsidSect="00237BC5">
          <w:type w:val="continuous"/>
          <w:pgSz w:w="16840" w:h="11900" w:orient="landscape"/>
          <w:pgMar w:top="1021" w:right="1701" w:bottom="1021" w:left="851" w:header="851" w:footer="851" w:gutter="0"/>
          <w:cols w:space="720"/>
          <w:titlePg/>
          <w:docGrid w:linePitch="360"/>
        </w:sectPr>
      </w:pPr>
      <w:bookmarkStart w:id="67" w:name="_Ref431896288"/>
    </w:p>
    <w:p w14:paraId="39A1FD4C" w14:textId="05DAC547" w:rsidR="00D9313C" w:rsidRPr="008C437A" w:rsidRDefault="00D9313C" w:rsidP="00137A7E">
      <w:pPr>
        <w:pStyle w:val="TableTitle"/>
        <w:keepNext/>
        <w:numPr>
          <w:ilvl w:val="0"/>
          <w:numId w:val="44"/>
        </w:numPr>
      </w:pPr>
      <w:r w:rsidRPr="008C437A">
        <w:t>Analysis of endowment fund movements</w:t>
      </w:r>
      <w:bookmarkEnd w:id="67"/>
    </w:p>
    <w:p w14:paraId="167F2314" w14:textId="77777777" w:rsidR="00D9313C" w:rsidRPr="006644A8" w:rsidRDefault="00D9313C" w:rsidP="00137A7E">
      <w:pPr>
        <w:keepNext/>
        <w:tabs>
          <w:tab w:val="left" w:pos="9072"/>
        </w:tabs>
        <w:ind w:right="249"/>
        <w:rPr>
          <w:rFonts w:asciiTheme="minorHAnsi" w:hAnsiTheme="minorHAnsi" w:cstheme="minorHAnsi"/>
        </w:rPr>
      </w:pPr>
    </w:p>
    <w:tbl>
      <w:tblPr>
        <w:tblW w:w="5000" w:type="pct"/>
        <w:tblLook w:val="01E0" w:firstRow="1" w:lastRow="1" w:firstColumn="1" w:lastColumn="1" w:noHBand="0" w:noVBand="0"/>
      </w:tblPr>
      <w:tblGrid>
        <w:gridCol w:w="1841"/>
        <w:gridCol w:w="1501"/>
        <w:gridCol w:w="1503"/>
        <w:gridCol w:w="1500"/>
        <w:gridCol w:w="1677"/>
        <w:gridCol w:w="1500"/>
        <w:gridCol w:w="1706"/>
        <w:gridCol w:w="1363"/>
        <w:gridCol w:w="1697"/>
      </w:tblGrid>
      <w:tr w:rsidR="00D9313C" w:rsidRPr="008C437A" w14:paraId="16DADC6B" w14:textId="77777777" w:rsidTr="009B5F60">
        <w:tc>
          <w:tcPr>
            <w:tcW w:w="644" w:type="pct"/>
            <w:shd w:val="clear" w:color="auto" w:fill="auto"/>
          </w:tcPr>
          <w:p w14:paraId="26718145" w14:textId="77777777" w:rsidR="00D9313C" w:rsidRPr="008C437A" w:rsidRDefault="00D9313C" w:rsidP="00137A7E">
            <w:pPr>
              <w:pStyle w:val="Bodytext"/>
              <w:keepNext/>
              <w:spacing w:after="60"/>
              <w:jc w:val="center"/>
              <w:rPr>
                <w:b/>
              </w:rPr>
            </w:pPr>
          </w:p>
        </w:tc>
        <w:tc>
          <w:tcPr>
            <w:tcW w:w="1051" w:type="pct"/>
            <w:gridSpan w:val="2"/>
            <w:shd w:val="clear" w:color="auto" w:fill="auto"/>
          </w:tcPr>
          <w:p w14:paraId="6B790716" w14:textId="77777777" w:rsidR="00D9313C" w:rsidRPr="008C437A" w:rsidRDefault="00D9313C" w:rsidP="00137A7E">
            <w:pPr>
              <w:pStyle w:val="Bodytext"/>
              <w:keepNext/>
              <w:spacing w:after="60"/>
              <w:jc w:val="center"/>
              <w:rPr>
                <w:b/>
              </w:rPr>
            </w:pPr>
            <w:r>
              <w:rPr>
                <w:b/>
              </w:rPr>
              <w:t>Fund b</w:t>
            </w:r>
            <w:r w:rsidRPr="008C437A">
              <w:rPr>
                <w:b/>
              </w:rPr>
              <w:t>alance b</w:t>
            </w:r>
            <w:r>
              <w:rPr>
                <w:b/>
              </w:rPr>
              <w:t>rought forward</w:t>
            </w:r>
            <w:r>
              <w:rPr>
                <w:b/>
              </w:rPr>
              <w:br/>
            </w:r>
            <w:r w:rsidRPr="008C437A">
              <w:rPr>
                <w:b/>
              </w:rPr>
              <w:t>1 April</w:t>
            </w:r>
          </w:p>
        </w:tc>
        <w:tc>
          <w:tcPr>
            <w:tcW w:w="1112" w:type="pct"/>
            <w:gridSpan w:val="2"/>
            <w:shd w:val="clear" w:color="auto" w:fill="auto"/>
          </w:tcPr>
          <w:p w14:paraId="1D11BAB9" w14:textId="77777777" w:rsidR="00D9313C" w:rsidRPr="008C437A" w:rsidRDefault="00D9313C" w:rsidP="00137A7E">
            <w:pPr>
              <w:pStyle w:val="Bodytext"/>
              <w:keepNext/>
              <w:spacing w:after="60"/>
              <w:jc w:val="center"/>
              <w:rPr>
                <w:b/>
              </w:rPr>
            </w:pPr>
            <w:r w:rsidRPr="008C437A">
              <w:rPr>
                <w:b/>
              </w:rPr>
              <w:t>Expenditure</w:t>
            </w:r>
          </w:p>
        </w:tc>
        <w:tc>
          <w:tcPr>
            <w:tcW w:w="1122" w:type="pct"/>
            <w:gridSpan w:val="2"/>
            <w:shd w:val="clear" w:color="auto" w:fill="auto"/>
          </w:tcPr>
          <w:p w14:paraId="4C351C0E" w14:textId="77777777" w:rsidR="00D9313C" w:rsidRPr="008C437A" w:rsidRDefault="00D9313C" w:rsidP="00137A7E">
            <w:pPr>
              <w:pStyle w:val="Bodytext"/>
              <w:keepNext/>
              <w:spacing w:after="60"/>
              <w:jc w:val="center"/>
              <w:rPr>
                <w:b/>
              </w:rPr>
            </w:pPr>
            <w:r w:rsidRPr="008C437A">
              <w:rPr>
                <w:b/>
              </w:rPr>
              <w:t>Gains and losses</w:t>
            </w:r>
          </w:p>
        </w:tc>
        <w:tc>
          <w:tcPr>
            <w:tcW w:w="1071" w:type="pct"/>
            <w:gridSpan w:val="2"/>
            <w:shd w:val="clear" w:color="auto" w:fill="auto"/>
          </w:tcPr>
          <w:p w14:paraId="2C821E8D" w14:textId="77777777" w:rsidR="00D9313C" w:rsidRPr="008C437A" w:rsidRDefault="00D9313C" w:rsidP="00137A7E">
            <w:pPr>
              <w:pStyle w:val="Bodytext"/>
              <w:keepNext/>
              <w:spacing w:after="60"/>
              <w:jc w:val="center"/>
              <w:rPr>
                <w:b/>
              </w:rPr>
            </w:pPr>
            <w:r w:rsidRPr="008C437A">
              <w:rPr>
                <w:b/>
              </w:rPr>
              <w:t xml:space="preserve">Fund </w:t>
            </w:r>
            <w:r>
              <w:rPr>
                <w:b/>
              </w:rPr>
              <w:t xml:space="preserve">balance </w:t>
            </w:r>
            <w:r w:rsidRPr="008C437A">
              <w:rPr>
                <w:b/>
              </w:rPr>
              <w:t>c</w:t>
            </w:r>
            <w:r>
              <w:rPr>
                <w:b/>
              </w:rPr>
              <w:t>arried forward</w:t>
            </w:r>
            <w:r>
              <w:rPr>
                <w:b/>
              </w:rPr>
              <w:br/>
            </w:r>
            <w:r w:rsidRPr="008C437A">
              <w:rPr>
                <w:b/>
              </w:rPr>
              <w:t>31 March</w:t>
            </w:r>
          </w:p>
        </w:tc>
      </w:tr>
      <w:tr w:rsidR="009B5F60" w:rsidRPr="008C437A" w14:paraId="2681342F" w14:textId="77777777" w:rsidTr="009B5F60">
        <w:tc>
          <w:tcPr>
            <w:tcW w:w="644" w:type="pct"/>
            <w:shd w:val="clear" w:color="auto" w:fill="auto"/>
          </w:tcPr>
          <w:p w14:paraId="6546BC80" w14:textId="77777777" w:rsidR="009B5F60" w:rsidRPr="008C437A" w:rsidRDefault="009B5F60" w:rsidP="009B5F60">
            <w:pPr>
              <w:pStyle w:val="Bodytext"/>
              <w:keepNext/>
              <w:spacing w:after="60"/>
              <w:rPr>
                <w:b/>
              </w:rPr>
            </w:pPr>
          </w:p>
        </w:tc>
        <w:tc>
          <w:tcPr>
            <w:tcW w:w="525" w:type="pct"/>
            <w:shd w:val="clear" w:color="auto" w:fill="BFBFBF" w:themeFill="background1" w:themeFillShade="BF"/>
          </w:tcPr>
          <w:p w14:paraId="3D414F65" w14:textId="2D645908" w:rsidR="009B5F60" w:rsidRDefault="009B5F60" w:rsidP="009B5F60">
            <w:pPr>
              <w:pStyle w:val="Bodytext"/>
              <w:keepNext/>
              <w:spacing w:after="60"/>
              <w:jc w:val="right"/>
              <w:rPr>
                <w:b/>
              </w:rPr>
            </w:pPr>
            <w:r>
              <w:rPr>
                <w:b/>
              </w:rPr>
              <w:t>202</w:t>
            </w:r>
            <w:r w:rsidR="00A756F2">
              <w:rPr>
                <w:b/>
              </w:rPr>
              <w:t>3</w:t>
            </w:r>
            <w:r>
              <w:rPr>
                <w:b/>
              </w:rPr>
              <w:t>/2</w:t>
            </w:r>
            <w:r w:rsidR="00392167">
              <w:rPr>
                <w:b/>
              </w:rPr>
              <w:t>4</w:t>
            </w:r>
          </w:p>
          <w:p w14:paraId="3BFCB457" w14:textId="6ADAE325" w:rsidR="009B5F60" w:rsidRPr="008C437A" w:rsidRDefault="009B5F60" w:rsidP="009B5F60">
            <w:pPr>
              <w:pStyle w:val="Bodytext"/>
              <w:keepNext/>
              <w:spacing w:after="60"/>
              <w:jc w:val="right"/>
              <w:rPr>
                <w:b/>
              </w:rPr>
            </w:pPr>
            <w:r>
              <w:rPr>
                <w:b/>
              </w:rPr>
              <w:t>£000</w:t>
            </w:r>
          </w:p>
        </w:tc>
        <w:tc>
          <w:tcPr>
            <w:tcW w:w="525" w:type="pct"/>
            <w:shd w:val="clear" w:color="auto" w:fill="auto"/>
          </w:tcPr>
          <w:p w14:paraId="0914D6DA" w14:textId="4FF6FCA9" w:rsidR="009B5F60" w:rsidRPr="002B08DA" w:rsidRDefault="009B5F60" w:rsidP="009B5F60">
            <w:pPr>
              <w:pStyle w:val="Bodytext"/>
              <w:keepNext/>
              <w:spacing w:after="60"/>
              <w:jc w:val="right"/>
              <w:rPr>
                <w:b/>
                <w:color w:val="A6A6A6" w:themeColor="background1" w:themeShade="A6"/>
              </w:rPr>
            </w:pPr>
            <w:r>
              <w:rPr>
                <w:b/>
                <w:color w:val="A6A6A6" w:themeColor="background1" w:themeShade="A6"/>
              </w:rPr>
              <w:t>202</w:t>
            </w:r>
            <w:r w:rsidR="00392167">
              <w:rPr>
                <w:b/>
                <w:color w:val="A6A6A6" w:themeColor="background1" w:themeShade="A6"/>
              </w:rPr>
              <w:t>2</w:t>
            </w:r>
            <w:r>
              <w:rPr>
                <w:b/>
                <w:color w:val="A6A6A6" w:themeColor="background1" w:themeShade="A6"/>
              </w:rPr>
              <w:t>/2</w:t>
            </w:r>
            <w:r w:rsidR="00392167">
              <w:rPr>
                <w:b/>
                <w:color w:val="A6A6A6" w:themeColor="background1" w:themeShade="A6"/>
              </w:rPr>
              <w:t>3</w:t>
            </w:r>
          </w:p>
          <w:p w14:paraId="4361DC9E" w14:textId="6BAA9BC8" w:rsidR="009B5F60" w:rsidRPr="00D408DC" w:rsidRDefault="009B5F60" w:rsidP="009B5F60">
            <w:pPr>
              <w:pStyle w:val="Bodytext"/>
              <w:keepNext/>
              <w:spacing w:after="60"/>
              <w:jc w:val="right"/>
              <w:rPr>
                <w:b/>
                <w:color w:val="BFBFBF" w:themeColor="background1" w:themeShade="BF"/>
              </w:rPr>
            </w:pPr>
            <w:r w:rsidRPr="002B08DA">
              <w:rPr>
                <w:b/>
                <w:color w:val="A6A6A6" w:themeColor="background1" w:themeShade="A6"/>
              </w:rPr>
              <w:t>£000</w:t>
            </w:r>
          </w:p>
        </w:tc>
        <w:tc>
          <w:tcPr>
            <w:tcW w:w="525" w:type="pct"/>
            <w:shd w:val="clear" w:color="auto" w:fill="BFBFBF" w:themeFill="background1" w:themeFillShade="BF"/>
          </w:tcPr>
          <w:p w14:paraId="11CF2477" w14:textId="75800937" w:rsidR="009B5F60" w:rsidRDefault="009B5F60" w:rsidP="009B5F60">
            <w:pPr>
              <w:pStyle w:val="Bodytext"/>
              <w:keepNext/>
              <w:spacing w:after="60"/>
              <w:jc w:val="right"/>
              <w:rPr>
                <w:b/>
              </w:rPr>
            </w:pPr>
            <w:r>
              <w:rPr>
                <w:b/>
              </w:rPr>
              <w:t>202</w:t>
            </w:r>
            <w:r w:rsidR="00392167">
              <w:rPr>
                <w:b/>
              </w:rPr>
              <w:t>3</w:t>
            </w:r>
            <w:r>
              <w:rPr>
                <w:b/>
              </w:rPr>
              <w:t>/2</w:t>
            </w:r>
            <w:r w:rsidR="00392167">
              <w:rPr>
                <w:b/>
              </w:rPr>
              <w:t>4</w:t>
            </w:r>
          </w:p>
          <w:p w14:paraId="2F8CB27D" w14:textId="4C9DCC07" w:rsidR="009B5F60" w:rsidRPr="008C437A" w:rsidRDefault="009B5F60" w:rsidP="009B5F60">
            <w:pPr>
              <w:pStyle w:val="Bodytext"/>
              <w:keepNext/>
              <w:spacing w:after="60"/>
              <w:jc w:val="right"/>
              <w:rPr>
                <w:b/>
              </w:rPr>
            </w:pPr>
            <w:r>
              <w:rPr>
                <w:b/>
              </w:rPr>
              <w:t>£000</w:t>
            </w:r>
          </w:p>
        </w:tc>
        <w:tc>
          <w:tcPr>
            <w:tcW w:w="587" w:type="pct"/>
            <w:shd w:val="clear" w:color="auto" w:fill="auto"/>
          </w:tcPr>
          <w:p w14:paraId="50704EB0" w14:textId="6B965D39" w:rsidR="009B5F60" w:rsidRPr="002B08DA" w:rsidRDefault="009B5F60" w:rsidP="009B5F60">
            <w:pPr>
              <w:pStyle w:val="Bodytext"/>
              <w:keepNext/>
              <w:spacing w:after="60"/>
              <w:jc w:val="right"/>
              <w:rPr>
                <w:b/>
                <w:color w:val="A6A6A6" w:themeColor="background1" w:themeShade="A6"/>
              </w:rPr>
            </w:pPr>
            <w:r>
              <w:rPr>
                <w:b/>
                <w:color w:val="A6A6A6" w:themeColor="background1" w:themeShade="A6"/>
              </w:rPr>
              <w:t>202</w:t>
            </w:r>
            <w:r w:rsidR="00392167">
              <w:rPr>
                <w:b/>
                <w:color w:val="A6A6A6" w:themeColor="background1" w:themeShade="A6"/>
              </w:rPr>
              <w:t>2</w:t>
            </w:r>
            <w:r>
              <w:rPr>
                <w:b/>
                <w:color w:val="A6A6A6" w:themeColor="background1" w:themeShade="A6"/>
              </w:rPr>
              <w:t>/2</w:t>
            </w:r>
            <w:r w:rsidR="00392167">
              <w:rPr>
                <w:b/>
                <w:color w:val="A6A6A6" w:themeColor="background1" w:themeShade="A6"/>
              </w:rPr>
              <w:t>3</w:t>
            </w:r>
          </w:p>
          <w:p w14:paraId="25143404" w14:textId="103C0532" w:rsidR="009B5F60" w:rsidRPr="00D408DC" w:rsidRDefault="009B5F60" w:rsidP="009B5F60">
            <w:pPr>
              <w:pStyle w:val="Bodytext"/>
              <w:keepNext/>
              <w:spacing w:after="60"/>
              <w:jc w:val="right"/>
              <w:rPr>
                <w:b/>
                <w:color w:val="BFBFBF" w:themeColor="background1" w:themeShade="BF"/>
              </w:rPr>
            </w:pPr>
            <w:r w:rsidRPr="002B08DA">
              <w:rPr>
                <w:b/>
                <w:color w:val="A6A6A6" w:themeColor="background1" w:themeShade="A6"/>
              </w:rPr>
              <w:t>£000</w:t>
            </w:r>
          </w:p>
        </w:tc>
        <w:tc>
          <w:tcPr>
            <w:tcW w:w="525" w:type="pct"/>
            <w:shd w:val="clear" w:color="auto" w:fill="BFBFBF" w:themeFill="background1" w:themeFillShade="BF"/>
          </w:tcPr>
          <w:p w14:paraId="0C80D1A2" w14:textId="18EAB283" w:rsidR="009B5F60" w:rsidRDefault="009B5F60" w:rsidP="009B5F60">
            <w:pPr>
              <w:pStyle w:val="Bodytext"/>
              <w:keepNext/>
              <w:spacing w:after="60"/>
              <w:jc w:val="right"/>
              <w:rPr>
                <w:b/>
              </w:rPr>
            </w:pPr>
            <w:r>
              <w:rPr>
                <w:b/>
              </w:rPr>
              <w:t>202</w:t>
            </w:r>
            <w:r w:rsidR="00392167">
              <w:rPr>
                <w:b/>
              </w:rPr>
              <w:t>3</w:t>
            </w:r>
            <w:r>
              <w:rPr>
                <w:b/>
              </w:rPr>
              <w:t>/2</w:t>
            </w:r>
            <w:r w:rsidR="00392167">
              <w:rPr>
                <w:b/>
              </w:rPr>
              <w:t>4</w:t>
            </w:r>
          </w:p>
          <w:p w14:paraId="3D3758FE" w14:textId="2A31824D" w:rsidR="009B5F60" w:rsidRPr="008C437A" w:rsidRDefault="009B5F60" w:rsidP="009B5F60">
            <w:pPr>
              <w:pStyle w:val="Bodytext"/>
              <w:keepNext/>
              <w:spacing w:after="60"/>
              <w:jc w:val="right"/>
              <w:rPr>
                <w:b/>
              </w:rPr>
            </w:pPr>
            <w:r>
              <w:rPr>
                <w:b/>
              </w:rPr>
              <w:t>£000</w:t>
            </w:r>
          </w:p>
        </w:tc>
        <w:tc>
          <w:tcPr>
            <w:tcW w:w="597" w:type="pct"/>
            <w:shd w:val="clear" w:color="auto" w:fill="auto"/>
          </w:tcPr>
          <w:p w14:paraId="36AC5081" w14:textId="7C9A254E" w:rsidR="009B5F60" w:rsidRPr="002B08DA" w:rsidRDefault="009B5F60" w:rsidP="009B5F60">
            <w:pPr>
              <w:pStyle w:val="Bodytext"/>
              <w:keepNext/>
              <w:spacing w:after="60"/>
              <w:jc w:val="right"/>
              <w:rPr>
                <w:b/>
                <w:color w:val="A6A6A6" w:themeColor="background1" w:themeShade="A6"/>
              </w:rPr>
            </w:pPr>
            <w:r>
              <w:rPr>
                <w:b/>
                <w:color w:val="A6A6A6" w:themeColor="background1" w:themeShade="A6"/>
              </w:rPr>
              <w:t>202</w:t>
            </w:r>
            <w:r w:rsidR="00392167">
              <w:rPr>
                <w:b/>
                <w:color w:val="A6A6A6" w:themeColor="background1" w:themeShade="A6"/>
              </w:rPr>
              <w:t>2</w:t>
            </w:r>
            <w:r>
              <w:rPr>
                <w:b/>
                <w:color w:val="A6A6A6" w:themeColor="background1" w:themeShade="A6"/>
              </w:rPr>
              <w:t>/2</w:t>
            </w:r>
            <w:r w:rsidR="00392167">
              <w:rPr>
                <w:b/>
                <w:color w:val="A6A6A6" w:themeColor="background1" w:themeShade="A6"/>
              </w:rPr>
              <w:t>3</w:t>
            </w:r>
          </w:p>
          <w:p w14:paraId="203C7E43" w14:textId="6684F8AB" w:rsidR="009B5F60" w:rsidRPr="00D408DC" w:rsidRDefault="009B5F60" w:rsidP="009B5F60">
            <w:pPr>
              <w:pStyle w:val="Bodytext"/>
              <w:keepNext/>
              <w:spacing w:after="60"/>
              <w:jc w:val="right"/>
              <w:rPr>
                <w:b/>
                <w:color w:val="BFBFBF" w:themeColor="background1" w:themeShade="BF"/>
              </w:rPr>
            </w:pPr>
            <w:r w:rsidRPr="002B08DA">
              <w:rPr>
                <w:b/>
                <w:color w:val="A6A6A6" w:themeColor="background1" w:themeShade="A6"/>
              </w:rPr>
              <w:t>£000</w:t>
            </w:r>
          </w:p>
        </w:tc>
        <w:tc>
          <w:tcPr>
            <w:tcW w:w="477" w:type="pct"/>
            <w:shd w:val="clear" w:color="auto" w:fill="BFBFBF" w:themeFill="background1" w:themeFillShade="BF"/>
          </w:tcPr>
          <w:p w14:paraId="1ECBADF5" w14:textId="1EC453DC" w:rsidR="009B5F60" w:rsidRDefault="009B5F60" w:rsidP="009B5F60">
            <w:pPr>
              <w:pStyle w:val="Bodytext"/>
              <w:keepNext/>
              <w:spacing w:after="60"/>
              <w:jc w:val="right"/>
              <w:rPr>
                <w:b/>
              </w:rPr>
            </w:pPr>
            <w:r>
              <w:rPr>
                <w:b/>
              </w:rPr>
              <w:t>202</w:t>
            </w:r>
            <w:r w:rsidR="00392167">
              <w:rPr>
                <w:b/>
              </w:rPr>
              <w:t>3</w:t>
            </w:r>
            <w:r w:rsidR="00AC3996">
              <w:rPr>
                <w:b/>
              </w:rPr>
              <w:t>/</w:t>
            </w:r>
            <w:r>
              <w:rPr>
                <w:b/>
              </w:rPr>
              <w:t>2</w:t>
            </w:r>
            <w:r w:rsidR="00AC3996">
              <w:rPr>
                <w:b/>
              </w:rPr>
              <w:t>4</w:t>
            </w:r>
          </w:p>
          <w:p w14:paraId="4D46B77E" w14:textId="69D75817" w:rsidR="009B5F60" w:rsidRPr="008C437A" w:rsidRDefault="009B5F60" w:rsidP="009B5F60">
            <w:pPr>
              <w:pStyle w:val="Bodytext"/>
              <w:keepNext/>
              <w:spacing w:after="60"/>
              <w:jc w:val="right"/>
              <w:rPr>
                <w:b/>
              </w:rPr>
            </w:pPr>
            <w:r>
              <w:rPr>
                <w:b/>
              </w:rPr>
              <w:t>£000</w:t>
            </w:r>
          </w:p>
        </w:tc>
        <w:tc>
          <w:tcPr>
            <w:tcW w:w="594" w:type="pct"/>
            <w:shd w:val="clear" w:color="auto" w:fill="auto"/>
          </w:tcPr>
          <w:p w14:paraId="62221CC0" w14:textId="4EAA02C3" w:rsidR="009B5F60" w:rsidRPr="002B08DA" w:rsidRDefault="009B5F60" w:rsidP="009B5F60">
            <w:pPr>
              <w:pStyle w:val="Bodytext"/>
              <w:keepNext/>
              <w:spacing w:after="60"/>
              <w:jc w:val="right"/>
              <w:rPr>
                <w:b/>
                <w:color w:val="A6A6A6" w:themeColor="background1" w:themeShade="A6"/>
              </w:rPr>
            </w:pPr>
            <w:r>
              <w:rPr>
                <w:b/>
                <w:color w:val="A6A6A6" w:themeColor="background1" w:themeShade="A6"/>
              </w:rPr>
              <w:t>202</w:t>
            </w:r>
            <w:r w:rsidR="00AC3996">
              <w:rPr>
                <w:b/>
                <w:color w:val="A6A6A6" w:themeColor="background1" w:themeShade="A6"/>
              </w:rPr>
              <w:t>2</w:t>
            </w:r>
            <w:r>
              <w:rPr>
                <w:b/>
                <w:color w:val="A6A6A6" w:themeColor="background1" w:themeShade="A6"/>
              </w:rPr>
              <w:t>/2</w:t>
            </w:r>
            <w:r w:rsidR="00AC3996">
              <w:rPr>
                <w:b/>
                <w:color w:val="A6A6A6" w:themeColor="background1" w:themeShade="A6"/>
              </w:rPr>
              <w:t>3</w:t>
            </w:r>
          </w:p>
          <w:p w14:paraId="18699B8D" w14:textId="5C12D0BA" w:rsidR="009B5F60" w:rsidRPr="00D408DC" w:rsidRDefault="009B5F60" w:rsidP="009B5F60">
            <w:pPr>
              <w:pStyle w:val="Bodytext"/>
              <w:keepNext/>
              <w:spacing w:after="60"/>
              <w:jc w:val="right"/>
              <w:rPr>
                <w:b/>
                <w:color w:val="BFBFBF" w:themeColor="background1" w:themeShade="BF"/>
              </w:rPr>
            </w:pPr>
            <w:r w:rsidRPr="002B08DA">
              <w:rPr>
                <w:b/>
                <w:color w:val="A6A6A6" w:themeColor="background1" w:themeShade="A6"/>
              </w:rPr>
              <w:t>£000</w:t>
            </w:r>
          </w:p>
        </w:tc>
      </w:tr>
      <w:tr w:rsidR="00D9313C" w:rsidRPr="008C437A" w14:paraId="13E6559C" w14:textId="77777777" w:rsidTr="009B5F60">
        <w:tc>
          <w:tcPr>
            <w:tcW w:w="644" w:type="pct"/>
            <w:shd w:val="clear" w:color="auto" w:fill="auto"/>
          </w:tcPr>
          <w:p w14:paraId="45BBBF3F" w14:textId="77777777" w:rsidR="00D9313C" w:rsidRPr="008C437A" w:rsidRDefault="00D9313C" w:rsidP="00137A7E">
            <w:pPr>
              <w:pStyle w:val="Bodytext"/>
              <w:keepNext/>
              <w:spacing w:after="60"/>
              <w:rPr>
                <w:b/>
              </w:rPr>
            </w:pPr>
          </w:p>
        </w:tc>
        <w:tc>
          <w:tcPr>
            <w:tcW w:w="525" w:type="pct"/>
            <w:shd w:val="clear" w:color="auto" w:fill="BFBFBF" w:themeFill="background1" w:themeFillShade="BF"/>
          </w:tcPr>
          <w:p w14:paraId="4EA4BB5D" w14:textId="77777777" w:rsidR="00D9313C" w:rsidRPr="008C437A" w:rsidRDefault="00D9313C" w:rsidP="00137A7E">
            <w:pPr>
              <w:pStyle w:val="Bodytext"/>
              <w:keepNext/>
              <w:spacing w:after="60"/>
              <w:jc w:val="right"/>
              <w:rPr>
                <w:b/>
              </w:rPr>
            </w:pPr>
          </w:p>
        </w:tc>
        <w:tc>
          <w:tcPr>
            <w:tcW w:w="525" w:type="pct"/>
            <w:shd w:val="clear" w:color="auto" w:fill="auto"/>
          </w:tcPr>
          <w:p w14:paraId="20B4B2B5" w14:textId="77777777" w:rsidR="00D9313C" w:rsidRPr="00D408DC" w:rsidRDefault="00D9313C" w:rsidP="00137A7E">
            <w:pPr>
              <w:pStyle w:val="Bodytext"/>
              <w:keepNext/>
              <w:spacing w:after="60"/>
              <w:jc w:val="right"/>
              <w:rPr>
                <w:b/>
                <w:color w:val="BFBFBF" w:themeColor="background1" w:themeShade="BF"/>
              </w:rPr>
            </w:pPr>
          </w:p>
        </w:tc>
        <w:tc>
          <w:tcPr>
            <w:tcW w:w="525" w:type="pct"/>
            <w:shd w:val="clear" w:color="auto" w:fill="BFBFBF" w:themeFill="background1" w:themeFillShade="BF"/>
          </w:tcPr>
          <w:p w14:paraId="4F388E03" w14:textId="77777777" w:rsidR="00D9313C" w:rsidRPr="008C437A" w:rsidRDefault="00D9313C" w:rsidP="00137A7E">
            <w:pPr>
              <w:pStyle w:val="Bodytext"/>
              <w:keepNext/>
              <w:spacing w:after="60"/>
              <w:jc w:val="right"/>
              <w:rPr>
                <w:b/>
              </w:rPr>
            </w:pPr>
          </w:p>
        </w:tc>
        <w:tc>
          <w:tcPr>
            <w:tcW w:w="587" w:type="pct"/>
            <w:shd w:val="clear" w:color="auto" w:fill="auto"/>
          </w:tcPr>
          <w:p w14:paraId="47ACF523" w14:textId="77777777" w:rsidR="00D9313C" w:rsidRPr="00D408DC" w:rsidRDefault="00D9313C" w:rsidP="00137A7E">
            <w:pPr>
              <w:pStyle w:val="Bodytext"/>
              <w:keepNext/>
              <w:spacing w:after="60"/>
              <w:jc w:val="right"/>
              <w:rPr>
                <w:b/>
                <w:color w:val="BFBFBF" w:themeColor="background1" w:themeShade="BF"/>
              </w:rPr>
            </w:pPr>
          </w:p>
        </w:tc>
        <w:tc>
          <w:tcPr>
            <w:tcW w:w="525" w:type="pct"/>
            <w:shd w:val="clear" w:color="auto" w:fill="BFBFBF" w:themeFill="background1" w:themeFillShade="BF"/>
          </w:tcPr>
          <w:p w14:paraId="514516B5" w14:textId="77777777" w:rsidR="00D9313C" w:rsidRPr="008C437A" w:rsidRDefault="00D9313C" w:rsidP="00137A7E">
            <w:pPr>
              <w:pStyle w:val="Bodytext"/>
              <w:keepNext/>
              <w:spacing w:after="60"/>
              <w:jc w:val="right"/>
              <w:rPr>
                <w:b/>
              </w:rPr>
            </w:pPr>
          </w:p>
        </w:tc>
        <w:tc>
          <w:tcPr>
            <w:tcW w:w="597" w:type="pct"/>
            <w:shd w:val="clear" w:color="auto" w:fill="auto"/>
          </w:tcPr>
          <w:p w14:paraId="6284F32C" w14:textId="77777777" w:rsidR="00D9313C" w:rsidRPr="00D408DC" w:rsidRDefault="00D9313C" w:rsidP="00137A7E">
            <w:pPr>
              <w:pStyle w:val="Bodytext"/>
              <w:keepNext/>
              <w:spacing w:after="60"/>
              <w:jc w:val="right"/>
              <w:rPr>
                <w:b/>
                <w:color w:val="BFBFBF" w:themeColor="background1" w:themeShade="BF"/>
              </w:rPr>
            </w:pPr>
          </w:p>
        </w:tc>
        <w:tc>
          <w:tcPr>
            <w:tcW w:w="477" w:type="pct"/>
            <w:shd w:val="clear" w:color="auto" w:fill="BFBFBF" w:themeFill="background1" w:themeFillShade="BF"/>
          </w:tcPr>
          <w:p w14:paraId="2171BB86" w14:textId="77777777" w:rsidR="00D9313C" w:rsidRPr="008C437A" w:rsidRDefault="00D9313C" w:rsidP="00137A7E">
            <w:pPr>
              <w:pStyle w:val="Bodytext"/>
              <w:keepNext/>
              <w:spacing w:after="60"/>
              <w:jc w:val="right"/>
              <w:rPr>
                <w:b/>
              </w:rPr>
            </w:pPr>
          </w:p>
        </w:tc>
        <w:tc>
          <w:tcPr>
            <w:tcW w:w="594" w:type="pct"/>
            <w:shd w:val="clear" w:color="auto" w:fill="auto"/>
          </w:tcPr>
          <w:p w14:paraId="2333C3AC" w14:textId="77777777" w:rsidR="00D9313C" w:rsidRPr="00D408DC" w:rsidRDefault="00D9313C" w:rsidP="00137A7E">
            <w:pPr>
              <w:pStyle w:val="Bodytext"/>
              <w:keepNext/>
              <w:spacing w:after="60"/>
              <w:jc w:val="right"/>
              <w:rPr>
                <w:b/>
                <w:color w:val="BFBFBF" w:themeColor="background1" w:themeShade="BF"/>
              </w:rPr>
            </w:pPr>
          </w:p>
        </w:tc>
      </w:tr>
      <w:tr w:rsidR="00F95AAB" w:rsidRPr="006644A8" w14:paraId="12BFE052" w14:textId="77777777" w:rsidTr="009B5F60">
        <w:tc>
          <w:tcPr>
            <w:tcW w:w="644" w:type="pct"/>
            <w:shd w:val="clear" w:color="auto" w:fill="auto"/>
          </w:tcPr>
          <w:p w14:paraId="066EF706" w14:textId="77777777" w:rsidR="00F95AAB" w:rsidRPr="006644A8" w:rsidRDefault="00F95AAB" w:rsidP="00F95AAB">
            <w:pPr>
              <w:pStyle w:val="Bodytext"/>
              <w:keepNext/>
              <w:spacing w:after="60"/>
            </w:pPr>
            <w:r w:rsidRPr="006644A8">
              <w:t xml:space="preserve">Guptah endowment </w:t>
            </w:r>
          </w:p>
        </w:tc>
        <w:tc>
          <w:tcPr>
            <w:tcW w:w="525" w:type="pct"/>
            <w:tcBorders>
              <w:bottom w:val="single" w:sz="4" w:space="0" w:color="auto"/>
            </w:tcBorders>
            <w:shd w:val="clear" w:color="auto" w:fill="BFBFBF" w:themeFill="background1" w:themeFillShade="BF"/>
            <w:vAlign w:val="center"/>
          </w:tcPr>
          <w:p w14:paraId="6A07613E" w14:textId="067BE79F" w:rsidR="00F95AAB" w:rsidRPr="006644A8" w:rsidRDefault="00F95AAB" w:rsidP="00F95AAB">
            <w:pPr>
              <w:pStyle w:val="Bodytext"/>
              <w:keepNext/>
              <w:spacing w:after="60"/>
              <w:jc w:val="right"/>
            </w:pPr>
            <w:r>
              <w:rPr>
                <w:rFonts w:cs="Arial"/>
                <w:color w:val="424141"/>
                <w:szCs w:val="22"/>
              </w:rPr>
              <w:t>963</w:t>
            </w:r>
          </w:p>
        </w:tc>
        <w:tc>
          <w:tcPr>
            <w:tcW w:w="525" w:type="pct"/>
            <w:tcBorders>
              <w:bottom w:val="single" w:sz="4" w:space="0" w:color="auto"/>
            </w:tcBorders>
            <w:shd w:val="clear" w:color="auto" w:fill="auto"/>
            <w:vAlign w:val="center"/>
          </w:tcPr>
          <w:p w14:paraId="382A6CFA" w14:textId="4D01C24A" w:rsidR="00F95AAB" w:rsidRPr="00D408DC" w:rsidRDefault="00F95AAB" w:rsidP="00F95AAB">
            <w:pPr>
              <w:pStyle w:val="Bodytext"/>
              <w:keepNext/>
              <w:spacing w:after="60"/>
              <w:jc w:val="right"/>
              <w:rPr>
                <w:color w:val="BFBFBF" w:themeColor="background1" w:themeShade="BF"/>
              </w:rPr>
            </w:pPr>
            <w:r>
              <w:rPr>
                <w:rFonts w:cs="Arial"/>
                <w:color w:val="BFBFBF"/>
                <w:szCs w:val="22"/>
              </w:rPr>
              <w:t>506</w:t>
            </w:r>
          </w:p>
        </w:tc>
        <w:tc>
          <w:tcPr>
            <w:tcW w:w="525" w:type="pct"/>
            <w:tcBorders>
              <w:bottom w:val="single" w:sz="4" w:space="0" w:color="auto"/>
            </w:tcBorders>
            <w:shd w:val="clear" w:color="auto" w:fill="BFBFBF" w:themeFill="background1" w:themeFillShade="BF"/>
            <w:vAlign w:val="center"/>
          </w:tcPr>
          <w:p w14:paraId="4EA38A69" w14:textId="0316C96B" w:rsidR="00F95AAB" w:rsidRDefault="00F95AAB" w:rsidP="00F95AAB">
            <w:pPr>
              <w:pStyle w:val="Bodytext"/>
              <w:keepNext/>
              <w:spacing w:after="60"/>
              <w:jc w:val="right"/>
            </w:pPr>
            <w:r>
              <w:rPr>
                <w:rFonts w:cs="Arial"/>
                <w:color w:val="424141"/>
                <w:szCs w:val="22"/>
              </w:rPr>
              <w:t>-</w:t>
            </w:r>
            <w:r w:rsidR="00D465B5">
              <w:rPr>
                <w:rFonts w:cs="Arial"/>
                <w:color w:val="424141"/>
                <w:szCs w:val="22"/>
              </w:rPr>
              <w:t>-9</w:t>
            </w:r>
          </w:p>
        </w:tc>
        <w:tc>
          <w:tcPr>
            <w:tcW w:w="587" w:type="pct"/>
            <w:tcBorders>
              <w:bottom w:val="single" w:sz="4" w:space="0" w:color="auto"/>
            </w:tcBorders>
            <w:shd w:val="clear" w:color="auto" w:fill="auto"/>
            <w:vAlign w:val="center"/>
          </w:tcPr>
          <w:p w14:paraId="7301C4F1" w14:textId="2B268C42" w:rsidR="00F95AAB" w:rsidRPr="00D408DC" w:rsidRDefault="00F95AAB" w:rsidP="00F95AAB">
            <w:pPr>
              <w:pStyle w:val="Bodytext"/>
              <w:keepNext/>
              <w:spacing w:after="60"/>
              <w:jc w:val="right"/>
              <w:rPr>
                <w:color w:val="BFBFBF" w:themeColor="background1" w:themeShade="BF"/>
              </w:rPr>
            </w:pPr>
            <w:r>
              <w:rPr>
                <w:rFonts w:cs="Arial"/>
                <w:color w:val="BFBFBF"/>
                <w:szCs w:val="22"/>
              </w:rPr>
              <w:t>-10</w:t>
            </w:r>
          </w:p>
        </w:tc>
        <w:tc>
          <w:tcPr>
            <w:tcW w:w="525" w:type="pct"/>
            <w:tcBorders>
              <w:bottom w:val="single" w:sz="4" w:space="0" w:color="auto"/>
            </w:tcBorders>
            <w:shd w:val="clear" w:color="auto" w:fill="BFBFBF" w:themeFill="background1" w:themeFillShade="BF"/>
            <w:vAlign w:val="center"/>
          </w:tcPr>
          <w:p w14:paraId="25ED59D9" w14:textId="1A8D5616" w:rsidR="00F95AAB" w:rsidRPr="006644A8" w:rsidRDefault="00F95AAB" w:rsidP="00F95AAB">
            <w:pPr>
              <w:pStyle w:val="Bodytext"/>
              <w:keepNext/>
              <w:spacing w:after="60"/>
              <w:jc w:val="right"/>
            </w:pPr>
            <w:r>
              <w:rPr>
                <w:rFonts w:cs="Arial"/>
                <w:color w:val="424141"/>
                <w:szCs w:val="22"/>
              </w:rPr>
              <w:t>-35</w:t>
            </w:r>
          </w:p>
        </w:tc>
        <w:tc>
          <w:tcPr>
            <w:tcW w:w="597" w:type="pct"/>
            <w:tcBorders>
              <w:bottom w:val="single" w:sz="4" w:space="0" w:color="auto"/>
            </w:tcBorders>
            <w:shd w:val="clear" w:color="auto" w:fill="auto"/>
            <w:vAlign w:val="center"/>
          </w:tcPr>
          <w:p w14:paraId="1D9C9CE5" w14:textId="2E0221F4" w:rsidR="00F95AAB" w:rsidRPr="00D408DC" w:rsidRDefault="00F95AAB" w:rsidP="00F95AAB">
            <w:pPr>
              <w:pStyle w:val="Bodytext"/>
              <w:keepNext/>
              <w:spacing w:after="60"/>
              <w:jc w:val="right"/>
              <w:rPr>
                <w:color w:val="BFBFBF" w:themeColor="background1" w:themeShade="BF"/>
              </w:rPr>
            </w:pPr>
            <w:r>
              <w:rPr>
                <w:rFonts w:cs="Arial"/>
                <w:color w:val="BFBFBF"/>
                <w:szCs w:val="22"/>
              </w:rPr>
              <w:t>467</w:t>
            </w:r>
          </w:p>
        </w:tc>
        <w:tc>
          <w:tcPr>
            <w:tcW w:w="477" w:type="pct"/>
            <w:tcBorders>
              <w:bottom w:val="single" w:sz="4" w:space="0" w:color="auto"/>
            </w:tcBorders>
            <w:shd w:val="clear" w:color="auto" w:fill="BFBFBF" w:themeFill="background1" w:themeFillShade="BF"/>
            <w:vAlign w:val="center"/>
          </w:tcPr>
          <w:p w14:paraId="1C3BC679" w14:textId="2730B531" w:rsidR="00F95AAB" w:rsidRPr="006644A8" w:rsidRDefault="00F95AAB" w:rsidP="00F95AAB">
            <w:pPr>
              <w:pStyle w:val="Bodytext"/>
              <w:keepNext/>
              <w:spacing w:after="60"/>
              <w:jc w:val="right"/>
            </w:pPr>
            <w:r>
              <w:rPr>
                <w:rFonts w:cs="Arial"/>
                <w:color w:val="424141"/>
                <w:szCs w:val="22"/>
              </w:rPr>
              <w:t>91</w:t>
            </w:r>
            <w:r w:rsidR="00D465B5">
              <w:rPr>
                <w:rFonts w:cs="Arial"/>
                <w:color w:val="424141"/>
                <w:szCs w:val="22"/>
              </w:rPr>
              <w:t>9</w:t>
            </w:r>
          </w:p>
        </w:tc>
        <w:tc>
          <w:tcPr>
            <w:tcW w:w="594" w:type="pct"/>
            <w:tcBorders>
              <w:bottom w:val="single" w:sz="4" w:space="0" w:color="auto"/>
            </w:tcBorders>
            <w:shd w:val="clear" w:color="auto" w:fill="auto"/>
            <w:vAlign w:val="center"/>
          </w:tcPr>
          <w:p w14:paraId="3C39DC29" w14:textId="2C144320" w:rsidR="00F95AAB" w:rsidRPr="00D408DC" w:rsidRDefault="00F95AAB" w:rsidP="00F95AAB">
            <w:pPr>
              <w:pStyle w:val="Bodytext"/>
              <w:keepNext/>
              <w:spacing w:after="60"/>
              <w:jc w:val="right"/>
              <w:rPr>
                <w:color w:val="BFBFBF" w:themeColor="background1" w:themeShade="BF"/>
              </w:rPr>
            </w:pPr>
            <w:r>
              <w:rPr>
                <w:rFonts w:cs="Arial"/>
                <w:color w:val="BFBFBF"/>
                <w:szCs w:val="22"/>
              </w:rPr>
              <w:t>963</w:t>
            </w:r>
          </w:p>
        </w:tc>
      </w:tr>
      <w:tr w:rsidR="00F95AAB" w:rsidRPr="009D4283" w14:paraId="33E9B218" w14:textId="77777777" w:rsidTr="009B5F60">
        <w:tc>
          <w:tcPr>
            <w:tcW w:w="644" w:type="pct"/>
            <w:shd w:val="clear" w:color="auto" w:fill="auto"/>
          </w:tcPr>
          <w:p w14:paraId="660D71F1" w14:textId="77777777" w:rsidR="00F95AAB" w:rsidRPr="00D408DC" w:rsidRDefault="00F95AAB" w:rsidP="00F95AAB">
            <w:pPr>
              <w:pStyle w:val="Bodytext"/>
              <w:keepNext/>
              <w:spacing w:after="60"/>
              <w:rPr>
                <w:b/>
                <w:bCs/>
              </w:rPr>
            </w:pPr>
            <w:r w:rsidRPr="00D408DC">
              <w:rPr>
                <w:b/>
                <w:bCs/>
              </w:rPr>
              <w:t>Total</w:t>
            </w:r>
          </w:p>
        </w:tc>
        <w:tc>
          <w:tcPr>
            <w:tcW w:w="525" w:type="pct"/>
            <w:tcBorders>
              <w:top w:val="single" w:sz="4" w:space="0" w:color="auto"/>
              <w:bottom w:val="double" w:sz="4" w:space="0" w:color="auto"/>
            </w:tcBorders>
            <w:shd w:val="clear" w:color="auto" w:fill="BFBFBF" w:themeFill="background1" w:themeFillShade="BF"/>
            <w:vAlign w:val="center"/>
          </w:tcPr>
          <w:p w14:paraId="2CD927AF" w14:textId="19578197" w:rsidR="00F95AAB" w:rsidRPr="00D408DC" w:rsidRDefault="00F95AAB" w:rsidP="00F95AAB">
            <w:pPr>
              <w:pStyle w:val="Bodytext"/>
              <w:keepNext/>
              <w:spacing w:after="60"/>
              <w:jc w:val="right"/>
              <w:rPr>
                <w:b/>
                <w:bCs/>
              </w:rPr>
            </w:pPr>
            <w:r>
              <w:rPr>
                <w:rFonts w:cs="Arial"/>
                <w:b/>
                <w:bCs/>
                <w:color w:val="424141"/>
                <w:szCs w:val="22"/>
              </w:rPr>
              <w:t>963</w:t>
            </w:r>
          </w:p>
        </w:tc>
        <w:tc>
          <w:tcPr>
            <w:tcW w:w="525" w:type="pct"/>
            <w:tcBorders>
              <w:top w:val="single" w:sz="4" w:space="0" w:color="auto"/>
              <w:bottom w:val="double" w:sz="4" w:space="0" w:color="auto"/>
            </w:tcBorders>
            <w:shd w:val="clear" w:color="auto" w:fill="auto"/>
            <w:vAlign w:val="center"/>
          </w:tcPr>
          <w:p w14:paraId="21D42517" w14:textId="78C208B9" w:rsidR="00F95AAB" w:rsidRPr="00D408DC" w:rsidRDefault="00F95AAB" w:rsidP="00F95AAB">
            <w:pPr>
              <w:pStyle w:val="Bodytext"/>
              <w:keepNext/>
              <w:spacing w:after="60"/>
              <w:jc w:val="right"/>
              <w:rPr>
                <w:b/>
                <w:bCs/>
                <w:color w:val="BFBFBF" w:themeColor="background1" w:themeShade="BF"/>
              </w:rPr>
            </w:pPr>
            <w:r>
              <w:rPr>
                <w:rFonts w:cs="Arial"/>
                <w:b/>
                <w:bCs/>
                <w:color w:val="BFBFBF"/>
                <w:szCs w:val="22"/>
              </w:rPr>
              <w:t>506</w:t>
            </w:r>
          </w:p>
        </w:tc>
        <w:tc>
          <w:tcPr>
            <w:tcW w:w="525" w:type="pct"/>
            <w:tcBorders>
              <w:top w:val="single" w:sz="4" w:space="0" w:color="auto"/>
              <w:bottom w:val="double" w:sz="4" w:space="0" w:color="auto"/>
            </w:tcBorders>
            <w:shd w:val="clear" w:color="auto" w:fill="BFBFBF" w:themeFill="background1" w:themeFillShade="BF"/>
            <w:vAlign w:val="center"/>
          </w:tcPr>
          <w:p w14:paraId="629FA5E4" w14:textId="262394E7" w:rsidR="00F95AAB" w:rsidRPr="009D4283" w:rsidRDefault="00D465B5" w:rsidP="00F95AAB">
            <w:pPr>
              <w:pStyle w:val="Bodytext"/>
              <w:keepNext/>
              <w:spacing w:after="60"/>
              <w:jc w:val="right"/>
              <w:rPr>
                <w:b/>
                <w:bCs/>
              </w:rPr>
            </w:pPr>
            <w:r>
              <w:rPr>
                <w:rFonts w:cs="Arial"/>
                <w:b/>
                <w:bCs/>
                <w:color w:val="424141"/>
                <w:szCs w:val="22"/>
              </w:rPr>
              <w:t>-9</w:t>
            </w:r>
          </w:p>
        </w:tc>
        <w:tc>
          <w:tcPr>
            <w:tcW w:w="587" w:type="pct"/>
            <w:tcBorders>
              <w:top w:val="single" w:sz="4" w:space="0" w:color="auto"/>
              <w:bottom w:val="double" w:sz="4" w:space="0" w:color="auto"/>
            </w:tcBorders>
            <w:shd w:val="clear" w:color="auto" w:fill="auto"/>
            <w:vAlign w:val="center"/>
          </w:tcPr>
          <w:p w14:paraId="21AC010F" w14:textId="6EAA96B5" w:rsidR="00F95AAB" w:rsidRPr="00D408DC" w:rsidRDefault="00F95AAB" w:rsidP="00F95AAB">
            <w:pPr>
              <w:pStyle w:val="Bodytext"/>
              <w:keepNext/>
              <w:spacing w:after="60"/>
              <w:jc w:val="right"/>
              <w:rPr>
                <w:b/>
                <w:bCs/>
                <w:color w:val="BFBFBF" w:themeColor="background1" w:themeShade="BF"/>
              </w:rPr>
            </w:pPr>
            <w:r>
              <w:rPr>
                <w:rFonts w:cs="Arial"/>
                <w:b/>
                <w:bCs/>
                <w:color w:val="BFBFBF"/>
                <w:szCs w:val="22"/>
              </w:rPr>
              <w:t>-10</w:t>
            </w:r>
          </w:p>
        </w:tc>
        <w:tc>
          <w:tcPr>
            <w:tcW w:w="525" w:type="pct"/>
            <w:tcBorders>
              <w:top w:val="single" w:sz="4" w:space="0" w:color="auto"/>
              <w:bottom w:val="double" w:sz="4" w:space="0" w:color="auto"/>
            </w:tcBorders>
            <w:shd w:val="clear" w:color="auto" w:fill="BFBFBF" w:themeFill="background1" w:themeFillShade="BF"/>
            <w:vAlign w:val="center"/>
          </w:tcPr>
          <w:p w14:paraId="5EB15F22" w14:textId="288E99E6" w:rsidR="00F95AAB" w:rsidRPr="009D4283" w:rsidRDefault="00F95AAB" w:rsidP="00F95AAB">
            <w:pPr>
              <w:pStyle w:val="Bodytext"/>
              <w:keepNext/>
              <w:spacing w:after="60"/>
              <w:jc w:val="right"/>
              <w:rPr>
                <w:b/>
                <w:bCs/>
              </w:rPr>
            </w:pPr>
            <w:r>
              <w:rPr>
                <w:rFonts w:cs="Arial"/>
                <w:b/>
                <w:bCs/>
                <w:color w:val="424141"/>
                <w:szCs w:val="22"/>
              </w:rPr>
              <w:t>-35</w:t>
            </w:r>
          </w:p>
        </w:tc>
        <w:tc>
          <w:tcPr>
            <w:tcW w:w="597" w:type="pct"/>
            <w:tcBorders>
              <w:top w:val="single" w:sz="4" w:space="0" w:color="auto"/>
              <w:bottom w:val="double" w:sz="4" w:space="0" w:color="auto"/>
            </w:tcBorders>
            <w:shd w:val="clear" w:color="auto" w:fill="auto"/>
            <w:vAlign w:val="center"/>
          </w:tcPr>
          <w:p w14:paraId="559B8E84" w14:textId="43C54A53" w:rsidR="00F95AAB" w:rsidRPr="00D408DC" w:rsidRDefault="00F95AAB" w:rsidP="00F95AAB">
            <w:pPr>
              <w:pStyle w:val="Bodytext"/>
              <w:keepNext/>
              <w:spacing w:after="60"/>
              <w:jc w:val="right"/>
              <w:rPr>
                <w:b/>
                <w:bCs/>
                <w:color w:val="BFBFBF" w:themeColor="background1" w:themeShade="BF"/>
              </w:rPr>
            </w:pPr>
            <w:r>
              <w:rPr>
                <w:rFonts w:cs="Arial"/>
                <w:b/>
                <w:bCs/>
                <w:color w:val="BFBFBF"/>
                <w:szCs w:val="22"/>
              </w:rPr>
              <w:t>467</w:t>
            </w:r>
          </w:p>
        </w:tc>
        <w:tc>
          <w:tcPr>
            <w:tcW w:w="477" w:type="pct"/>
            <w:tcBorders>
              <w:top w:val="single" w:sz="4" w:space="0" w:color="auto"/>
              <w:bottom w:val="double" w:sz="4" w:space="0" w:color="auto"/>
            </w:tcBorders>
            <w:shd w:val="clear" w:color="auto" w:fill="BFBFBF" w:themeFill="background1" w:themeFillShade="BF"/>
            <w:vAlign w:val="center"/>
          </w:tcPr>
          <w:p w14:paraId="4BB73EC3" w14:textId="194D9623" w:rsidR="00F95AAB" w:rsidRPr="009D4283" w:rsidRDefault="00F95AAB" w:rsidP="00F95AAB">
            <w:pPr>
              <w:pStyle w:val="Bodytext"/>
              <w:keepNext/>
              <w:spacing w:after="60"/>
              <w:jc w:val="right"/>
              <w:rPr>
                <w:b/>
                <w:bCs/>
              </w:rPr>
            </w:pPr>
            <w:r>
              <w:rPr>
                <w:rFonts w:cs="Arial"/>
                <w:b/>
                <w:bCs/>
                <w:color w:val="424141"/>
                <w:szCs w:val="22"/>
              </w:rPr>
              <w:t>91</w:t>
            </w:r>
            <w:r w:rsidR="00D465B5">
              <w:rPr>
                <w:rFonts w:cs="Arial"/>
                <w:b/>
                <w:bCs/>
                <w:color w:val="424141"/>
                <w:szCs w:val="22"/>
              </w:rPr>
              <w:t>9</w:t>
            </w:r>
          </w:p>
        </w:tc>
        <w:tc>
          <w:tcPr>
            <w:tcW w:w="594" w:type="pct"/>
            <w:tcBorders>
              <w:top w:val="single" w:sz="4" w:space="0" w:color="auto"/>
              <w:bottom w:val="double" w:sz="4" w:space="0" w:color="auto"/>
            </w:tcBorders>
            <w:shd w:val="clear" w:color="auto" w:fill="auto"/>
            <w:vAlign w:val="center"/>
          </w:tcPr>
          <w:p w14:paraId="4FEF8C64" w14:textId="69D5BDDA" w:rsidR="00F95AAB" w:rsidRPr="00D408DC" w:rsidRDefault="00F95AAB" w:rsidP="00F95AAB">
            <w:pPr>
              <w:pStyle w:val="Bodytext"/>
              <w:keepNext/>
              <w:spacing w:after="60"/>
              <w:jc w:val="right"/>
              <w:rPr>
                <w:b/>
                <w:bCs/>
                <w:color w:val="BFBFBF" w:themeColor="background1" w:themeShade="BF"/>
              </w:rPr>
            </w:pPr>
            <w:r>
              <w:rPr>
                <w:rFonts w:cs="Arial"/>
                <w:b/>
                <w:bCs/>
                <w:color w:val="BFBFBF"/>
                <w:szCs w:val="22"/>
              </w:rPr>
              <w:t>963</w:t>
            </w:r>
          </w:p>
        </w:tc>
      </w:tr>
    </w:tbl>
    <w:p w14:paraId="127BEC71" w14:textId="77777777" w:rsidR="0079432B" w:rsidRDefault="0079432B" w:rsidP="00137A7E">
      <w:pPr>
        <w:pStyle w:val="Bodytext"/>
        <w:keepNext/>
        <w:sectPr w:rsidR="0079432B" w:rsidSect="00237BC5">
          <w:type w:val="continuous"/>
          <w:pgSz w:w="16840" w:h="11900" w:orient="landscape"/>
          <w:pgMar w:top="1021" w:right="1701" w:bottom="1021" w:left="851" w:header="851" w:footer="851" w:gutter="0"/>
          <w:cols w:space="720"/>
          <w:docGrid w:linePitch="360"/>
        </w:sectPr>
      </w:pPr>
    </w:p>
    <w:p w14:paraId="4713FE3D" w14:textId="77777777" w:rsidR="00D9313C" w:rsidRDefault="00D9313C" w:rsidP="00137A7E">
      <w:pPr>
        <w:pStyle w:val="Bodytext"/>
        <w:keepNext/>
      </w:pPr>
      <w:r w:rsidRPr="006644A8">
        <w:lastRenderedPageBreak/>
        <w:t xml:space="preserve">The objects of the Guptah endowment are to apply the income from the original permanently endowed gift to promote the preservation of health and recovery of patients and former patients of the </w:t>
      </w:r>
      <w:r>
        <w:t>Healthville</w:t>
      </w:r>
      <w:r w:rsidRPr="006644A8">
        <w:t xml:space="preserve"> Hospital, Psychiatric Hospital </w:t>
      </w:r>
      <w:r>
        <w:t>Healthville</w:t>
      </w:r>
      <w:r w:rsidRPr="006644A8">
        <w:t xml:space="preserve"> or such other hospitals as </w:t>
      </w:r>
      <w:r w:rsidRPr="006644A8">
        <w:t xml:space="preserve">may from time to time form a part of the NHS Trusts (or their successors) currently responsible for the hospitals listed. </w:t>
      </w:r>
    </w:p>
    <w:p w14:paraId="0656EC28" w14:textId="5A486D8B" w:rsidR="00D41678" w:rsidRDefault="00D9313C" w:rsidP="00D41678">
      <w:pPr>
        <w:pStyle w:val="Bodytext"/>
      </w:pPr>
      <w:r>
        <w:t>The Guptah endowment is managed on a total return basis. In 202</w:t>
      </w:r>
      <w:r w:rsidR="00AC3996">
        <w:t>3</w:t>
      </w:r>
      <w:r w:rsidR="00ED2D82">
        <w:t>/2</w:t>
      </w:r>
      <w:r w:rsidR="00AC3996">
        <w:t>4</w:t>
      </w:r>
      <w:r>
        <w:t>, there has been no transfer from the permanent endowment to unrestricted income funds. For more information see note 23</w:t>
      </w:r>
      <w:r w:rsidR="00D41678">
        <w:t>.</w:t>
      </w:r>
    </w:p>
    <w:p w14:paraId="6FBB4FBD" w14:textId="77777777" w:rsidR="0079432B" w:rsidRDefault="0079432B" w:rsidP="00052572">
      <w:pPr>
        <w:pStyle w:val="TableTitle"/>
        <w:keepNext/>
        <w:numPr>
          <w:ilvl w:val="0"/>
          <w:numId w:val="44"/>
        </w:numPr>
        <w:sectPr w:rsidR="0079432B" w:rsidSect="00237BC5">
          <w:headerReference w:type="default" r:id="rId33"/>
          <w:headerReference w:type="first" r:id="rId34"/>
          <w:footerReference w:type="first" r:id="rId35"/>
          <w:type w:val="continuous"/>
          <w:pgSz w:w="16840" w:h="11900" w:orient="landscape"/>
          <w:pgMar w:top="1021" w:right="1701" w:bottom="1021" w:left="851" w:header="851" w:footer="851" w:gutter="0"/>
          <w:cols w:num="2" w:space="720"/>
          <w:docGrid w:linePitch="360"/>
        </w:sectPr>
      </w:pPr>
    </w:p>
    <w:p w14:paraId="65F1082E" w14:textId="372A6040" w:rsidR="00D9313C" w:rsidRPr="006644A8" w:rsidRDefault="00D9313C" w:rsidP="00052572">
      <w:pPr>
        <w:pStyle w:val="TableTitle"/>
        <w:keepNext/>
        <w:numPr>
          <w:ilvl w:val="0"/>
          <w:numId w:val="44"/>
        </w:numPr>
      </w:pPr>
      <w:r w:rsidRPr="006644A8">
        <w:t xml:space="preserve">Analysis of </w:t>
      </w:r>
      <w:r>
        <w:t>r</w:t>
      </w:r>
      <w:r w:rsidRPr="006644A8">
        <w:t>estricted fund movements</w:t>
      </w:r>
    </w:p>
    <w:tbl>
      <w:tblPr>
        <w:tblpPr w:leftFromText="180" w:rightFromText="180" w:vertAnchor="text" w:tblpY="-3"/>
        <w:tblW w:w="5000" w:type="pct"/>
        <w:tblLayout w:type="fixed"/>
        <w:tblLook w:val="01E0" w:firstRow="1" w:lastRow="1" w:firstColumn="1" w:lastColumn="1" w:noHBand="0" w:noVBand="0"/>
      </w:tblPr>
      <w:tblGrid>
        <w:gridCol w:w="1700"/>
        <w:gridCol w:w="992"/>
        <w:gridCol w:w="992"/>
        <w:gridCol w:w="994"/>
        <w:gridCol w:w="986"/>
        <w:gridCol w:w="1126"/>
        <w:gridCol w:w="1012"/>
        <w:gridCol w:w="1132"/>
        <w:gridCol w:w="1129"/>
        <w:gridCol w:w="1132"/>
        <w:gridCol w:w="1069"/>
        <w:gridCol w:w="1012"/>
        <w:gridCol w:w="1012"/>
      </w:tblGrid>
      <w:tr w:rsidR="00D9313C" w:rsidRPr="00B05EEE" w14:paraId="1EF1C4E3" w14:textId="77777777" w:rsidTr="00E96255">
        <w:trPr>
          <w:cantSplit/>
        </w:trPr>
        <w:tc>
          <w:tcPr>
            <w:tcW w:w="595" w:type="pct"/>
            <w:shd w:val="clear" w:color="auto" w:fill="auto"/>
            <w:vAlign w:val="bottom"/>
          </w:tcPr>
          <w:p w14:paraId="6AD3B336" w14:textId="77777777" w:rsidR="00D9313C" w:rsidRPr="00A04572" w:rsidRDefault="00D9313C" w:rsidP="00030862">
            <w:pPr>
              <w:pStyle w:val="Bodytext"/>
              <w:keepNext/>
              <w:spacing w:after="60"/>
              <w:rPr>
                <w:b/>
                <w:sz w:val="20"/>
                <w:szCs w:val="20"/>
              </w:rPr>
            </w:pPr>
          </w:p>
        </w:tc>
        <w:tc>
          <w:tcPr>
            <w:tcW w:w="694" w:type="pct"/>
            <w:gridSpan w:val="2"/>
            <w:shd w:val="clear" w:color="auto" w:fill="auto"/>
            <w:vAlign w:val="bottom"/>
          </w:tcPr>
          <w:p w14:paraId="568F0B0A" w14:textId="61F65A85" w:rsidR="00802069" w:rsidRPr="00A04572" w:rsidRDefault="00D9313C" w:rsidP="00802069">
            <w:pPr>
              <w:pStyle w:val="Bodytext"/>
              <w:keepNext/>
              <w:spacing w:after="60"/>
              <w:jc w:val="center"/>
              <w:rPr>
                <w:b/>
                <w:sz w:val="20"/>
                <w:szCs w:val="20"/>
              </w:rPr>
            </w:pPr>
            <w:r w:rsidRPr="00A04572">
              <w:rPr>
                <w:b/>
                <w:sz w:val="20"/>
                <w:szCs w:val="20"/>
              </w:rPr>
              <w:t>Fund balance brought forward</w:t>
            </w:r>
            <w:r w:rsidR="00802069">
              <w:rPr>
                <w:b/>
                <w:sz w:val="20"/>
                <w:szCs w:val="20"/>
              </w:rPr>
              <w:br/>
              <w:t>1April</w:t>
            </w:r>
          </w:p>
        </w:tc>
        <w:tc>
          <w:tcPr>
            <w:tcW w:w="693" w:type="pct"/>
            <w:gridSpan w:val="2"/>
            <w:shd w:val="clear" w:color="auto" w:fill="auto"/>
            <w:vAlign w:val="bottom"/>
          </w:tcPr>
          <w:p w14:paraId="48A7522D" w14:textId="77777777" w:rsidR="00D9313C" w:rsidRPr="00A04572" w:rsidRDefault="00D9313C" w:rsidP="00030862">
            <w:pPr>
              <w:pStyle w:val="Bodytext"/>
              <w:keepNext/>
              <w:spacing w:after="60"/>
              <w:jc w:val="center"/>
              <w:rPr>
                <w:b/>
                <w:sz w:val="20"/>
                <w:szCs w:val="20"/>
              </w:rPr>
            </w:pPr>
            <w:r w:rsidRPr="00A04572">
              <w:rPr>
                <w:b/>
                <w:sz w:val="20"/>
                <w:szCs w:val="20"/>
              </w:rPr>
              <w:t>Income</w:t>
            </w:r>
          </w:p>
        </w:tc>
        <w:tc>
          <w:tcPr>
            <w:tcW w:w="748" w:type="pct"/>
            <w:gridSpan w:val="2"/>
            <w:shd w:val="clear" w:color="auto" w:fill="auto"/>
            <w:vAlign w:val="bottom"/>
          </w:tcPr>
          <w:p w14:paraId="5608767E" w14:textId="77777777" w:rsidR="00D9313C" w:rsidRPr="00A04572" w:rsidRDefault="00D9313C" w:rsidP="00030862">
            <w:pPr>
              <w:pStyle w:val="Bodytext"/>
              <w:keepNext/>
              <w:spacing w:after="60"/>
              <w:jc w:val="center"/>
              <w:rPr>
                <w:b/>
                <w:sz w:val="20"/>
                <w:szCs w:val="20"/>
              </w:rPr>
            </w:pPr>
            <w:r w:rsidRPr="00A04572">
              <w:rPr>
                <w:b/>
                <w:sz w:val="20"/>
                <w:szCs w:val="20"/>
              </w:rPr>
              <w:t>Expenditure</w:t>
            </w:r>
          </w:p>
        </w:tc>
        <w:tc>
          <w:tcPr>
            <w:tcW w:w="791" w:type="pct"/>
            <w:gridSpan w:val="2"/>
            <w:shd w:val="clear" w:color="auto" w:fill="auto"/>
            <w:vAlign w:val="bottom"/>
          </w:tcPr>
          <w:p w14:paraId="1DB69A10" w14:textId="77777777" w:rsidR="00D9313C" w:rsidRPr="00A04572" w:rsidRDefault="00D9313C" w:rsidP="00030862">
            <w:pPr>
              <w:pStyle w:val="Bodytext"/>
              <w:keepNext/>
              <w:spacing w:after="60"/>
              <w:jc w:val="center"/>
              <w:rPr>
                <w:b/>
                <w:sz w:val="20"/>
                <w:szCs w:val="20"/>
              </w:rPr>
            </w:pPr>
            <w:r w:rsidRPr="00A04572">
              <w:rPr>
                <w:b/>
                <w:sz w:val="20"/>
                <w:szCs w:val="20"/>
              </w:rPr>
              <w:t>Transfers</w:t>
            </w:r>
          </w:p>
        </w:tc>
        <w:tc>
          <w:tcPr>
            <w:tcW w:w="770" w:type="pct"/>
            <w:gridSpan w:val="2"/>
            <w:vAlign w:val="bottom"/>
          </w:tcPr>
          <w:p w14:paraId="01412CEF" w14:textId="77777777" w:rsidR="00D9313C" w:rsidRPr="00A04572" w:rsidRDefault="00D9313C" w:rsidP="00030862">
            <w:pPr>
              <w:pStyle w:val="Bodytext"/>
              <w:keepNext/>
              <w:spacing w:after="60"/>
              <w:jc w:val="center"/>
              <w:rPr>
                <w:b/>
                <w:sz w:val="20"/>
                <w:szCs w:val="20"/>
              </w:rPr>
            </w:pPr>
            <w:r w:rsidRPr="00A04572">
              <w:rPr>
                <w:b/>
                <w:sz w:val="20"/>
                <w:szCs w:val="20"/>
              </w:rPr>
              <w:t>Gains and losses</w:t>
            </w:r>
          </w:p>
        </w:tc>
        <w:tc>
          <w:tcPr>
            <w:tcW w:w="708" w:type="pct"/>
            <w:gridSpan w:val="2"/>
            <w:shd w:val="clear" w:color="auto" w:fill="auto"/>
            <w:vAlign w:val="bottom"/>
          </w:tcPr>
          <w:p w14:paraId="3C658D7D" w14:textId="6A1C0FA4" w:rsidR="00D9313C" w:rsidRPr="00A04572" w:rsidRDefault="00D9313C" w:rsidP="00030862">
            <w:pPr>
              <w:pStyle w:val="Bodytext"/>
              <w:keepNext/>
              <w:spacing w:after="60"/>
              <w:jc w:val="center"/>
              <w:rPr>
                <w:b/>
                <w:sz w:val="20"/>
                <w:szCs w:val="20"/>
              </w:rPr>
            </w:pPr>
            <w:r w:rsidRPr="00A04572">
              <w:rPr>
                <w:b/>
                <w:sz w:val="20"/>
                <w:szCs w:val="20"/>
              </w:rPr>
              <w:t>Fund balance carried forwar</w:t>
            </w:r>
            <w:r w:rsidR="0017771D">
              <w:rPr>
                <w:b/>
                <w:sz w:val="20"/>
                <w:szCs w:val="20"/>
              </w:rPr>
              <w:t>d</w:t>
            </w:r>
            <w:r w:rsidR="00802069">
              <w:rPr>
                <w:b/>
                <w:sz w:val="20"/>
                <w:szCs w:val="20"/>
              </w:rPr>
              <w:br/>
              <w:t>31 March</w:t>
            </w:r>
          </w:p>
        </w:tc>
      </w:tr>
      <w:tr w:rsidR="009B5F60" w:rsidRPr="00B05EEE" w14:paraId="2529C683" w14:textId="77777777" w:rsidTr="00E96255">
        <w:trPr>
          <w:cantSplit/>
        </w:trPr>
        <w:tc>
          <w:tcPr>
            <w:tcW w:w="595" w:type="pct"/>
            <w:shd w:val="clear" w:color="auto" w:fill="auto"/>
            <w:vAlign w:val="bottom"/>
          </w:tcPr>
          <w:p w14:paraId="3C1AFA8D" w14:textId="77777777" w:rsidR="009B5F60" w:rsidRPr="00A04572" w:rsidRDefault="009B5F60" w:rsidP="009B5F60">
            <w:pPr>
              <w:pStyle w:val="Bodytext"/>
              <w:keepNext/>
              <w:spacing w:after="60"/>
              <w:rPr>
                <w:b/>
                <w:sz w:val="20"/>
                <w:szCs w:val="20"/>
              </w:rPr>
            </w:pPr>
          </w:p>
        </w:tc>
        <w:tc>
          <w:tcPr>
            <w:tcW w:w="347" w:type="pct"/>
            <w:shd w:val="clear" w:color="auto" w:fill="D9D9D9" w:themeFill="background1" w:themeFillShade="D9"/>
          </w:tcPr>
          <w:p w14:paraId="216ADA7D" w14:textId="435CCA84" w:rsidR="009B5F60" w:rsidRPr="00052572" w:rsidRDefault="009B5F60" w:rsidP="009B5F60">
            <w:pPr>
              <w:pStyle w:val="Bodytext"/>
              <w:keepNext/>
              <w:spacing w:after="60"/>
              <w:jc w:val="right"/>
              <w:rPr>
                <w:b/>
                <w:sz w:val="20"/>
                <w:szCs w:val="20"/>
              </w:rPr>
            </w:pPr>
            <w:r w:rsidRPr="00052572">
              <w:rPr>
                <w:b/>
                <w:sz w:val="20"/>
                <w:szCs w:val="20"/>
              </w:rPr>
              <w:t>202</w:t>
            </w:r>
            <w:r w:rsidR="004539B9">
              <w:rPr>
                <w:b/>
                <w:sz w:val="20"/>
                <w:szCs w:val="20"/>
              </w:rPr>
              <w:t>3</w:t>
            </w:r>
            <w:r w:rsidRPr="00052572">
              <w:rPr>
                <w:b/>
                <w:sz w:val="20"/>
                <w:szCs w:val="20"/>
              </w:rPr>
              <w:t>/2</w:t>
            </w:r>
            <w:r w:rsidR="004539B9">
              <w:rPr>
                <w:b/>
                <w:sz w:val="20"/>
                <w:szCs w:val="20"/>
              </w:rPr>
              <w:t>4</w:t>
            </w:r>
          </w:p>
          <w:p w14:paraId="249A62C7" w14:textId="3FA65256" w:rsidR="009B5F60" w:rsidRPr="009B5F60" w:rsidRDefault="009B5F60" w:rsidP="009B5F60">
            <w:pPr>
              <w:pStyle w:val="Bodytext"/>
              <w:keepNext/>
              <w:spacing w:after="60"/>
              <w:jc w:val="right"/>
              <w:rPr>
                <w:b/>
                <w:sz w:val="20"/>
                <w:szCs w:val="20"/>
              </w:rPr>
            </w:pPr>
            <w:r w:rsidRPr="00052572">
              <w:rPr>
                <w:b/>
                <w:sz w:val="20"/>
                <w:szCs w:val="20"/>
              </w:rPr>
              <w:t>£000</w:t>
            </w:r>
          </w:p>
        </w:tc>
        <w:tc>
          <w:tcPr>
            <w:tcW w:w="347" w:type="pct"/>
          </w:tcPr>
          <w:p w14:paraId="5D683E14" w14:textId="0A8CC220" w:rsidR="009B5F60" w:rsidRPr="00052572" w:rsidRDefault="009B5F60" w:rsidP="009B5F60">
            <w:pPr>
              <w:pStyle w:val="Bodytext"/>
              <w:keepNext/>
              <w:spacing w:after="60"/>
              <w:jc w:val="right"/>
              <w:rPr>
                <w:b/>
                <w:color w:val="A6A6A6" w:themeColor="background1" w:themeShade="A6"/>
                <w:sz w:val="20"/>
                <w:szCs w:val="20"/>
              </w:rPr>
            </w:pPr>
            <w:r w:rsidRPr="00052572">
              <w:rPr>
                <w:b/>
                <w:color w:val="A6A6A6" w:themeColor="background1" w:themeShade="A6"/>
                <w:sz w:val="20"/>
                <w:szCs w:val="20"/>
              </w:rPr>
              <w:t>202</w:t>
            </w:r>
            <w:r w:rsidR="004539B9">
              <w:rPr>
                <w:b/>
                <w:color w:val="A6A6A6" w:themeColor="background1" w:themeShade="A6"/>
                <w:sz w:val="20"/>
                <w:szCs w:val="20"/>
              </w:rPr>
              <w:t>2</w:t>
            </w:r>
            <w:r w:rsidRPr="00052572">
              <w:rPr>
                <w:b/>
                <w:color w:val="A6A6A6" w:themeColor="background1" w:themeShade="A6"/>
                <w:sz w:val="20"/>
                <w:szCs w:val="20"/>
              </w:rPr>
              <w:t>/2</w:t>
            </w:r>
            <w:r w:rsidR="004539B9">
              <w:rPr>
                <w:b/>
                <w:color w:val="A6A6A6" w:themeColor="background1" w:themeShade="A6"/>
                <w:sz w:val="20"/>
                <w:szCs w:val="20"/>
              </w:rPr>
              <w:t>3</w:t>
            </w:r>
          </w:p>
          <w:p w14:paraId="2260F268" w14:textId="50E17296" w:rsidR="009B5F60" w:rsidRPr="009B5F60" w:rsidRDefault="009B5F60" w:rsidP="009B5F60">
            <w:pPr>
              <w:pStyle w:val="Bodytext"/>
              <w:keepNext/>
              <w:spacing w:after="60"/>
              <w:jc w:val="right"/>
              <w:rPr>
                <w:b/>
                <w:sz w:val="20"/>
                <w:szCs w:val="20"/>
              </w:rPr>
            </w:pPr>
            <w:r w:rsidRPr="00052572">
              <w:rPr>
                <w:b/>
                <w:color w:val="A6A6A6" w:themeColor="background1" w:themeShade="A6"/>
                <w:sz w:val="20"/>
                <w:szCs w:val="20"/>
              </w:rPr>
              <w:t>£000</w:t>
            </w:r>
          </w:p>
        </w:tc>
        <w:tc>
          <w:tcPr>
            <w:tcW w:w="348" w:type="pct"/>
            <w:shd w:val="clear" w:color="auto" w:fill="D9D9D9" w:themeFill="background1" w:themeFillShade="D9"/>
          </w:tcPr>
          <w:p w14:paraId="05331648" w14:textId="2653A2D4" w:rsidR="009B5F60" w:rsidRPr="00052572" w:rsidRDefault="009B5F60" w:rsidP="009B5F60">
            <w:pPr>
              <w:pStyle w:val="Bodytext"/>
              <w:keepNext/>
              <w:spacing w:after="60"/>
              <w:jc w:val="right"/>
              <w:rPr>
                <w:b/>
                <w:sz w:val="20"/>
                <w:szCs w:val="20"/>
              </w:rPr>
            </w:pPr>
            <w:r w:rsidRPr="00052572">
              <w:rPr>
                <w:b/>
                <w:sz w:val="20"/>
                <w:szCs w:val="20"/>
              </w:rPr>
              <w:t>202</w:t>
            </w:r>
            <w:r w:rsidR="004539B9">
              <w:rPr>
                <w:b/>
                <w:sz w:val="20"/>
                <w:szCs w:val="20"/>
              </w:rPr>
              <w:t>3</w:t>
            </w:r>
            <w:r w:rsidRPr="00052572">
              <w:rPr>
                <w:b/>
                <w:sz w:val="20"/>
                <w:szCs w:val="20"/>
              </w:rPr>
              <w:t>/2</w:t>
            </w:r>
            <w:r w:rsidR="004539B9">
              <w:rPr>
                <w:b/>
                <w:sz w:val="20"/>
                <w:szCs w:val="20"/>
              </w:rPr>
              <w:t>4</w:t>
            </w:r>
          </w:p>
          <w:p w14:paraId="4B2B40E6" w14:textId="76174FD3" w:rsidR="009B5F60" w:rsidRPr="009B5F60" w:rsidRDefault="009B5F60" w:rsidP="009B5F60">
            <w:pPr>
              <w:pStyle w:val="Bodytext"/>
              <w:keepNext/>
              <w:spacing w:after="60"/>
              <w:jc w:val="right"/>
              <w:rPr>
                <w:b/>
                <w:sz w:val="20"/>
                <w:szCs w:val="20"/>
              </w:rPr>
            </w:pPr>
            <w:r w:rsidRPr="00052572">
              <w:rPr>
                <w:b/>
                <w:sz w:val="20"/>
                <w:szCs w:val="20"/>
              </w:rPr>
              <w:t>£000</w:t>
            </w:r>
          </w:p>
        </w:tc>
        <w:tc>
          <w:tcPr>
            <w:tcW w:w="345" w:type="pct"/>
          </w:tcPr>
          <w:p w14:paraId="50E5A0CD" w14:textId="28E947AB" w:rsidR="009B5F60" w:rsidRPr="00052572" w:rsidRDefault="009B5F60" w:rsidP="009B5F60">
            <w:pPr>
              <w:pStyle w:val="Bodytext"/>
              <w:keepNext/>
              <w:spacing w:after="60"/>
              <w:jc w:val="right"/>
              <w:rPr>
                <w:b/>
                <w:color w:val="A6A6A6" w:themeColor="background1" w:themeShade="A6"/>
                <w:sz w:val="20"/>
                <w:szCs w:val="20"/>
              </w:rPr>
            </w:pPr>
            <w:r w:rsidRPr="00052572">
              <w:rPr>
                <w:b/>
                <w:color w:val="A6A6A6" w:themeColor="background1" w:themeShade="A6"/>
                <w:sz w:val="20"/>
                <w:szCs w:val="20"/>
              </w:rPr>
              <w:t>2022</w:t>
            </w:r>
            <w:r w:rsidR="004539B9">
              <w:rPr>
                <w:b/>
                <w:color w:val="A6A6A6" w:themeColor="background1" w:themeShade="A6"/>
                <w:sz w:val="20"/>
                <w:szCs w:val="20"/>
              </w:rPr>
              <w:t>/</w:t>
            </w:r>
            <w:r w:rsidRPr="00052572">
              <w:rPr>
                <w:b/>
                <w:color w:val="A6A6A6" w:themeColor="background1" w:themeShade="A6"/>
                <w:sz w:val="20"/>
                <w:szCs w:val="20"/>
              </w:rPr>
              <w:t>2</w:t>
            </w:r>
            <w:r w:rsidR="005F6CF1">
              <w:rPr>
                <w:b/>
                <w:color w:val="A6A6A6" w:themeColor="background1" w:themeShade="A6"/>
                <w:sz w:val="20"/>
                <w:szCs w:val="20"/>
              </w:rPr>
              <w:t>3</w:t>
            </w:r>
          </w:p>
          <w:p w14:paraId="36988991" w14:textId="6F40B452" w:rsidR="009B5F60" w:rsidRPr="009B5F60" w:rsidRDefault="009B5F60" w:rsidP="009B5F60">
            <w:pPr>
              <w:pStyle w:val="Bodytext"/>
              <w:keepNext/>
              <w:spacing w:after="60"/>
              <w:jc w:val="right"/>
              <w:rPr>
                <w:b/>
                <w:sz w:val="20"/>
                <w:szCs w:val="20"/>
              </w:rPr>
            </w:pPr>
            <w:r w:rsidRPr="00052572">
              <w:rPr>
                <w:b/>
                <w:color w:val="A6A6A6" w:themeColor="background1" w:themeShade="A6"/>
                <w:sz w:val="20"/>
                <w:szCs w:val="20"/>
              </w:rPr>
              <w:t>£000</w:t>
            </w:r>
          </w:p>
        </w:tc>
        <w:tc>
          <w:tcPr>
            <w:tcW w:w="394" w:type="pct"/>
            <w:shd w:val="clear" w:color="auto" w:fill="D9D9D9" w:themeFill="background1" w:themeFillShade="D9"/>
          </w:tcPr>
          <w:p w14:paraId="7A8DCF3C" w14:textId="4486B78C" w:rsidR="009B5F60" w:rsidRPr="00052572" w:rsidRDefault="009B5F60" w:rsidP="009B5F60">
            <w:pPr>
              <w:pStyle w:val="Bodytext"/>
              <w:keepNext/>
              <w:spacing w:after="60"/>
              <w:jc w:val="right"/>
              <w:rPr>
                <w:b/>
                <w:sz w:val="20"/>
                <w:szCs w:val="20"/>
              </w:rPr>
            </w:pPr>
            <w:r w:rsidRPr="00052572">
              <w:rPr>
                <w:b/>
                <w:sz w:val="20"/>
                <w:szCs w:val="20"/>
              </w:rPr>
              <w:t>202</w:t>
            </w:r>
            <w:r w:rsidR="00E62799">
              <w:rPr>
                <w:b/>
                <w:sz w:val="20"/>
                <w:szCs w:val="20"/>
              </w:rPr>
              <w:t>3</w:t>
            </w:r>
            <w:r w:rsidRPr="00052572">
              <w:rPr>
                <w:b/>
                <w:sz w:val="20"/>
                <w:szCs w:val="20"/>
              </w:rPr>
              <w:t>/2</w:t>
            </w:r>
            <w:r w:rsidR="00E62799">
              <w:rPr>
                <w:b/>
                <w:sz w:val="20"/>
                <w:szCs w:val="20"/>
              </w:rPr>
              <w:t>4</w:t>
            </w:r>
          </w:p>
          <w:p w14:paraId="4BD89FE2" w14:textId="492FE94F" w:rsidR="009B5F60" w:rsidRPr="009B5F60" w:rsidRDefault="009B5F60" w:rsidP="009B5F60">
            <w:pPr>
              <w:pStyle w:val="Bodytext"/>
              <w:keepNext/>
              <w:spacing w:after="60"/>
              <w:jc w:val="right"/>
              <w:rPr>
                <w:b/>
                <w:sz w:val="20"/>
                <w:szCs w:val="20"/>
              </w:rPr>
            </w:pPr>
            <w:r w:rsidRPr="00052572">
              <w:rPr>
                <w:b/>
                <w:sz w:val="20"/>
                <w:szCs w:val="20"/>
              </w:rPr>
              <w:t>£000</w:t>
            </w:r>
          </w:p>
        </w:tc>
        <w:tc>
          <w:tcPr>
            <w:tcW w:w="354" w:type="pct"/>
          </w:tcPr>
          <w:p w14:paraId="64B7452E" w14:textId="5B18BFC6" w:rsidR="009B5F60" w:rsidRPr="00052572" w:rsidRDefault="009B5F60" w:rsidP="009B5F60">
            <w:pPr>
              <w:pStyle w:val="Bodytext"/>
              <w:keepNext/>
              <w:spacing w:after="60"/>
              <w:jc w:val="right"/>
              <w:rPr>
                <w:b/>
                <w:color w:val="A6A6A6" w:themeColor="background1" w:themeShade="A6"/>
                <w:sz w:val="20"/>
                <w:szCs w:val="20"/>
              </w:rPr>
            </w:pPr>
            <w:r w:rsidRPr="00052572">
              <w:rPr>
                <w:b/>
                <w:color w:val="A6A6A6" w:themeColor="background1" w:themeShade="A6"/>
                <w:sz w:val="20"/>
                <w:szCs w:val="20"/>
              </w:rPr>
              <w:t>202</w:t>
            </w:r>
            <w:r w:rsidR="00E62799">
              <w:rPr>
                <w:b/>
                <w:color w:val="A6A6A6" w:themeColor="background1" w:themeShade="A6"/>
                <w:sz w:val="20"/>
                <w:szCs w:val="20"/>
              </w:rPr>
              <w:t>2</w:t>
            </w:r>
            <w:r w:rsidRPr="00052572">
              <w:rPr>
                <w:b/>
                <w:color w:val="A6A6A6" w:themeColor="background1" w:themeShade="A6"/>
                <w:sz w:val="20"/>
                <w:szCs w:val="20"/>
              </w:rPr>
              <w:t>/2</w:t>
            </w:r>
            <w:r w:rsidR="00E62799">
              <w:rPr>
                <w:b/>
                <w:color w:val="A6A6A6" w:themeColor="background1" w:themeShade="A6"/>
                <w:sz w:val="20"/>
                <w:szCs w:val="20"/>
              </w:rPr>
              <w:t>3</w:t>
            </w:r>
          </w:p>
          <w:p w14:paraId="044FD24C" w14:textId="0430B1DA" w:rsidR="009B5F60" w:rsidRPr="009B5F60" w:rsidRDefault="009B5F60" w:rsidP="009B5F60">
            <w:pPr>
              <w:pStyle w:val="Bodytext"/>
              <w:keepNext/>
              <w:spacing w:after="60"/>
              <w:jc w:val="right"/>
              <w:rPr>
                <w:b/>
                <w:sz w:val="20"/>
                <w:szCs w:val="20"/>
              </w:rPr>
            </w:pPr>
            <w:r w:rsidRPr="00052572">
              <w:rPr>
                <w:b/>
                <w:color w:val="A6A6A6" w:themeColor="background1" w:themeShade="A6"/>
                <w:sz w:val="20"/>
                <w:szCs w:val="20"/>
              </w:rPr>
              <w:t>£000</w:t>
            </w:r>
          </w:p>
        </w:tc>
        <w:tc>
          <w:tcPr>
            <w:tcW w:w="396" w:type="pct"/>
            <w:shd w:val="clear" w:color="auto" w:fill="D9D9D9" w:themeFill="background1" w:themeFillShade="D9"/>
          </w:tcPr>
          <w:p w14:paraId="1884F789" w14:textId="397DFED2" w:rsidR="009B5F60" w:rsidRPr="00052572" w:rsidRDefault="009B5F60" w:rsidP="009B5F60">
            <w:pPr>
              <w:pStyle w:val="Bodytext"/>
              <w:keepNext/>
              <w:spacing w:after="60"/>
              <w:jc w:val="right"/>
              <w:rPr>
                <w:b/>
                <w:sz w:val="20"/>
                <w:szCs w:val="20"/>
              </w:rPr>
            </w:pPr>
            <w:r w:rsidRPr="00052572">
              <w:rPr>
                <w:b/>
                <w:sz w:val="20"/>
                <w:szCs w:val="20"/>
              </w:rPr>
              <w:t>202</w:t>
            </w:r>
            <w:r w:rsidR="00E62799">
              <w:rPr>
                <w:b/>
                <w:sz w:val="20"/>
                <w:szCs w:val="20"/>
              </w:rPr>
              <w:t>3</w:t>
            </w:r>
            <w:r w:rsidRPr="00052572">
              <w:rPr>
                <w:b/>
                <w:sz w:val="20"/>
                <w:szCs w:val="20"/>
              </w:rPr>
              <w:t>/2</w:t>
            </w:r>
            <w:r w:rsidR="00E62799">
              <w:rPr>
                <w:b/>
                <w:sz w:val="20"/>
                <w:szCs w:val="20"/>
              </w:rPr>
              <w:t>4</w:t>
            </w:r>
          </w:p>
          <w:p w14:paraId="05E78F8C" w14:textId="58037A2E" w:rsidR="009B5F60" w:rsidRPr="009B5F60" w:rsidRDefault="009B5F60" w:rsidP="009B5F60">
            <w:pPr>
              <w:pStyle w:val="Bodytext"/>
              <w:keepNext/>
              <w:spacing w:after="60"/>
              <w:jc w:val="right"/>
              <w:rPr>
                <w:b/>
                <w:sz w:val="20"/>
                <w:szCs w:val="20"/>
              </w:rPr>
            </w:pPr>
            <w:r w:rsidRPr="00052572">
              <w:rPr>
                <w:b/>
                <w:sz w:val="20"/>
                <w:szCs w:val="20"/>
              </w:rPr>
              <w:t>£000</w:t>
            </w:r>
          </w:p>
        </w:tc>
        <w:tc>
          <w:tcPr>
            <w:tcW w:w="395" w:type="pct"/>
            <w:shd w:val="clear" w:color="auto" w:fill="auto"/>
          </w:tcPr>
          <w:p w14:paraId="26A60323" w14:textId="31804D47" w:rsidR="009B5F60" w:rsidRPr="00052572" w:rsidRDefault="009B5F60" w:rsidP="009B5F60">
            <w:pPr>
              <w:pStyle w:val="Bodytext"/>
              <w:keepNext/>
              <w:spacing w:after="60"/>
              <w:jc w:val="right"/>
              <w:rPr>
                <w:b/>
                <w:color w:val="A6A6A6" w:themeColor="background1" w:themeShade="A6"/>
                <w:sz w:val="20"/>
                <w:szCs w:val="20"/>
              </w:rPr>
            </w:pPr>
            <w:r w:rsidRPr="00052572">
              <w:rPr>
                <w:b/>
                <w:color w:val="A6A6A6" w:themeColor="background1" w:themeShade="A6"/>
                <w:sz w:val="20"/>
                <w:szCs w:val="20"/>
              </w:rPr>
              <w:t>202</w:t>
            </w:r>
            <w:r w:rsidR="00E62799">
              <w:rPr>
                <w:b/>
                <w:color w:val="A6A6A6" w:themeColor="background1" w:themeShade="A6"/>
                <w:sz w:val="20"/>
                <w:szCs w:val="20"/>
              </w:rPr>
              <w:t>2</w:t>
            </w:r>
            <w:r w:rsidRPr="00052572">
              <w:rPr>
                <w:b/>
                <w:color w:val="A6A6A6" w:themeColor="background1" w:themeShade="A6"/>
                <w:sz w:val="20"/>
                <w:szCs w:val="20"/>
              </w:rPr>
              <w:t>/2</w:t>
            </w:r>
            <w:r w:rsidR="00E62799">
              <w:rPr>
                <w:b/>
                <w:color w:val="A6A6A6" w:themeColor="background1" w:themeShade="A6"/>
                <w:sz w:val="20"/>
                <w:szCs w:val="20"/>
              </w:rPr>
              <w:t>3</w:t>
            </w:r>
          </w:p>
          <w:p w14:paraId="3D1C4278" w14:textId="08E1ADB7" w:rsidR="009B5F60" w:rsidRPr="009B5F60" w:rsidRDefault="009B5F60" w:rsidP="009B5F60">
            <w:pPr>
              <w:pStyle w:val="Bodytext"/>
              <w:keepNext/>
              <w:spacing w:after="60"/>
              <w:jc w:val="right"/>
              <w:rPr>
                <w:b/>
                <w:sz w:val="20"/>
                <w:szCs w:val="20"/>
              </w:rPr>
            </w:pPr>
            <w:r w:rsidRPr="00052572">
              <w:rPr>
                <w:b/>
                <w:color w:val="A6A6A6" w:themeColor="background1" w:themeShade="A6"/>
                <w:sz w:val="20"/>
                <w:szCs w:val="20"/>
              </w:rPr>
              <w:t>£000</w:t>
            </w:r>
          </w:p>
        </w:tc>
        <w:tc>
          <w:tcPr>
            <w:tcW w:w="396" w:type="pct"/>
            <w:shd w:val="clear" w:color="auto" w:fill="D9D9D9" w:themeFill="background1" w:themeFillShade="D9"/>
          </w:tcPr>
          <w:p w14:paraId="432F9C9B" w14:textId="66243959" w:rsidR="009B5F60" w:rsidRPr="00052572" w:rsidRDefault="009B5F60" w:rsidP="009B5F60">
            <w:pPr>
              <w:pStyle w:val="Bodytext"/>
              <w:keepNext/>
              <w:spacing w:after="60"/>
              <w:jc w:val="right"/>
              <w:rPr>
                <w:b/>
                <w:sz w:val="20"/>
                <w:szCs w:val="20"/>
              </w:rPr>
            </w:pPr>
            <w:r w:rsidRPr="00052572">
              <w:rPr>
                <w:b/>
                <w:sz w:val="20"/>
                <w:szCs w:val="20"/>
              </w:rPr>
              <w:t>202</w:t>
            </w:r>
            <w:r w:rsidR="00172339">
              <w:rPr>
                <w:b/>
                <w:sz w:val="20"/>
                <w:szCs w:val="20"/>
              </w:rPr>
              <w:t>3</w:t>
            </w:r>
            <w:r w:rsidRPr="00052572">
              <w:rPr>
                <w:b/>
                <w:sz w:val="20"/>
                <w:szCs w:val="20"/>
              </w:rPr>
              <w:t>/2</w:t>
            </w:r>
            <w:r w:rsidR="00172339">
              <w:rPr>
                <w:b/>
                <w:sz w:val="20"/>
                <w:szCs w:val="20"/>
              </w:rPr>
              <w:t>4</w:t>
            </w:r>
          </w:p>
          <w:p w14:paraId="1D577854" w14:textId="76CC0110" w:rsidR="009B5F60" w:rsidRPr="009B5F60" w:rsidRDefault="009B5F60" w:rsidP="009B5F60">
            <w:pPr>
              <w:pStyle w:val="Bodytext"/>
              <w:keepNext/>
              <w:spacing w:after="60"/>
              <w:jc w:val="right"/>
              <w:rPr>
                <w:b/>
                <w:sz w:val="20"/>
                <w:szCs w:val="20"/>
              </w:rPr>
            </w:pPr>
            <w:r w:rsidRPr="00052572">
              <w:rPr>
                <w:b/>
                <w:sz w:val="20"/>
                <w:szCs w:val="20"/>
              </w:rPr>
              <w:t>£000</w:t>
            </w:r>
          </w:p>
        </w:tc>
        <w:tc>
          <w:tcPr>
            <w:tcW w:w="374" w:type="pct"/>
            <w:shd w:val="clear" w:color="auto" w:fill="auto"/>
          </w:tcPr>
          <w:p w14:paraId="2379D1F3" w14:textId="1A22FB95" w:rsidR="009B5F60" w:rsidRPr="00052572" w:rsidRDefault="009B5F60" w:rsidP="009B5F60">
            <w:pPr>
              <w:pStyle w:val="Bodytext"/>
              <w:keepNext/>
              <w:spacing w:after="60"/>
              <w:jc w:val="right"/>
              <w:rPr>
                <w:b/>
                <w:color w:val="A6A6A6" w:themeColor="background1" w:themeShade="A6"/>
                <w:sz w:val="20"/>
                <w:szCs w:val="20"/>
              </w:rPr>
            </w:pPr>
            <w:r w:rsidRPr="00052572">
              <w:rPr>
                <w:b/>
                <w:color w:val="A6A6A6" w:themeColor="background1" w:themeShade="A6"/>
                <w:sz w:val="20"/>
                <w:szCs w:val="20"/>
              </w:rPr>
              <w:t>202</w:t>
            </w:r>
            <w:r w:rsidR="00172339">
              <w:rPr>
                <w:b/>
                <w:color w:val="A6A6A6" w:themeColor="background1" w:themeShade="A6"/>
                <w:sz w:val="20"/>
                <w:szCs w:val="20"/>
              </w:rPr>
              <w:t>2</w:t>
            </w:r>
            <w:r w:rsidRPr="00052572">
              <w:rPr>
                <w:b/>
                <w:color w:val="A6A6A6" w:themeColor="background1" w:themeShade="A6"/>
                <w:sz w:val="20"/>
                <w:szCs w:val="20"/>
              </w:rPr>
              <w:t>/2</w:t>
            </w:r>
            <w:r w:rsidR="00172339">
              <w:rPr>
                <w:b/>
                <w:color w:val="A6A6A6" w:themeColor="background1" w:themeShade="A6"/>
                <w:sz w:val="20"/>
                <w:szCs w:val="20"/>
              </w:rPr>
              <w:t>3</w:t>
            </w:r>
          </w:p>
          <w:p w14:paraId="5BB113FB" w14:textId="10451EFF" w:rsidR="009B5F60" w:rsidRPr="009B5F60" w:rsidRDefault="009B5F60" w:rsidP="009B5F60">
            <w:pPr>
              <w:pStyle w:val="Bodytext"/>
              <w:keepNext/>
              <w:spacing w:after="60"/>
              <w:jc w:val="right"/>
              <w:rPr>
                <w:b/>
                <w:sz w:val="20"/>
                <w:szCs w:val="20"/>
              </w:rPr>
            </w:pPr>
            <w:r w:rsidRPr="00052572">
              <w:rPr>
                <w:b/>
                <w:color w:val="A6A6A6" w:themeColor="background1" w:themeShade="A6"/>
                <w:sz w:val="20"/>
                <w:szCs w:val="20"/>
              </w:rPr>
              <w:t>£000</w:t>
            </w:r>
          </w:p>
        </w:tc>
        <w:tc>
          <w:tcPr>
            <w:tcW w:w="354" w:type="pct"/>
            <w:shd w:val="clear" w:color="auto" w:fill="D9D9D9" w:themeFill="background1" w:themeFillShade="D9"/>
          </w:tcPr>
          <w:p w14:paraId="32BAF443" w14:textId="45C787FE" w:rsidR="009B5F60" w:rsidRPr="00052572" w:rsidRDefault="009B5F60" w:rsidP="009B5F60">
            <w:pPr>
              <w:pStyle w:val="Bodytext"/>
              <w:keepNext/>
              <w:spacing w:after="60"/>
              <w:jc w:val="right"/>
              <w:rPr>
                <w:b/>
                <w:sz w:val="20"/>
                <w:szCs w:val="20"/>
              </w:rPr>
            </w:pPr>
            <w:r w:rsidRPr="00052572">
              <w:rPr>
                <w:b/>
                <w:sz w:val="20"/>
                <w:szCs w:val="20"/>
              </w:rPr>
              <w:t>202</w:t>
            </w:r>
            <w:r w:rsidR="00172339">
              <w:rPr>
                <w:b/>
                <w:sz w:val="20"/>
                <w:szCs w:val="20"/>
              </w:rPr>
              <w:t>3</w:t>
            </w:r>
            <w:r w:rsidRPr="00052572">
              <w:rPr>
                <w:b/>
                <w:sz w:val="20"/>
                <w:szCs w:val="20"/>
              </w:rPr>
              <w:t>/2</w:t>
            </w:r>
            <w:r w:rsidR="00172339">
              <w:rPr>
                <w:b/>
                <w:sz w:val="20"/>
                <w:szCs w:val="20"/>
              </w:rPr>
              <w:t>4</w:t>
            </w:r>
          </w:p>
          <w:p w14:paraId="64C1E84F" w14:textId="251E677C" w:rsidR="009B5F60" w:rsidRPr="009B5F60" w:rsidRDefault="009B5F60" w:rsidP="009B5F60">
            <w:pPr>
              <w:pStyle w:val="Bodytext"/>
              <w:keepNext/>
              <w:spacing w:after="60"/>
              <w:jc w:val="right"/>
              <w:rPr>
                <w:b/>
                <w:sz w:val="20"/>
                <w:szCs w:val="20"/>
              </w:rPr>
            </w:pPr>
            <w:r w:rsidRPr="00052572">
              <w:rPr>
                <w:b/>
                <w:sz w:val="20"/>
                <w:szCs w:val="20"/>
              </w:rPr>
              <w:t>£000</w:t>
            </w:r>
          </w:p>
        </w:tc>
        <w:tc>
          <w:tcPr>
            <w:tcW w:w="354" w:type="pct"/>
          </w:tcPr>
          <w:p w14:paraId="7A423DD4" w14:textId="20149DC7" w:rsidR="009B5F60" w:rsidRPr="00052572" w:rsidRDefault="009B5F60" w:rsidP="009B5F60">
            <w:pPr>
              <w:pStyle w:val="Bodytext"/>
              <w:keepNext/>
              <w:spacing w:after="60"/>
              <w:jc w:val="right"/>
              <w:rPr>
                <w:b/>
                <w:color w:val="A6A6A6" w:themeColor="background1" w:themeShade="A6"/>
                <w:sz w:val="20"/>
                <w:szCs w:val="20"/>
              </w:rPr>
            </w:pPr>
            <w:r w:rsidRPr="00052572">
              <w:rPr>
                <w:b/>
                <w:color w:val="A6A6A6" w:themeColor="background1" w:themeShade="A6"/>
                <w:sz w:val="20"/>
                <w:szCs w:val="20"/>
              </w:rPr>
              <w:t>202</w:t>
            </w:r>
            <w:r w:rsidR="00172339">
              <w:rPr>
                <w:b/>
                <w:color w:val="A6A6A6" w:themeColor="background1" w:themeShade="A6"/>
                <w:sz w:val="20"/>
                <w:szCs w:val="20"/>
              </w:rPr>
              <w:t>2</w:t>
            </w:r>
            <w:r w:rsidRPr="00052572">
              <w:rPr>
                <w:b/>
                <w:color w:val="A6A6A6" w:themeColor="background1" w:themeShade="A6"/>
                <w:sz w:val="20"/>
                <w:szCs w:val="20"/>
              </w:rPr>
              <w:t>/2</w:t>
            </w:r>
            <w:r w:rsidR="00172339">
              <w:rPr>
                <w:b/>
                <w:color w:val="A6A6A6" w:themeColor="background1" w:themeShade="A6"/>
                <w:sz w:val="20"/>
                <w:szCs w:val="20"/>
              </w:rPr>
              <w:t>3</w:t>
            </w:r>
          </w:p>
          <w:p w14:paraId="7CB775A9" w14:textId="4E619043" w:rsidR="009B5F60" w:rsidRPr="009B5F60" w:rsidRDefault="009B5F60" w:rsidP="009B5F60">
            <w:pPr>
              <w:pStyle w:val="Bodytext"/>
              <w:keepNext/>
              <w:spacing w:after="60"/>
              <w:jc w:val="right"/>
              <w:rPr>
                <w:b/>
                <w:sz w:val="20"/>
                <w:szCs w:val="20"/>
              </w:rPr>
            </w:pPr>
            <w:r w:rsidRPr="00052572">
              <w:rPr>
                <w:b/>
                <w:color w:val="A6A6A6" w:themeColor="background1" w:themeShade="A6"/>
                <w:sz w:val="20"/>
                <w:szCs w:val="20"/>
              </w:rPr>
              <w:t>£000</w:t>
            </w:r>
          </w:p>
        </w:tc>
      </w:tr>
      <w:tr w:rsidR="00837B61" w:rsidRPr="00B05EEE" w14:paraId="093C23BB" w14:textId="77777777" w:rsidTr="005E01BD">
        <w:trPr>
          <w:cantSplit/>
        </w:trPr>
        <w:tc>
          <w:tcPr>
            <w:tcW w:w="595" w:type="pct"/>
            <w:shd w:val="clear" w:color="auto" w:fill="auto"/>
            <w:vAlign w:val="bottom"/>
          </w:tcPr>
          <w:p w14:paraId="688F12D5" w14:textId="77777777" w:rsidR="00693415" w:rsidRPr="00A04572" w:rsidRDefault="00693415" w:rsidP="00693415">
            <w:pPr>
              <w:pStyle w:val="Bodytext"/>
              <w:keepNext/>
              <w:spacing w:after="60"/>
              <w:rPr>
                <w:sz w:val="20"/>
                <w:szCs w:val="20"/>
              </w:rPr>
            </w:pPr>
            <w:r w:rsidRPr="00A04572">
              <w:rPr>
                <w:sz w:val="20"/>
                <w:szCs w:val="20"/>
              </w:rPr>
              <w:t>Paediatric burns and trauma centre appeal</w:t>
            </w:r>
          </w:p>
        </w:tc>
        <w:tc>
          <w:tcPr>
            <w:tcW w:w="347" w:type="pct"/>
            <w:shd w:val="clear" w:color="auto" w:fill="D9D9D9" w:themeFill="background1" w:themeFillShade="D9"/>
          </w:tcPr>
          <w:p w14:paraId="53D26BEA" w14:textId="1CEE2769" w:rsidR="00693415" w:rsidRPr="000F6C2D" w:rsidRDefault="001D0BA8" w:rsidP="00693415">
            <w:pPr>
              <w:pStyle w:val="Bodytext"/>
              <w:keepNext/>
              <w:spacing w:after="60"/>
              <w:jc w:val="right"/>
              <w:rPr>
                <w:bCs/>
                <w:color w:val="auto"/>
                <w:szCs w:val="22"/>
              </w:rPr>
            </w:pPr>
            <w:r>
              <w:rPr>
                <w:bCs/>
                <w:color w:val="auto"/>
                <w:szCs w:val="22"/>
              </w:rPr>
              <w:t>2.132</w:t>
            </w:r>
          </w:p>
        </w:tc>
        <w:tc>
          <w:tcPr>
            <w:tcW w:w="347" w:type="pct"/>
            <w:shd w:val="clear" w:color="auto" w:fill="auto"/>
          </w:tcPr>
          <w:p w14:paraId="4A82D77C" w14:textId="00F4743F" w:rsidR="00693415" w:rsidRPr="00052572" w:rsidRDefault="00444901" w:rsidP="00693415">
            <w:pPr>
              <w:pStyle w:val="Bodytext"/>
              <w:keepNext/>
              <w:spacing w:after="60"/>
              <w:jc w:val="right"/>
              <w:rPr>
                <w:bCs/>
                <w:color w:val="A6A6A6" w:themeColor="background1" w:themeShade="A6"/>
                <w:szCs w:val="22"/>
              </w:rPr>
            </w:pPr>
            <w:r>
              <w:rPr>
                <w:bCs/>
                <w:color w:val="A6A6A6" w:themeColor="background1" w:themeShade="A6"/>
                <w:szCs w:val="22"/>
              </w:rPr>
              <w:t>1,322</w:t>
            </w:r>
          </w:p>
        </w:tc>
        <w:tc>
          <w:tcPr>
            <w:tcW w:w="348" w:type="pct"/>
            <w:shd w:val="clear" w:color="auto" w:fill="D9D9D9" w:themeFill="background1" w:themeFillShade="D9"/>
          </w:tcPr>
          <w:p w14:paraId="189183F8" w14:textId="30602897" w:rsidR="00693415" w:rsidRPr="000F6C2D" w:rsidRDefault="00E05E9F" w:rsidP="00693415">
            <w:pPr>
              <w:pStyle w:val="Bodytext"/>
              <w:keepNext/>
              <w:spacing w:after="60"/>
              <w:jc w:val="right"/>
              <w:rPr>
                <w:bCs/>
                <w:color w:val="auto"/>
                <w:szCs w:val="22"/>
              </w:rPr>
            </w:pPr>
            <w:r>
              <w:rPr>
                <w:bCs/>
                <w:color w:val="auto"/>
                <w:szCs w:val="22"/>
              </w:rPr>
              <w:t>1</w:t>
            </w:r>
            <w:r w:rsidR="00B334CC">
              <w:rPr>
                <w:bCs/>
                <w:color w:val="auto"/>
                <w:szCs w:val="22"/>
              </w:rPr>
              <w:t>,206</w:t>
            </w:r>
          </w:p>
        </w:tc>
        <w:tc>
          <w:tcPr>
            <w:tcW w:w="345" w:type="pct"/>
            <w:shd w:val="clear" w:color="auto" w:fill="auto"/>
          </w:tcPr>
          <w:p w14:paraId="2180855B" w14:textId="71A1248D" w:rsidR="00693415" w:rsidRPr="00052572" w:rsidRDefault="00693415" w:rsidP="00693415">
            <w:pPr>
              <w:pStyle w:val="Bodytext"/>
              <w:keepNext/>
              <w:spacing w:after="60"/>
              <w:jc w:val="right"/>
              <w:rPr>
                <w:bCs/>
                <w:color w:val="A6A6A6" w:themeColor="background1" w:themeShade="A6"/>
                <w:szCs w:val="22"/>
              </w:rPr>
            </w:pPr>
            <w:r w:rsidRPr="00052572">
              <w:rPr>
                <w:bCs/>
                <w:color w:val="A6A6A6" w:themeColor="background1" w:themeShade="A6"/>
                <w:szCs w:val="22"/>
              </w:rPr>
              <w:t>1,0</w:t>
            </w:r>
            <w:r w:rsidR="00444901">
              <w:rPr>
                <w:bCs/>
                <w:color w:val="A6A6A6" w:themeColor="background1" w:themeShade="A6"/>
                <w:szCs w:val="22"/>
              </w:rPr>
              <w:t>9</w:t>
            </w:r>
            <w:r w:rsidRPr="00052572">
              <w:rPr>
                <w:bCs/>
                <w:color w:val="A6A6A6" w:themeColor="background1" w:themeShade="A6"/>
                <w:szCs w:val="22"/>
              </w:rPr>
              <w:t>8</w:t>
            </w:r>
          </w:p>
        </w:tc>
        <w:tc>
          <w:tcPr>
            <w:tcW w:w="394" w:type="pct"/>
            <w:shd w:val="clear" w:color="auto" w:fill="D9D9D9" w:themeFill="background1" w:themeFillShade="D9"/>
          </w:tcPr>
          <w:p w14:paraId="5A88B9BE" w14:textId="185C78EC" w:rsidR="00693415" w:rsidRPr="000F6C2D" w:rsidRDefault="00B334CC" w:rsidP="00693415">
            <w:pPr>
              <w:pStyle w:val="Bodytext"/>
              <w:keepNext/>
              <w:spacing w:after="60"/>
              <w:jc w:val="right"/>
              <w:rPr>
                <w:bCs/>
                <w:color w:val="auto"/>
                <w:szCs w:val="22"/>
              </w:rPr>
            </w:pPr>
            <w:r>
              <w:rPr>
                <w:bCs/>
                <w:color w:val="auto"/>
                <w:szCs w:val="22"/>
              </w:rPr>
              <w:t>-356</w:t>
            </w:r>
          </w:p>
        </w:tc>
        <w:tc>
          <w:tcPr>
            <w:tcW w:w="354" w:type="pct"/>
            <w:shd w:val="clear" w:color="auto" w:fill="auto"/>
          </w:tcPr>
          <w:p w14:paraId="4A4A8504" w14:textId="2E97B01B" w:rsidR="00693415" w:rsidRPr="00052572" w:rsidRDefault="00693415" w:rsidP="00693415">
            <w:pPr>
              <w:pStyle w:val="Bodytext"/>
              <w:keepNext/>
              <w:spacing w:after="60"/>
              <w:jc w:val="right"/>
              <w:rPr>
                <w:bCs/>
                <w:color w:val="A6A6A6" w:themeColor="background1" w:themeShade="A6"/>
                <w:szCs w:val="22"/>
              </w:rPr>
            </w:pPr>
            <w:r w:rsidRPr="00052572">
              <w:rPr>
                <w:bCs/>
                <w:color w:val="A6A6A6" w:themeColor="background1" w:themeShade="A6"/>
                <w:szCs w:val="22"/>
              </w:rPr>
              <w:t>-2</w:t>
            </w:r>
            <w:r w:rsidR="006101D1">
              <w:rPr>
                <w:bCs/>
                <w:color w:val="A6A6A6" w:themeColor="background1" w:themeShade="A6"/>
                <w:szCs w:val="22"/>
              </w:rPr>
              <w:t>8</w:t>
            </w:r>
            <w:r w:rsidRPr="00052572">
              <w:rPr>
                <w:bCs/>
                <w:color w:val="A6A6A6" w:themeColor="background1" w:themeShade="A6"/>
                <w:szCs w:val="22"/>
              </w:rPr>
              <w:t>8</w:t>
            </w:r>
          </w:p>
        </w:tc>
        <w:tc>
          <w:tcPr>
            <w:tcW w:w="396" w:type="pct"/>
            <w:shd w:val="clear" w:color="auto" w:fill="D9D9D9" w:themeFill="background1" w:themeFillShade="D9"/>
          </w:tcPr>
          <w:p w14:paraId="27DDBFE0" w14:textId="76D20A50" w:rsidR="00693415" w:rsidRPr="000F6C2D" w:rsidRDefault="00693415" w:rsidP="00693415">
            <w:pPr>
              <w:pStyle w:val="Bodytext"/>
              <w:keepNext/>
              <w:spacing w:after="60"/>
              <w:jc w:val="right"/>
              <w:rPr>
                <w:bCs/>
                <w:color w:val="auto"/>
                <w:szCs w:val="22"/>
              </w:rPr>
            </w:pPr>
          </w:p>
        </w:tc>
        <w:tc>
          <w:tcPr>
            <w:tcW w:w="395" w:type="pct"/>
            <w:shd w:val="clear" w:color="auto" w:fill="auto"/>
          </w:tcPr>
          <w:p w14:paraId="0116AA8D" w14:textId="72E28869" w:rsidR="00693415" w:rsidRPr="00052572" w:rsidRDefault="00693415" w:rsidP="00693415">
            <w:pPr>
              <w:pStyle w:val="Bodytext"/>
              <w:keepNext/>
              <w:spacing w:after="60"/>
              <w:jc w:val="right"/>
              <w:rPr>
                <w:bCs/>
                <w:color w:val="A6A6A6" w:themeColor="background1" w:themeShade="A6"/>
                <w:szCs w:val="22"/>
              </w:rPr>
            </w:pPr>
          </w:p>
        </w:tc>
        <w:tc>
          <w:tcPr>
            <w:tcW w:w="396" w:type="pct"/>
            <w:shd w:val="clear" w:color="auto" w:fill="D9D9D9" w:themeFill="background1" w:themeFillShade="D9"/>
          </w:tcPr>
          <w:p w14:paraId="5D99A336" w14:textId="77980CF7" w:rsidR="00693415" w:rsidRPr="000F6C2D" w:rsidRDefault="00693415" w:rsidP="00693415">
            <w:pPr>
              <w:pStyle w:val="Bodytext"/>
              <w:keepNext/>
              <w:spacing w:after="60"/>
              <w:jc w:val="right"/>
              <w:rPr>
                <w:bCs/>
                <w:color w:val="auto"/>
                <w:szCs w:val="22"/>
              </w:rPr>
            </w:pPr>
          </w:p>
        </w:tc>
        <w:tc>
          <w:tcPr>
            <w:tcW w:w="374" w:type="pct"/>
            <w:shd w:val="clear" w:color="auto" w:fill="auto"/>
          </w:tcPr>
          <w:p w14:paraId="6A172D1A" w14:textId="77777777" w:rsidR="00693415" w:rsidRPr="00052572" w:rsidRDefault="00693415" w:rsidP="00693415">
            <w:pPr>
              <w:pStyle w:val="Bodytext"/>
              <w:keepNext/>
              <w:spacing w:after="60"/>
              <w:jc w:val="right"/>
              <w:rPr>
                <w:bCs/>
                <w:color w:val="A6A6A6" w:themeColor="background1" w:themeShade="A6"/>
                <w:szCs w:val="22"/>
              </w:rPr>
            </w:pPr>
          </w:p>
        </w:tc>
        <w:tc>
          <w:tcPr>
            <w:tcW w:w="354" w:type="pct"/>
            <w:shd w:val="clear" w:color="auto" w:fill="D9D9D9" w:themeFill="background1" w:themeFillShade="D9"/>
          </w:tcPr>
          <w:p w14:paraId="162A25A0" w14:textId="6A448C4F" w:rsidR="0000031F" w:rsidRPr="000F6C2D" w:rsidRDefault="002E22A5" w:rsidP="000F6C2D">
            <w:pPr>
              <w:pStyle w:val="Bodytext"/>
              <w:keepNext/>
              <w:spacing w:after="60"/>
              <w:jc w:val="right"/>
              <w:rPr>
                <w:bCs/>
                <w:color w:val="auto"/>
                <w:szCs w:val="22"/>
              </w:rPr>
            </w:pPr>
            <w:r>
              <w:rPr>
                <w:bCs/>
                <w:color w:val="auto"/>
                <w:szCs w:val="22"/>
              </w:rPr>
              <w:t>2,</w:t>
            </w:r>
            <w:r w:rsidR="007A074E">
              <w:rPr>
                <w:bCs/>
                <w:color w:val="auto"/>
                <w:szCs w:val="22"/>
              </w:rPr>
              <w:t>982</w:t>
            </w:r>
          </w:p>
        </w:tc>
        <w:tc>
          <w:tcPr>
            <w:tcW w:w="354" w:type="pct"/>
            <w:shd w:val="clear" w:color="auto" w:fill="auto"/>
          </w:tcPr>
          <w:p w14:paraId="69F2232B" w14:textId="414A1459" w:rsidR="00693415" w:rsidRPr="00052572" w:rsidRDefault="00EC158B" w:rsidP="00693415">
            <w:pPr>
              <w:pStyle w:val="Bodytext"/>
              <w:keepNext/>
              <w:spacing w:after="60"/>
              <w:jc w:val="right"/>
              <w:rPr>
                <w:bCs/>
                <w:color w:val="A6A6A6" w:themeColor="background1" w:themeShade="A6"/>
                <w:szCs w:val="22"/>
              </w:rPr>
            </w:pPr>
            <w:r>
              <w:rPr>
                <w:bCs/>
                <w:color w:val="A6A6A6" w:themeColor="background1" w:themeShade="A6"/>
                <w:szCs w:val="22"/>
              </w:rPr>
              <w:t>2,132</w:t>
            </w:r>
          </w:p>
        </w:tc>
      </w:tr>
      <w:tr w:rsidR="00837B61" w:rsidRPr="00B05EEE" w14:paraId="278AA014" w14:textId="77777777" w:rsidTr="005E01BD">
        <w:trPr>
          <w:cantSplit/>
        </w:trPr>
        <w:tc>
          <w:tcPr>
            <w:tcW w:w="595" w:type="pct"/>
            <w:shd w:val="clear" w:color="auto" w:fill="auto"/>
            <w:vAlign w:val="bottom"/>
          </w:tcPr>
          <w:p w14:paraId="6333811E" w14:textId="77777777" w:rsidR="00693415" w:rsidRPr="00A04572" w:rsidRDefault="00693415" w:rsidP="00693415">
            <w:pPr>
              <w:pStyle w:val="Bodytext"/>
              <w:keepNext/>
              <w:spacing w:after="60"/>
              <w:rPr>
                <w:sz w:val="20"/>
                <w:szCs w:val="20"/>
              </w:rPr>
            </w:pPr>
            <w:r w:rsidRPr="00A04572">
              <w:rPr>
                <w:sz w:val="20"/>
                <w:szCs w:val="20"/>
              </w:rPr>
              <w:t>Education centre appeal</w:t>
            </w:r>
          </w:p>
        </w:tc>
        <w:tc>
          <w:tcPr>
            <w:tcW w:w="347" w:type="pct"/>
            <w:shd w:val="clear" w:color="auto" w:fill="D9D9D9" w:themeFill="background1" w:themeFillShade="D9"/>
          </w:tcPr>
          <w:p w14:paraId="49ED40FA" w14:textId="51FB6A48" w:rsidR="00693415" w:rsidRPr="000F6C2D" w:rsidRDefault="006E1936" w:rsidP="00693415">
            <w:pPr>
              <w:pStyle w:val="Bodytext"/>
              <w:keepNext/>
              <w:spacing w:after="60"/>
              <w:jc w:val="right"/>
              <w:rPr>
                <w:bCs/>
                <w:color w:val="auto"/>
                <w:szCs w:val="22"/>
              </w:rPr>
            </w:pPr>
            <w:r>
              <w:rPr>
                <w:bCs/>
                <w:color w:val="auto"/>
                <w:szCs w:val="22"/>
              </w:rPr>
              <w:t>1,168</w:t>
            </w:r>
          </w:p>
        </w:tc>
        <w:tc>
          <w:tcPr>
            <w:tcW w:w="347" w:type="pct"/>
            <w:shd w:val="clear" w:color="auto" w:fill="auto"/>
          </w:tcPr>
          <w:p w14:paraId="2DE291EF" w14:textId="73A2D3E6" w:rsidR="00693415" w:rsidRPr="00052572" w:rsidRDefault="00444901" w:rsidP="00693415">
            <w:pPr>
              <w:pStyle w:val="Bodytext"/>
              <w:keepNext/>
              <w:spacing w:after="60"/>
              <w:jc w:val="right"/>
              <w:rPr>
                <w:bCs/>
                <w:color w:val="A6A6A6" w:themeColor="background1" w:themeShade="A6"/>
                <w:szCs w:val="22"/>
              </w:rPr>
            </w:pPr>
            <w:r>
              <w:rPr>
                <w:bCs/>
                <w:color w:val="A6A6A6" w:themeColor="background1" w:themeShade="A6"/>
                <w:szCs w:val="22"/>
              </w:rPr>
              <w:t>792</w:t>
            </w:r>
          </w:p>
        </w:tc>
        <w:tc>
          <w:tcPr>
            <w:tcW w:w="348" w:type="pct"/>
            <w:shd w:val="clear" w:color="auto" w:fill="D9D9D9" w:themeFill="background1" w:themeFillShade="D9"/>
          </w:tcPr>
          <w:p w14:paraId="680552DE" w14:textId="6AB09429" w:rsidR="00693415" w:rsidRPr="000F6C2D" w:rsidRDefault="00693415" w:rsidP="00693415">
            <w:pPr>
              <w:pStyle w:val="Bodytext"/>
              <w:keepNext/>
              <w:spacing w:after="60"/>
              <w:jc w:val="right"/>
              <w:rPr>
                <w:bCs/>
                <w:color w:val="auto"/>
                <w:szCs w:val="22"/>
              </w:rPr>
            </w:pPr>
            <w:r w:rsidRPr="000F6C2D">
              <w:rPr>
                <w:bCs/>
                <w:color w:val="auto"/>
                <w:szCs w:val="22"/>
              </w:rPr>
              <w:t>509</w:t>
            </w:r>
          </w:p>
        </w:tc>
        <w:tc>
          <w:tcPr>
            <w:tcW w:w="345" w:type="pct"/>
            <w:shd w:val="clear" w:color="auto" w:fill="auto"/>
          </w:tcPr>
          <w:p w14:paraId="2F48EEB5" w14:textId="1330CF06" w:rsidR="00693415" w:rsidRPr="00052572" w:rsidRDefault="00693415" w:rsidP="00693415">
            <w:pPr>
              <w:pStyle w:val="Bodytext"/>
              <w:keepNext/>
              <w:spacing w:after="60"/>
              <w:jc w:val="right"/>
              <w:rPr>
                <w:bCs/>
                <w:color w:val="A6A6A6" w:themeColor="background1" w:themeShade="A6"/>
                <w:szCs w:val="22"/>
              </w:rPr>
            </w:pPr>
            <w:r w:rsidRPr="00052572">
              <w:rPr>
                <w:bCs/>
                <w:color w:val="A6A6A6" w:themeColor="background1" w:themeShade="A6"/>
                <w:szCs w:val="22"/>
              </w:rPr>
              <w:t>391</w:t>
            </w:r>
          </w:p>
        </w:tc>
        <w:tc>
          <w:tcPr>
            <w:tcW w:w="394" w:type="pct"/>
            <w:shd w:val="clear" w:color="auto" w:fill="D9D9D9" w:themeFill="background1" w:themeFillShade="D9"/>
          </w:tcPr>
          <w:p w14:paraId="1BFA6A5A" w14:textId="5282E2C2" w:rsidR="00693415" w:rsidRPr="000F6C2D" w:rsidRDefault="00693415" w:rsidP="00693415">
            <w:pPr>
              <w:pStyle w:val="Bodytext"/>
              <w:keepNext/>
              <w:spacing w:after="60"/>
              <w:jc w:val="right"/>
              <w:rPr>
                <w:bCs/>
                <w:color w:val="auto"/>
                <w:szCs w:val="22"/>
              </w:rPr>
            </w:pPr>
            <w:r w:rsidRPr="000F6C2D">
              <w:rPr>
                <w:bCs/>
                <w:color w:val="auto"/>
                <w:szCs w:val="22"/>
              </w:rPr>
              <w:t>-139</w:t>
            </w:r>
          </w:p>
        </w:tc>
        <w:tc>
          <w:tcPr>
            <w:tcW w:w="354" w:type="pct"/>
            <w:shd w:val="clear" w:color="auto" w:fill="auto"/>
          </w:tcPr>
          <w:p w14:paraId="70CEB4F1" w14:textId="0242148E" w:rsidR="00693415" w:rsidRPr="00052572" w:rsidRDefault="00693415" w:rsidP="00693415">
            <w:pPr>
              <w:pStyle w:val="Bodytext"/>
              <w:keepNext/>
              <w:spacing w:after="60"/>
              <w:jc w:val="right"/>
              <w:rPr>
                <w:bCs/>
                <w:color w:val="A6A6A6" w:themeColor="background1" w:themeShade="A6"/>
                <w:szCs w:val="22"/>
              </w:rPr>
            </w:pPr>
            <w:r w:rsidRPr="00052572">
              <w:rPr>
                <w:bCs/>
                <w:color w:val="A6A6A6" w:themeColor="background1" w:themeShade="A6"/>
                <w:szCs w:val="22"/>
              </w:rPr>
              <w:t>-15</w:t>
            </w:r>
          </w:p>
        </w:tc>
        <w:tc>
          <w:tcPr>
            <w:tcW w:w="396" w:type="pct"/>
            <w:shd w:val="clear" w:color="auto" w:fill="D9D9D9" w:themeFill="background1" w:themeFillShade="D9"/>
          </w:tcPr>
          <w:p w14:paraId="45006EDF" w14:textId="3C1B4A87" w:rsidR="00693415" w:rsidRPr="000F6C2D" w:rsidRDefault="00693415" w:rsidP="00693415">
            <w:pPr>
              <w:pStyle w:val="Bodytext"/>
              <w:keepNext/>
              <w:spacing w:after="60"/>
              <w:jc w:val="right"/>
              <w:rPr>
                <w:bCs/>
                <w:color w:val="auto"/>
                <w:szCs w:val="22"/>
              </w:rPr>
            </w:pPr>
          </w:p>
        </w:tc>
        <w:tc>
          <w:tcPr>
            <w:tcW w:w="395" w:type="pct"/>
            <w:shd w:val="clear" w:color="auto" w:fill="auto"/>
          </w:tcPr>
          <w:p w14:paraId="3CAA3B73" w14:textId="7E06E6B2" w:rsidR="00693415" w:rsidRPr="00052572" w:rsidRDefault="00693415" w:rsidP="00693415">
            <w:pPr>
              <w:pStyle w:val="Bodytext"/>
              <w:keepNext/>
              <w:spacing w:after="60"/>
              <w:jc w:val="right"/>
              <w:rPr>
                <w:bCs/>
                <w:color w:val="A6A6A6" w:themeColor="background1" w:themeShade="A6"/>
                <w:szCs w:val="22"/>
              </w:rPr>
            </w:pPr>
          </w:p>
        </w:tc>
        <w:tc>
          <w:tcPr>
            <w:tcW w:w="396" w:type="pct"/>
            <w:shd w:val="clear" w:color="auto" w:fill="D9D9D9" w:themeFill="background1" w:themeFillShade="D9"/>
          </w:tcPr>
          <w:p w14:paraId="69B78DD5" w14:textId="69CD40B5" w:rsidR="00693415" w:rsidRPr="000F6C2D" w:rsidRDefault="00693415" w:rsidP="00693415">
            <w:pPr>
              <w:pStyle w:val="Bodytext"/>
              <w:keepNext/>
              <w:spacing w:after="60"/>
              <w:jc w:val="right"/>
              <w:rPr>
                <w:bCs/>
                <w:color w:val="auto"/>
                <w:szCs w:val="22"/>
              </w:rPr>
            </w:pPr>
          </w:p>
        </w:tc>
        <w:tc>
          <w:tcPr>
            <w:tcW w:w="374" w:type="pct"/>
            <w:shd w:val="clear" w:color="auto" w:fill="auto"/>
          </w:tcPr>
          <w:p w14:paraId="41C9032A" w14:textId="77777777" w:rsidR="00693415" w:rsidRPr="00052572" w:rsidRDefault="00693415" w:rsidP="00693415">
            <w:pPr>
              <w:pStyle w:val="Bodytext"/>
              <w:keepNext/>
              <w:spacing w:after="60"/>
              <w:jc w:val="right"/>
              <w:rPr>
                <w:bCs/>
                <w:color w:val="A6A6A6" w:themeColor="background1" w:themeShade="A6"/>
                <w:szCs w:val="22"/>
              </w:rPr>
            </w:pPr>
          </w:p>
        </w:tc>
        <w:tc>
          <w:tcPr>
            <w:tcW w:w="354" w:type="pct"/>
            <w:shd w:val="clear" w:color="auto" w:fill="D9D9D9" w:themeFill="background1" w:themeFillShade="D9"/>
          </w:tcPr>
          <w:p w14:paraId="578B337B" w14:textId="48A81AB6" w:rsidR="00693415" w:rsidRPr="000F6C2D" w:rsidRDefault="00693415" w:rsidP="00693415">
            <w:pPr>
              <w:pStyle w:val="Bodytext"/>
              <w:keepNext/>
              <w:spacing w:after="60"/>
              <w:jc w:val="right"/>
              <w:rPr>
                <w:bCs/>
                <w:color w:val="auto"/>
                <w:szCs w:val="22"/>
              </w:rPr>
            </w:pPr>
            <w:r w:rsidRPr="000F6C2D">
              <w:rPr>
                <w:bCs/>
                <w:color w:val="auto"/>
                <w:szCs w:val="22"/>
              </w:rPr>
              <w:t>1,</w:t>
            </w:r>
            <w:r w:rsidR="007A074E">
              <w:rPr>
                <w:bCs/>
                <w:color w:val="auto"/>
                <w:szCs w:val="22"/>
              </w:rPr>
              <w:t>538</w:t>
            </w:r>
          </w:p>
        </w:tc>
        <w:tc>
          <w:tcPr>
            <w:tcW w:w="354" w:type="pct"/>
            <w:shd w:val="clear" w:color="auto" w:fill="auto"/>
          </w:tcPr>
          <w:p w14:paraId="1242CBA1" w14:textId="74159134" w:rsidR="00693415" w:rsidRPr="00052572" w:rsidRDefault="00EC158B" w:rsidP="00693415">
            <w:pPr>
              <w:pStyle w:val="Bodytext"/>
              <w:keepNext/>
              <w:spacing w:after="60"/>
              <w:jc w:val="right"/>
              <w:rPr>
                <w:bCs/>
                <w:color w:val="A6A6A6" w:themeColor="background1" w:themeShade="A6"/>
                <w:szCs w:val="22"/>
              </w:rPr>
            </w:pPr>
            <w:r>
              <w:rPr>
                <w:bCs/>
                <w:color w:val="A6A6A6" w:themeColor="background1" w:themeShade="A6"/>
                <w:szCs w:val="22"/>
              </w:rPr>
              <w:t>1</w:t>
            </w:r>
            <w:r w:rsidR="00DB1A71">
              <w:rPr>
                <w:bCs/>
                <w:color w:val="A6A6A6" w:themeColor="background1" w:themeShade="A6"/>
                <w:szCs w:val="22"/>
              </w:rPr>
              <w:t>,</w:t>
            </w:r>
            <w:r>
              <w:rPr>
                <w:bCs/>
                <w:color w:val="A6A6A6" w:themeColor="background1" w:themeShade="A6"/>
                <w:szCs w:val="22"/>
              </w:rPr>
              <w:t>168</w:t>
            </w:r>
          </w:p>
        </w:tc>
      </w:tr>
      <w:tr w:rsidR="00837B61" w:rsidRPr="00B05EEE" w14:paraId="386A785D" w14:textId="77777777" w:rsidTr="005E01BD">
        <w:trPr>
          <w:cantSplit/>
        </w:trPr>
        <w:tc>
          <w:tcPr>
            <w:tcW w:w="595" w:type="pct"/>
            <w:shd w:val="clear" w:color="auto" w:fill="auto"/>
            <w:vAlign w:val="bottom"/>
          </w:tcPr>
          <w:p w14:paraId="0C2BE8C6" w14:textId="77777777" w:rsidR="00693415" w:rsidRPr="00A04572" w:rsidRDefault="00693415" w:rsidP="00693415">
            <w:pPr>
              <w:pStyle w:val="Bodytext"/>
              <w:keepNext/>
              <w:spacing w:after="60"/>
              <w:rPr>
                <w:sz w:val="20"/>
                <w:szCs w:val="20"/>
              </w:rPr>
            </w:pPr>
            <w:r w:rsidRPr="00A04572">
              <w:rPr>
                <w:sz w:val="20"/>
                <w:szCs w:val="20"/>
              </w:rPr>
              <w:t>Guptah income fund</w:t>
            </w:r>
          </w:p>
        </w:tc>
        <w:tc>
          <w:tcPr>
            <w:tcW w:w="347" w:type="pct"/>
            <w:shd w:val="clear" w:color="auto" w:fill="D9D9D9" w:themeFill="background1" w:themeFillShade="D9"/>
          </w:tcPr>
          <w:p w14:paraId="0B8DAEAD" w14:textId="7A7076F7" w:rsidR="00693415" w:rsidRPr="000F6C2D" w:rsidRDefault="006E1936" w:rsidP="00693415">
            <w:pPr>
              <w:pStyle w:val="Bodytext"/>
              <w:keepNext/>
              <w:spacing w:after="60"/>
              <w:jc w:val="right"/>
              <w:rPr>
                <w:bCs/>
                <w:color w:val="auto"/>
                <w:szCs w:val="22"/>
              </w:rPr>
            </w:pPr>
            <w:r>
              <w:rPr>
                <w:bCs/>
                <w:color w:val="auto"/>
                <w:szCs w:val="22"/>
              </w:rPr>
              <w:t>248</w:t>
            </w:r>
          </w:p>
        </w:tc>
        <w:tc>
          <w:tcPr>
            <w:tcW w:w="347" w:type="pct"/>
            <w:shd w:val="clear" w:color="auto" w:fill="auto"/>
          </w:tcPr>
          <w:p w14:paraId="5572E5E8" w14:textId="4790E455" w:rsidR="00693415" w:rsidRPr="00052572" w:rsidRDefault="00444901" w:rsidP="00693415">
            <w:pPr>
              <w:pStyle w:val="Bodytext"/>
              <w:keepNext/>
              <w:spacing w:after="60"/>
              <w:jc w:val="right"/>
              <w:rPr>
                <w:bCs/>
                <w:color w:val="A6A6A6" w:themeColor="background1" w:themeShade="A6"/>
                <w:szCs w:val="22"/>
              </w:rPr>
            </w:pPr>
            <w:r>
              <w:rPr>
                <w:bCs/>
                <w:color w:val="A6A6A6" w:themeColor="background1" w:themeShade="A6"/>
                <w:szCs w:val="22"/>
              </w:rPr>
              <w:t>158</w:t>
            </w:r>
          </w:p>
        </w:tc>
        <w:tc>
          <w:tcPr>
            <w:tcW w:w="348" w:type="pct"/>
            <w:shd w:val="clear" w:color="auto" w:fill="D9D9D9" w:themeFill="background1" w:themeFillShade="D9"/>
          </w:tcPr>
          <w:p w14:paraId="33EAE4ED" w14:textId="01B62EE7" w:rsidR="00693415" w:rsidRPr="000F6C2D" w:rsidRDefault="00693415" w:rsidP="00693415">
            <w:pPr>
              <w:pStyle w:val="Bodytext"/>
              <w:keepNext/>
              <w:spacing w:after="60"/>
              <w:jc w:val="right"/>
              <w:rPr>
                <w:bCs/>
                <w:color w:val="auto"/>
                <w:szCs w:val="22"/>
              </w:rPr>
            </w:pPr>
            <w:r w:rsidRPr="000F6C2D">
              <w:rPr>
                <w:bCs/>
                <w:color w:val="auto"/>
                <w:szCs w:val="22"/>
              </w:rPr>
              <w:t>23</w:t>
            </w:r>
          </w:p>
        </w:tc>
        <w:tc>
          <w:tcPr>
            <w:tcW w:w="345" w:type="pct"/>
            <w:shd w:val="clear" w:color="auto" w:fill="auto"/>
          </w:tcPr>
          <w:p w14:paraId="555D244C" w14:textId="4531F350" w:rsidR="00693415" w:rsidRPr="00052572" w:rsidRDefault="00693415" w:rsidP="00693415">
            <w:pPr>
              <w:pStyle w:val="Bodytext"/>
              <w:keepNext/>
              <w:spacing w:after="60"/>
              <w:jc w:val="right"/>
              <w:rPr>
                <w:bCs/>
                <w:color w:val="A6A6A6" w:themeColor="background1" w:themeShade="A6"/>
                <w:szCs w:val="22"/>
              </w:rPr>
            </w:pPr>
            <w:r w:rsidRPr="00052572">
              <w:rPr>
                <w:bCs/>
                <w:color w:val="A6A6A6" w:themeColor="background1" w:themeShade="A6"/>
                <w:szCs w:val="22"/>
              </w:rPr>
              <w:t>126</w:t>
            </w:r>
          </w:p>
        </w:tc>
        <w:tc>
          <w:tcPr>
            <w:tcW w:w="394" w:type="pct"/>
            <w:shd w:val="clear" w:color="auto" w:fill="D9D9D9" w:themeFill="background1" w:themeFillShade="D9"/>
          </w:tcPr>
          <w:p w14:paraId="71466D65" w14:textId="28502207" w:rsidR="00693415" w:rsidRPr="000F6C2D" w:rsidRDefault="00693415" w:rsidP="00693415">
            <w:pPr>
              <w:pStyle w:val="Bodytext"/>
              <w:keepNext/>
              <w:spacing w:after="60"/>
              <w:jc w:val="right"/>
              <w:rPr>
                <w:bCs/>
                <w:color w:val="auto"/>
                <w:szCs w:val="22"/>
              </w:rPr>
            </w:pPr>
            <w:r w:rsidRPr="000F6C2D">
              <w:rPr>
                <w:bCs/>
                <w:color w:val="auto"/>
                <w:szCs w:val="22"/>
              </w:rPr>
              <w:t>-1</w:t>
            </w:r>
          </w:p>
        </w:tc>
        <w:tc>
          <w:tcPr>
            <w:tcW w:w="354" w:type="pct"/>
            <w:shd w:val="clear" w:color="auto" w:fill="auto"/>
          </w:tcPr>
          <w:p w14:paraId="35DFAA36" w14:textId="2536287B" w:rsidR="00693415" w:rsidRPr="00052572" w:rsidRDefault="00693415" w:rsidP="00693415">
            <w:pPr>
              <w:pStyle w:val="Bodytext"/>
              <w:keepNext/>
              <w:spacing w:after="60"/>
              <w:jc w:val="right"/>
              <w:rPr>
                <w:bCs/>
                <w:color w:val="A6A6A6" w:themeColor="background1" w:themeShade="A6"/>
                <w:szCs w:val="22"/>
              </w:rPr>
            </w:pPr>
            <w:r w:rsidRPr="00052572">
              <w:rPr>
                <w:bCs/>
                <w:color w:val="A6A6A6" w:themeColor="background1" w:themeShade="A6"/>
                <w:szCs w:val="22"/>
              </w:rPr>
              <w:t>-5</w:t>
            </w:r>
          </w:p>
        </w:tc>
        <w:tc>
          <w:tcPr>
            <w:tcW w:w="396" w:type="pct"/>
            <w:shd w:val="clear" w:color="auto" w:fill="D9D9D9" w:themeFill="background1" w:themeFillShade="D9"/>
          </w:tcPr>
          <w:p w14:paraId="6091B075" w14:textId="29BBCA88" w:rsidR="00693415" w:rsidRPr="000F6C2D" w:rsidRDefault="00693415" w:rsidP="00693415">
            <w:pPr>
              <w:pStyle w:val="Bodytext"/>
              <w:keepNext/>
              <w:spacing w:after="60"/>
              <w:jc w:val="right"/>
              <w:rPr>
                <w:bCs/>
                <w:color w:val="auto"/>
                <w:szCs w:val="22"/>
              </w:rPr>
            </w:pPr>
            <w:r w:rsidRPr="000F6C2D">
              <w:rPr>
                <w:bCs/>
                <w:color w:val="auto"/>
                <w:szCs w:val="22"/>
              </w:rPr>
              <w:t>-22</w:t>
            </w:r>
          </w:p>
        </w:tc>
        <w:tc>
          <w:tcPr>
            <w:tcW w:w="395" w:type="pct"/>
            <w:shd w:val="clear" w:color="auto" w:fill="auto"/>
          </w:tcPr>
          <w:p w14:paraId="502B6659" w14:textId="245580B3" w:rsidR="00693415" w:rsidRPr="00052572" w:rsidRDefault="00693415" w:rsidP="00693415">
            <w:pPr>
              <w:pStyle w:val="Bodytext"/>
              <w:keepNext/>
              <w:spacing w:after="60"/>
              <w:jc w:val="right"/>
              <w:rPr>
                <w:bCs/>
                <w:color w:val="A6A6A6" w:themeColor="background1" w:themeShade="A6"/>
                <w:szCs w:val="22"/>
              </w:rPr>
            </w:pPr>
            <w:r w:rsidRPr="00052572">
              <w:rPr>
                <w:bCs/>
                <w:color w:val="A6A6A6" w:themeColor="background1" w:themeShade="A6"/>
                <w:szCs w:val="22"/>
              </w:rPr>
              <w:t>-31</w:t>
            </w:r>
          </w:p>
        </w:tc>
        <w:tc>
          <w:tcPr>
            <w:tcW w:w="396" w:type="pct"/>
            <w:shd w:val="clear" w:color="auto" w:fill="D9D9D9" w:themeFill="background1" w:themeFillShade="D9"/>
          </w:tcPr>
          <w:p w14:paraId="2C02491D" w14:textId="7F371CD4" w:rsidR="00693415" w:rsidRPr="000F6C2D" w:rsidRDefault="00693415" w:rsidP="00693415">
            <w:pPr>
              <w:pStyle w:val="Bodytext"/>
              <w:keepNext/>
              <w:spacing w:after="60"/>
              <w:jc w:val="right"/>
              <w:rPr>
                <w:bCs/>
                <w:color w:val="auto"/>
                <w:szCs w:val="22"/>
              </w:rPr>
            </w:pPr>
          </w:p>
        </w:tc>
        <w:tc>
          <w:tcPr>
            <w:tcW w:w="374" w:type="pct"/>
            <w:shd w:val="clear" w:color="auto" w:fill="auto"/>
          </w:tcPr>
          <w:p w14:paraId="6EBB9CC6" w14:textId="77777777" w:rsidR="00693415" w:rsidRPr="00052572" w:rsidRDefault="00693415" w:rsidP="00693415">
            <w:pPr>
              <w:pStyle w:val="Bodytext"/>
              <w:keepNext/>
              <w:spacing w:after="60"/>
              <w:jc w:val="right"/>
              <w:rPr>
                <w:bCs/>
                <w:color w:val="A6A6A6" w:themeColor="background1" w:themeShade="A6"/>
                <w:szCs w:val="22"/>
              </w:rPr>
            </w:pPr>
          </w:p>
        </w:tc>
        <w:tc>
          <w:tcPr>
            <w:tcW w:w="354" w:type="pct"/>
            <w:shd w:val="clear" w:color="auto" w:fill="D9D9D9" w:themeFill="background1" w:themeFillShade="D9"/>
          </w:tcPr>
          <w:p w14:paraId="2E7A3D75" w14:textId="1C945B6F" w:rsidR="00693415" w:rsidRPr="000F6C2D" w:rsidRDefault="007A074E" w:rsidP="00693415">
            <w:pPr>
              <w:pStyle w:val="Bodytext"/>
              <w:keepNext/>
              <w:spacing w:after="60"/>
              <w:jc w:val="right"/>
              <w:rPr>
                <w:bCs/>
                <w:color w:val="auto"/>
                <w:szCs w:val="22"/>
              </w:rPr>
            </w:pPr>
            <w:r>
              <w:rPr>
                <w:bCs/>
                <w:color w:val="auto"/>
                <w:szCs w:val="22"/>
              </w:rPr>
              <w:t>248</w:t>
            </w:r>
          </w:p>
        </w:tc>
        <w:tc>
          <w:tcPr>
            <w:tcW w:w="354" w:type="pct"/>
            <w:shd w:val="clear" w:color="auto" w:fill="auto"/>
          </w:tcPr>
          <w:p w14:paraId="22949024" w14:textId="028480E7" w:rsidR="00693415" w:rsidRPr="00052572" w:rsidRDefault="00DB1A71" w:rsidP="00693415">
            <w:pPr>
              <w:pStyle w:val="Bodytext"/>
              <w:keepNext/>
              <w:spacing w:after="60"/>
              <w:jc w:val="right"/>
              <w:rPr>
                <w:bCs/>
                <w:color w:val="A6A6A6" w:themeColor="background1" w:themeShade="A6"/>
                <w:szCs w:val="22"/>
              </w:rPr>
            </w:pPr>
            <w:r>
              <w:rPr>
                <w:bCs/>
                <w:color w:val="A6A6A6" w:themeColor="background1" w:themeShade="A6"/>
                <w:szCs w:val="22"/>
              </w:rPr>
              <w:t>248</w:t>
            </w:r>
          </w:p>
        </w:tc>
      </w:tr>
      <w:tr w:rsidR="00837B61" w:rsidRPr="00B05EEE" w14:paraId="519ADBB4" w14:textId="77777777" w:rsidTr="005E01BD">
        <w:trPr>
          <w:cantSplit/>
        </w:trPr>
        <w:tc>
          <w:tcPr>
            <w:tcW w:w="595" w:type="pct"/>
            <w:shd w:val="clear" w:color="auto" w:fill="auto"/>
            <w:vAlign w:val="bottom"/>
          </w:tcPr>
          <w:p w14:paraId="679865F8" w14:textId="77777777" w:rsidR="00693415" w:rsidRPr="00A04572" w:rsidRDefault="00693415" w:rsidP="00693415">
            <w:pPr>
              <w:pStyle w:val="Bodytext"/>
              <w:keepNext/>
              <w:spacing w:after="60"/>
              <w:rPr>
                <w:sz w:val="20"/>
                <w:szCs w:val="20"/>
              </w:rPr>
            </w:pPr>
            <w:r w:rsidRPr="00A04572">
              <w:rPr>
                <w:sz w:val="20"/>
                <w:szCs w:val="20"/>
              </w:rPr>
              <w:t>Heathlands unit fund</w:t>
            </w:r>
          </w:p>
        </w:tc>
        <w:tc>
          <w:tcPr>
            <w:tcW w:w="347" w:type="pct"/>
            <w:shd w:val="clear" w:color="auto" w:fill="D9D9D9" w:themeFill="background1" w:themeFillShade="D9"/>
          </w:tcPr>
          <w:p w14:paraId="5C8CC14B" w14:textId="3051CDA6" w:rsidR="00693415" w:rsidRPr="000F6C2D" w:rsidRDefault="006E1936" w:rsidP="00693415">
            <w:pPr>
              <w:pStyle w:val="Bodytext"/>
              <w:keepNext/>
              <w:spacing w:after="60"/>
              <w:jc w:val="right"/>
              <w:rPr>
                <w:bCs/>
                <w:color w:val="auto"/>
                <w:szCs w:val="22"/>
              </w:rPr>
            </w:pPr>
            <w:r>
              <w:rPr>
                <w:bCs/>
                <w:color w:val="auto"/>
                <w:szCs w:val="22"/>
              </w:rPr>
              <w:t>7</w:t>
            </w:r>
          </w:p>
        </w:tc>
        <w:tc>
          <w:tcPr>
            <w:tcW w:w="347" w:type="pct"/>
            <w:shd w:val="clear" w:color="auto" w:fill="auto"/>
          </w:tcPr>
          <w:p w14:paraId="1EE05129" w14:textId="165187A4" w:rsidR="00693415" w:rsidRPr="00052572" w:rsidRDefault="00444901" w:rsidP="00693415">
            <w:pPr>
              <w:pStyle w:val="Bodytext"/>
              <w:keepNext/>
              <w:spacing w:after="60"/>
              <w:jc w:val="right"/>
              <w:rPr>
                <w:bCs/>
                <w:color w:val="A6A6A6" w:themeColor="background1" w:themeShade="A6"/>
                <w:szCs w:val="22"/>
              </w:rPr>
            </w:pPr>
            <w:r>
              <w:rPr>
                <w:bCs/>
                <w:color w:val="A6A6A6" w:themeColor="background1" w:themeShade="A6"/>
                <w:szCs w:val="22"/>
              </w:rPr>
              <w:t>7</w:t>
            </w:r>
          </w:p>
        </w:tc>
        <w:tc>
          <w:tcPr>
            <w:tcW w:w="348" w:type="pct"/>
            <w:shd w:val="clear" w:color="auto" w:fill="D9D9D9" w:themeFill="background1" w:themeFillShade="D9"/>
          </w:tcPr>
          <w:p w14:paraId="1E964F7D" w14:textId="01F2C7C1" w:rsidR="00693415" w:rsidRPr="000F6C2D" w:rsidRDefault="00693415" w:rsidP="00693415">
            <w:pPr>
              <w:pStyle w:val="Bodytext"/>
              <w:keepNext/>
              <w:spacing w:after="60"/>
              <w:jc w:val="right"/>
              <w:rPr>
                <w:bCs/>
                <w:color w:val="auto"/>
                <w:szCs w:val="22"/>
              </w:rPr>
            </w:pPr>
          </w:p>
        </w:tc>
        <w:tc>
          <w:tcPr>
            <w:tcW w:w="345" w:type="pct"/>
            <w:shd w:val="clear" w:color="auto" w:fill="auto"/>
          </w:tcPr>
          <w:p w14:paraId="07742DBA" w14:textId="59E5F96C" w:rsidR="00693415" w:rsidRPr="00052572" w:rsidRDefault="00693415" w:rsidP="00693415">
            <w:pPr>
              <w:pStyle w:val="Bodytext"/>
              <w:keepNext/>
              <w:spacing w:after="60"/>
              <w:jc w:val="right"/>
              <w:rPr>
                <w:bCs/>
                <w:color w:val="A6A6A6" w:themeColor="background1" w:themeShade="A6"/>
                <w:szCs w:val="22"/>
              </w:rPr>
            </w:pPr>
          </w:p>
        </w:tc>
        <w:tc>
          <w:tcPr>
            <w:tcW w:w="394" w:type="pct"/>
            <w:shd w:val="clear" w:color="auto" w:fill="D9D9D9" w:themeFill="background1" w:themeFillShade="D9"/>
          </w:tcPr>
          <w:p w14:paraId="0F0AFEB5" w14:textId="669E9AEC" w:rsidR="00693415" w:rsidRPr="000F6C2D" w:rsidRDefault="00693415" w:rsidP="00693415">
            <w:pPr>
              <w:pStyle w:val="Bodytext"/>
              <w:keepNext/>
              <w:spacing w:after="60"/>
              <w:jc w:val="right"/>
              <w:rPr>
                <w:bCs/>
                <w:color w:val="auto"/>
                <w:szCs w:val="22"/>
              </w:rPr>
            </w:pPr>
            <w:r w:rsidRPr="000F6C2D">
              <w:rPr>
                <w:bCs/>
                <w:color w:val="auto"/>
                <w:szCs w:val="22"/>
              </w:rPr>
              <w:t>-6</w:t>
            </w:r>
          </w:p>
        </w:tc>
        <w:tc>
          <w:tcPr>
            <w:tcW w:w="354" w:type="pct"/>
            <w:shd w:val="clear" w:color="auto" w:fill="auto"/>
          </w:tcPr>
          <w:p w14:paraId="33DA19D5" w14:textId="6DAA35C9" w:rsidR="00693415" w:rsidRPr="00052572" w:rsidRDefault="00693415" w:rsidP="00693415">
            <w:pPr>
              <w:pStyle w:val="Bodytext"/>
              <w:keepNext/>
              <w:spacing w:after="60"/>
              <w:jc w:val="right"/>
              <w:rPr>
                <w:bCs/>
                <w:color w:val="A6A6A6" w:themeColor="background1" w:themeShade="A6"/>
                <w:szCs w:val="22"/>
              </w:rPr>
            </w:pPr>
          </w:p>
        </w:tc>
        <w:tc>
          <w:tcPr>
            <w:tcW w:w="396" w:type="pct"/>
            <w:shd w:val="clear" w:color="auto" w:fill="D9D9D9" w:themeFill="background1" w:themeFillShade="D9"/>
          </w:tcPr>
          <w:p w14:paraId="511DBD12" w14:textId="35DE48FF" w:rsidR="00693415" w:rsidRPr="000F6C2D" w:rsidRDefault="00693415" w:rsidP="00693415">
            <w:pPr>
              <w:pStyle w:val="Bodytext"/>
              <w:keepNext/>
              <w:spacing w:after="60"/>
              <w:jc w:val="right"/>
              <w:rPr>
                <w:bCs/>
                <w:color w:val="auto"/>
                <w:szCs w:val="22"/>
              </w:rPr>
            </w:pPr>
          </w:p>
        </w:tc>
        <w:tc>
          <w:tcPr>
            <w:tcW w:w="395" w:type="pct"/>
            <w:shd w:val="clear" w:color="auto" w:fill="auto"/>
          </w:tcPr>
          <w:p w14:paraId="7CEB3A52" w14:textId="2BA3248C" w:rsidR="00693415" w:rsidRPr="00052572" w:rsidRDefault="00693415" w:rsidP="00693415">
            <w:pPr>
              <w:pStyle w:val="Bodytext"/>
              <w:keepNext/>
              <w:spacing w:after="60"/>
              <w:jc w:val="right"/>
              <w:rPr>
                <w:bCs/>
                <w:color w:val="A6A6A6" w:themeColor="background1" w:themeShade="A6"/>
                <w:szCs w:val="22"/>
              </w:rPr>
            </w:pPr>
          </w:p>
        </w:tc>
        <w:tc>
          <w:tcPr>
            <w:tcW w:w="396" w:type="pct"/>
            <w:shd w:val="clear" w:color="auto" w:fill="D9D9D9" w:themeFill="background1" w:themeFillShade="D9"/>
          </w:tcPr>
          <w:p w14:paraId="6729535F" w14:textId="2CBDD465" w:rsidR="00693415" w:rsidRPr="000F6C2D" w:rsidRDefault="00693415" w:rsidP="00693415">
            <w:pPr>
              <w:pStyle w:val="Bodytext"/>
              <w:keepNext/>
              <w:spacing w:after="60"/>
              <w:jc w:val="right"/>
              <w:rPr>
                <w:bCs/>
                <w:color w:val="auto"/>
                <w:szCs w:val="22"/>
              </w:rPr>
            </w:pPr>
          </w:p>
        </w:tc>
        <w:tc>
          <w:tcPr>
            <w:tcW w:w="374" w:type="pct"/>
            <w:shd w:val="clear" w:color="auto" w:fill="auto"/>
          </w:tcPr>
          <w:p w14:paraId="37705FD2" w14:textId="77777777" w:rsidR="00693415" w:rsidRPr="00052572" w:rsidRDefault="00693415" w:rsidP="00693415">
            <w:pPr>
              <w:pStyle w:val="Bodytext"/>
              <w:keepNext/>
              <w:spacing w:after="60"/>
              <w:jc w:val="right"/>
              <w:rPr>
                <w:bCs/>
                <w:color w:val="A6A6A6" w:themeColor="background1" w:themeShade="A6"/>
                <w:szCs w:val="22"/>
              </w:rPr>
            </w:pPr>
          </w:p>
        </w:tc>
        <w:tc>
          <w:tcPr>
            <w:tcW w:w="354" w:type="pct"/>
            <w:shd w:val="clear" w:color="auto" w:fill="D9D9D9" w:themeFill="background1" w:themeFillShade="D9"/>
          </w:tcPr>
          <w:p w14:paraId="6D18BBE0" w14:textId="50CD550D" w:rsidR="00693415" w:rsidRPr="000F6C2D" w:rsidRDefault="007A074E" w:rsidP="00693415">
            <w:pPr>
              <w:pStyle w:val="Bodytext"/>
              <w:keepNext/>
              <w:spacing w:after="60"/>
              <w:jc w:val="right"/>
              <w:rPr>
                <w:bCs/>
                <w:color w:val="auto"/>
                <w:szCs w:val="22"/>
              </w:rPr>
            </w:pPr>
            <w:r>
              <w:rPr>
                <w:bCs/>
                <w:color w:val="auto"/>
                <w:szCs w:val="22"/>
              </w:rPr>
              <w:t>1</w:t>
            </w:r>
          </w:p>
        </w:tc>
        <w:tc>
          <w:tcPr>
            <w:tcW w:w="354" w:type="pct"/>
            <w:shd w:val="clear" w:color="auto" w:fill="auto"/>
          </w:tcPr>
          <w:p w14:paraId="68EC703E" w14:textId="7044AF95" w:rsidR="00693415" w:rsidRPr="00052572" w:rsidRDefault="00DB1A71" w:rsidP="00693415">
            <w:pPr>
              <w:pStyle w:val="Bodytext"/>
              <w:keepNext/>
              <w:spacing w:after="60"/>
              <w:jc w:val="right"/>
              <w:rPr>
                <w:bCs/>
                <w:color w:val="A6A6A6" w:themeColor="background1" w:themeShade="A6"/>
                <w:szCs w:val="22"/>
              </w:rPr>
            </w:pPr>
            <w:r>
              <w:rPr>
                <w:bCs/>
                <w:color w:val="A6A6A6" w:themeColor="background1" w:themeShade="A6"/>
                <w:szCs w:val="22"/>
              </w:rPr>
              <w:t>7</w:t>
            </w:r>
          </w:p>
        </w:tc>
      </w:tr>
      <w:tr w:rsidR="00837B61" w:rsidRPr="00B05EEE" w14:paraId="6CF6C7E1" w14:textId="77777777" w:rsidTr="005E01BD">
        <w:trPr>
          <w:cantSplit/>
        </w:trPr>
        <w:tc>
          <w:tcPr>
            <w:tcW w:w="595" w:type="pct"/>
            <w:shd w:val="clear" w:color="auto" w:fill="auto"/>
            <w:vAlign w:val="bottom"/>
          </w:tcPr>
          <w:p w14:paraId="3CEB78C9" w14:textId="77777777" w:rsidR="00693415" w:rsidRPr="00A04572" w:rsidRDefault="00693415" w:rsidP="00693415">
            <w:pPr>
              <w:pStyle w:val="Bodytext"/>
              <w:keepNext/>
              <w:spacing w:after="60"/>
              <w:rPr>
                <w:sz w:val="20"/>
                <w:szCs w:val="20"/>
              </w:rPr>
            </w:pPr>
            <w:r w:rsidRPr="00A04572">
              <w:rPr>
                <w:sz w:val="20"/>
                <w:szCs w:val="20"/>
              </w:rPr>
              <w:t>Community welfare</w:t>
            </w:r>
          </w:p>
        </w:tc>
        <w:tc>
          <w:tcPr>
            <w:tcW w:w="347" w:type="pct"/>
            <w:shd w:val="clear" w:color="auto" w:fill="D9D9D9" w:themeFill="background1" w:themeFillShade="D9"/>
          </w:tcPr>
          <w:p w14:paraId="30857C2E" w14:textId="456EB826" w:rsidR="00693415" w:rsidRPr="000F6C2D" w:rsidRDefault="00693415" w:rsidP="00693415">
            <w:pPr>
              <w:pStyle w:val="Bodytext"/>
              <w:keepNext/>
              <w:spacing w:after="60"/>
              <w:jc w:val="right"/>
              <w:rPr>
                <w:bCs/>
                <w:color w:val="auto"/>
                <w:szCs w:val="22"/>
              </w:rPr>
            </w:pPr>
            <w:r w:rsidRPr="000F6C2D">
              <w:rPr>
                <w:bCs/>
                <w:color w:val="auto"/>
                <w:szCs w:val="22"/>
              </w:rPr>
              <w:t>15</w:t>
            </w:r>
          </w:p>
        </w:tc>
        <w:tc>
          <w:tcPr>
            <w:tcW w:w="347" w:type="pct"/>
            <w:shd w:val="clear" w:color="auto" w:fill="auto"/>
          </w:tcPr>
          <w:p w14:paraId="0BF9BD4B" w14:textId="439B50D6" w:rsidR="00693415" w:rsidRPr="00052572" w:rsidRDefault="00693415" w:rsidP="00693415">
            <w:pPr>
              <w:pStyle w:val="Bodytext"/>
              <w:keepNext/>
              <w:spacing w:after="60"/>
              <w:jc w:val="right"/>
              <w:rPr>
                <w:bCs/>
                <w:color w:val="A6A6A6" w:themeColor="background1" w:themeShade="A6"/>
                <w:szCs w:val="22"/>
              </w:rPr>
            </w:pPr>
          </w:p>
        </w:tc>
        <w:tc>
          <w:tcPr>
            <w:tcW w:w="348" w:type="pct"/>
            <w:shd w:val="clear" w:color="auto" w:fill="D9D9D9" w:themeFill="background1" w:themeFillShade="D9"/>
          </w:tcPr>
          <w:p w14:paraId="06DF8BCA" w14:textId="38790313" w:rsidR="00693415" w:rsidRPr="000F6C2D" w:rsidRDefault="00693415" w:rsidP="00693415">
            <w:pPr>
              <w:pStyle w:val="Bodytext"/>
              <w:keepNext/>
              <w:spacing w:after="60"/>
              <w:jc w:val="right"/>
              <w:rPr>
                <w:bCs/>
                <w:color w:val="auto"/>
                <w:szCs w:val="22"/>
              </w:rPr>
            </w:pPr>
          </w:p>
        </w:tc>
        <w:tc>
          <w:tcPr>
            <w:tcW w:w="345" w:type="pct"/>
            <w:shd w:val="clear" w:color="auto" w:fill="auto"/>
          </w:tcPr>
          <w:p w14:paraId="490277EF" w14:textId="1577C7DF" w:rsidR="00693415" w:rsidRPr="00052572" w:rsidRDefault="00693415" w:rsidP="00693415">
            <w:pPr>
              <w:pStyle w:val="Bodytext"/>
              <w:keepNext/>
              <w:spacing w:after="60"/>
              <w:jc w:val="right"/>
              <w:rPr>
                <w:bCs/>
                <w:color w:val="A6A6A6" w:themeColor="background1" w:themeShade="A6"/>
                <w:szCs w:val="22"/>
              </w:rPr>
            </w:pPr>
            <w:r w:rsidRPr="00052572">
              <w:rPr>
                <w:bCs/>
                <w:color w:val="A6A6A6" w:themeColor="background1" w:themeShade="A6"/>
                <w:szCs w:val="22"/>
              </w:rPr>
              <w:t>60</w:t>
            </w:r>
          </w:p>
        </w:tc>
        <w:tc>
          <w:tcPr>
            <w:tcW w:w="394" w:type="pct"/>
            <w:shd w:val="clear" w:color="auto" w:fill="D9D9D9" w:themeFill="background1" w:themeFillShade="D9"/>
          </w:tcPr>
          <w:p w14:paraId="7EBFE476" w14:textId="2F3B72EE" w:rsidR="00693415" w:rsidRPr="000F6C2D" w:rsidRDefault="00693415" w:rsidP="00693415">
            <w:pPr>
              <w:pStyle w:val="Bodytext"/>
              <w:keepNext/>
              <w:spacing w:after="60"/>
              <w:jc w:val="right"/>
              <w:rPr>
                <w:bCs/>
                <w:color w:val="auto"/>
                <w:szCs w:val="22"/>
              </w:rPr>
            </w:pPr>
            <w:r w:rsidRPr="000F6C2D">
              <w:rPr>
                <w:bCs/>
                <w:color w:val="auto"/>
                <w:szCs w:val="22"/>
              </w:rPr>
              <w:t>-7</w:t>
            </w:r>
          </w:p>
        </w:tc>
        <w:tc>
          <w:tcPr>
            <w:tcW w:w="354" w:type="pct"/>
            <w:shd w:val="clear" w:color="auto" w:fill="auto"/>
          </w:tcPr>
          <w:p w14:paraId="22AC7E80" w14:textId="16B4E1CA" w:rsidR="00693415" w:rsidRPr="00052572" w:rsidRDefault="00693415" w:rsidP="00693415">
            <w:pPr>
              <w:pStyle w:val="Bodytext"/>
              <w:keepNext/>
              <w:spacing w:after="60"/>
              <w:jc w:val="right"/>
              <w:rPr>
                <w:bCs/>
                <w:color w:val="A6A6A6" w:themeColor="background1" w:themeShade="A6"/>
                <w:szCs w:val="22"/>
              </w:rPr>
            </w:pPr>
            <w:r w:rsidRPr="00052572">
              <w:rPr>
                <w:bCs/>
                <w:color w:val="A6A6A6" w:themeColor="background1" w:themeShade="A6"/>
                <w:szCs w:val="22"/>
              </w:rPr>
              <w:t>-45</w:t>
            </w:r>
          </w:p>
        </w:tc>
        <w:tc>
          <w:tcPr>
            <w:tcW w:w="396" w:type="pct"/>
            <w:shd w:val="clear" w:color="auto" w:fill="D9D9D9" w:themeFill="background1" w:themeFillShade="D9"/>
          </w:tcPr>
          <w:p w14:paraId="4E7DC340" w14:textId="3446C73E" w:rsidR="00693415" w:rsidRPr="000F6C2D" w:rsidRDefault="00693415" w:rsidP="00693415">
            <w:pPr>
              <w:pStyle w:val="Bodytext"/>
              <w:keepNext/>
              <w:spacing w:after="60"/>
              <w:jc w:val="right"/>
              <w:rPr>
                <w:bCs/>
                <w:color w:val="auto"/>
                <w:szCs w:val="22"/>
              </w:rPr>
            </w:pPr>
          </w:p>
        </w:tc>
        <w:tc>
          <w:tcPr>
            <w:tcW w:w="395" w:type="pct"/>
            <w:shd w:val="clear" w:color="auto" w:fill="auto"/>
          </w:tcPr>
          <w:p w14:paraId="49B8446B" w14:textId="1A566C98" w:rsidR="00693415" w:rsidRPr="00052572" w:rsidRDefault="00693415" w:rsidP="00693415">
            <w:pPr>
              <w:pStyle w:val="Bodytext"/>
              <w:keepNext/>
              <w:spacing w:after="60"/>
              <w:jc w:val="right"/>
              <w:rPr>
                <w:bCs/>
                <w:color w:val="A6A6A6" w:themeColor="background1" w:themeShade="A6"/>
                <w:szCs w:val="22"/>
              </w:rPr>
            </w:pPr>
          </w:p>
        </w:tc>
        <w:tc>
          <w:tcPr>
            <w:tcW w:w="396" w:type="pct"/>
            <w:shd w:val="clear" w:color="auto" w:fill="D9D9D9" w:themeFill="background1" w:themeFillShade="D9"/>
          </w:tcPr>
          <w:p w14:paraId="3D25925D" w14:textId="0090B93F" w:rsidR="00693415" w:rsidRPr="000F6C2D" w:rsidRDefault="00693415" w:rsidP="00693415">
            <w:pPr>
              <w:pStyle w:val="Bodytext"/>
              <w:keepNext/>
              <w:spacing w:after="60"/>
              <w:jc w:val="right"/>
              <w:rPr>
                <w:bCs/>
                <w:color w:val="auto"/>
                <w:szCs w:val="22"/>
              </w:rPr>
            </w:pPr>
          </w:p>
        </w:tc>
        <w:tc>
          <w:tcPr>
            <w:tcW w:w="374" w:type="pct"/>
            <w:shd w:val="clear" w:color="auto" w:fill="auto"/>
          </w:tcPr>
          <w:p w14:paraId="656CDD4A" w14:textId="77777777" w:rsidR="00693415" w:rsidRPr="00052572" w:rsidRDefault="00693415" w:rsidP="00693415">
            <w:pPr>
              <w:pStyle w:val="Bodytext"/>
              <w:keepNext/>
              <w:spacing w:after="60"/>
              <w:jc w:val="right"/>
              <w:rPr>
                <w:bCs/>
                <w:color w:val="A6A6A6" w:themeColor="background1" w:themeShade="A6"/>
                <w:szCs w:val="22"/>
              </w:rPr>
            </w:pPr>
          </w:p>
        </w:tc>
        <w:tc>
          <w:tcPr>
            <w:tcW w:w="354" w:type="pct"/>
            <w:shd w:val="clear" w:color="auto" w:fill="D9D9D9" w:themeFill="background1" w:themeFillShade="D9"/>
          </w:tcPr>
          <w:p w14:paraId="1C72421E" w14:textId="4B1F57F0" w:rsidR="00693415" w:rsidRPr="000F6C2D" w:rsidRDefault="00693415" w:rsidP="00693415">
            <w:pPr>
              <w:pStyle w:val="Bodytext"/>
              <w:keepNext/>
              <w:spacing w:after="60"/>
              <w:jc w:val="right"/>
              <w:rPr>
                <w:bCs/>
                <w:color w:val="auto"/>
                <w:szCs w:val="22"/>
              </w:rPr>
            </w:pPr>
            <w:r w:rsidRPr="000F6C2D">
              <w:rPr>
                <w:bCs/>
                <w:color w:val="auto"/>
                <w:szCs w:val="22"/>
              </w:rPr>
              <w:t>8</w:t>
            </w:r>
          </w:p>
        </w:tc>
        <w:tc>
          <w:tcPr>
            <w:tcW w:w="354" w:type="pct"/>
            <w:shd w:val="clear" w:color="auto" w:fill="auto"/>
          </w:tcPr>
          <w:p w14:paraId="665F3164" w14:textId="0C7D78EB" w:rsidR="00693415" w:rsidRPr="00052572" w:rsidRDefault="00693415" w:rsidP="00693415">
            <w:pPr>
              <w:pStyle w:val="Bodytext"/>
              <w:keepNext/>
              <w:spacing w:after="60"/>
              <w:jc w:val="right"/>
              <w:rPr>
                <w:bCs/>
                <w:color w:val="A6A6A6" w:themeColor="background1" w:themeShade="A6"/>
                <w:szCs w:val="22"/>
              </w:rPr>
            </w:pPr>
            <w:r w:rsidRPr="00052572">
              <w:rPr>
                <w:bCs/>
                <w:color w:val="A6A6A6" w:themeColor="background1" w:themeShade="A6"/>
                <w:szCs w:val="22"/>
              </w:rPr>
              <w:t>15</w:t>
            </w:r>
          </w:p>
        </w:tc>
      </w:tr>
      <w:tr w:rsidR="00837B61" w:rsidRPr="00B05EEE" w14:paraId="70CED218" w14:textId="77777777" w:rsidTr="005E01BD">
        <w:trPr>
          <w:cantSplit/>
          <w:trHeight w:val="256"/>
        </w:trPr>
        <w:tc>
          <w:tcPr>
            <w:tcW w:w="595" w:type="pct"/>
            <w:shd w:val="clear" w:color="auto" w:fill="auto"/>
            <w:vAlign w:val="bottom"/>
          </w:tcPr>
          <w:p w14:paraId="41EBEA0D" w14:textId="77777777" w:rsidR="00693415" w:rsidRPr="00A04572" w:rsidRDefault="00693415" w:rsidP="00693415">
            <w:pPr>
              <w:pStyle w:val="Bodytext"/>
              <w:keepNext/>
              <w:spacing w:after="60"/>
              <w:rPr>
                <w:b/>
                <w:bCs/>
                <w:sz w:val="20"/>
                <w:szCs w:val="20"/>
              </w:rPr>
            </w:pPr>
            <w:r w:rsidRPr="00A04572">
              <w:rPr>
                <w:b/>
                <w:bCs/>
                <w:sz w:val="20"/>
                <w:szCs w:val="20"/>
              </w:rPr>
              <w:t>Total</w:t>
            </w:r>
          </w:p>
        </w:tc>
        <w:tc>
          <w:tcPr>
            <w:tcW w:w="347" w:type="pct"/>
            <w:tcBorders>
              <w:top w:val="single" w:sz="4" w:space="0" w:color="auto"/>
              <w:bottom w:val="double" w:sz="4" w:space="0" w:color="auto"/>
            </w:tcBorders>
            <w:shd w:val="clear" w:color="auto" w:fill="D9D9D9" w:themeFill="background1" w:themeFillShade="D9"/>
          </w:tcPr>
          <w:p w14:paraId="127ED130" w14:textId="1D04A182" w:rsidR="00693415" w:rsidRPr="000F6C2D" w:rsidRDefault="00693415" w:rsidP="00693415">
            <w:pPr>
              <w:pStyle w:val="Bodytext"/>
              <w:keepNext/>
              <w:spacing w:after="60"/>
              <w:jc w:val="right"/>
              <w:rPr>
                <w:b/>
                <w:bCs/>
                <w:color w:val="auto"/>
                <w:sz w:val="20"/>
                <w:szCs w:val="20"/>
              </w:rPr>
            </w:pPr>
            <w:r w:rsidRPr="000F6C2D">
              <w:rPr>
                <w:color w:val="auto"/>
              </w:rPr>
              <w:t>3,570</w:t>
            </w:r>
          </w:p>
        </w:tc>
        <w:tc>
          <w:tcPr>
            <w:tcW w:w="347" w:type="pct"/>
            <w:tcBorders>
              <w:top w:val="single" w:sz="4" w:space="0" w:color="auto"/>
              <w:bottom w:val="double" w:sz="4" w:space="0" w:color="auto"/>
            </w:tcBorders>
            <w:shd w:val="clear" w:color="auto" w:fill="auto"/>
          </w:tcPr>
          <w:p w14:paraId="262BD776" w14:textId="14C18487" w:rsidR="00693415" w:rsidRPr="00052572" w:rsidRDefault="00444901" w:rsidP="00693415">
            <w:pPr>
              <w:pStyle w:val="Bodytext"/>
              <w:keepNext/>
              <w:spacing w:after="60"/>
              <w:jc w:val="right"/>
              <w:rPr>
                <w:bCs/>
                <w:color w:val="A6A6A6" w:themeColor="background1" w:themeShade="A6"/>
                <w:szCs w:val="22"/>
              </w:rPr>
            </w:pPr>
            <w:r>
              <w:rPr>
                <w:bCs/>
                <w:color w:val="A6A6A6" w:themeColor="background1" w:themeShade="A6"/>
                <w:szCs w:val="22"/>
              </w:rPr>
              <w:t>2</w:t>
            </w:r>
            <w:r w:rsidR="00693415" w:rsidRPr="00052572">
              <w:rPr>
                <w:bCs/>
                <w:color w:val="A6A6A6" w:themeColor="background1" w:themeShade="A6"/>
                <w:szCs w:val="22"/>
              </w:rPr>
              <w:t>,279</w:t>
            </w:r>
          </w:p>
        </w:tc>
        <w:tc>
          <w:tcPr>
            <w:tcW w:w="348" w:type="pct"/>
            <w:tcBorders>
              <w:top w:val="single" w:sz="4" w:space="0" w:color="auto"/>
              <w:bottom w:val="double" w:sz="4" w:space="0" w:color="auto"/>
            </w:tcBorders>
            <w:shd w:val="clear" w:color="auto" w:fill="D9D9D9" w:themeFill="background1" w:themeFillShade="D9"/>
          </w:tcPr>
          <w:p w14:paraId="7AF5861B" w14:textId="53657082" w:rsidR="00693415" w:rsidRPr="000F6C2D" w:rsidRDefault="00693415" w:rsidP="00693415">
            <w:pPr>
              <w:pStyle w:val="Bodytext"/>
              <w:keepNext/>
              <w:spacing w:after="60"/>
              <w:jc w:val="right"/>
              <w:rPr>
                <w:b/>
                <w:bCs/>
                <w:color w:val="auto"/>
                <w:sz w:val="20"/>
                <w:szCs w:val="20"/>
              </w:rPr>
            </w:pPr>
            <w:r w:rsidRPr="000F6C2D">
              <w:rPr>
                <w:color w:val="auto"/>
              </w:rPr>
              <w:t>1,7</w:t>
            </w:r>
            <w:r w:rsidR="009714F4">
              <w:rPr>
                <w:color w:val="auto"/>
              </w:rPr>
              <w:t>3</w:t>
            </w:r>
            <w:r w:rsidRPr="000F6C2D">
              <w:rPr>
                <w:color w:val="auto"/>
              </w:rPr>
              <w:t>8</w:t>
            </w:r>
          </w:p>
        </w:tc>
        <w:tc>
          <w:tcPr>
            <w:tcW w:w="345" w:type="pct"/>
            <w:tcBorders>
              <w:top w:val="single" w:sz="4" w:space="0" w:color="auto"/>
              <w:bottom w:val="double" w:sz="4" w:space="0" w:color="auto"/>
            </w:tcBorders>
            <w:shd w:val="clear" w:color="auto" w:fill="auto"/>
          </w:tcPr>
          <w:p w14:paraId="3826BB83" w14:textId="4596DBE3" w:rsidR="00693415" w:rsidRPr="00052572" w:rsidRDefault="00693415" w:rsidP="00693415">
            <w:pPr>
              <w:pStyle w:val="Bodytext"/>
              <w:keepNext/>
              <w:spacing w:after="60"/>
              <w:jc w:val="right"/>
              <w:rPr>
                <w:bCs/>
                <w:color w:val="A6A6A6" w:themeColor="background1" w:themeShade="A6"/>
                <w:szCs w:val="22"/>
              </w:rPr>
            </w:pPr>
            <w:r w:rsidRPr="00052572">
              <w:rPr>
                <w:bCs/>
                <w:color w:val="A6A6A6" w:themeColor="background1" w:themeShade="A6"/>
                <w:szCs w:val="22"/>
              </w:rPr>
              <w:t>1,675</w:t>
            </w:r>
          </w:p>
        </w:tc>
        <w:tc>
          <w:tcPr>
            <w:tcW w:w="394" w:type="pct"/>
            <w:tcBorders>
              <w:top w:val="single" w:sz="4" w:space="0" w:color="auto"/>
              <w:bottom w:val="double" w:sz="4" w:space="0" w:color="auto"/>
            </w:tcBorders>
            <w:shd w:val="clear" w:color="auto" w:fill="D9D9D9" w:themeFill="background1" w:themeFillShade="D9"/>
          </w:tcPr>
          <w:p w14:paraId="40F45440" w14:textId="5F05E0A5" w:rsidR="00693415" w:rsidRPr="000F6C2D" w:rsidRDefault="006101D1" w:rsidP="00693415">
            <w:pPr>
              <w:pStyle w:val="Bodytext"/>
              <w:keepNext/>
              <w:spacing w:after="60"/>
              <w:jc w:val="right"/>
              <w:rPr>
                <w:b/>
                <w:bCs/>
                <w:color w:val="auto"/>
                <w:sz w:val="20"/>
                <w:szCs w:val="20"/>
              </w:rPr>
            </w:pPr>
            <w:r>
              <w:rPr>
                <w:color w:val="auto"/>
              </w:rPr>
              <w:t>-509</w:t>
            </w:r>
          </w:p>
        </w:tc>
        <w:tc>
          <w:tcPr>
            <w:tcW w:w="354" w:type="pct"/>
            <w:tcBorders>
              <w:top w:val="single" w:sz="4" w:space="0" w:color="auto"/>
              <w:bottom w:val="double" w:sz="4" w:space="0" w:color="auto"/>
            </w:tcBorders>
            <w:shd w:val="clear" w:color="auto" w:fill="auto"/>
          </w:tcPr>
          <w:p w14:paraId="7850F5E9" w14:textId="5759A4D6" w:rsidR="00693415" w:rsidRPr="00052572" w:rsidRDefault="00693415" w:rsidP="00693415">
            <w:pPr>
              <w:pStyle w:val="Bodytext"/>
              <w:keepNext/>
              <w:spacing w:after="60"/>
              <w:jc w:val="right"/>
              <w:rPr>
                <w:bCs/>
                <w:color w:val="A6A6A6" w:themeColor="background1" w:themeShade="A6"/>
                <w:szCs w:val="22"/>
              </w:rPr>
            </w:pPr>
            <w:r w:rsidRPr="00052572">
              <w:rPr>
                <w:bCs/>
                <w:color w:val="A6A6A6" w:themeColor="background1" w:themeShade="A6"/>
                <w:szCs w:val="22"/>
              </w:rPr>
              <w:t>-353</w:t>
            </w:r>
          </w:p>
        </w:tc>
        <w:tc>
          <w:tcPr>
            <w:tcW w:w="396" w:type="pct"/>
            <w:tcBorders>
              <w:top w:val="single" w:sz="4" w:space="0" w:color="auto"/>
              <w:bottom w:val="double" w:sz="4" w:space="0" w:color="auto"/>
            </w:tcBorders>
            <w:shd w:val="clear" w:color="auto" w:fill="D9D9D9" w:themeFill="background1" w:themeFillShade="D9"/>
          </w:tcPr>
          <w:p w14:paraId="54F6E39B" w14:textId="2515856D" w:rsidR="00693415" w:rsidRPr="000F6C2D" w:rsidRDefault="00693415" w:rsidP="00693415">
            <w:pPr>
              <w:pStyle w:val="Bodytext"/>
              <w:keepNext/>
              <w:spacing w:after="60"/>
              <w:jc w:val="right"/>
              <w:rPr>
                <w:b/>
                <w:bCs/>
                <w:color w:val="auto"/>
                <w:sz w:val="20"/>
                <w:szCs w:val="20"/>
              </w:rPr>
            </w:pPr>
            <w:r w:rsidRPr="000F6C2D">
              <w:rPr>
                <w:color w:val="auto"/>
              </w:rPr>
              <w:t>-22</w:t>
            </w:r>
          </w:p>
        </w:tc>
        <w:tc>
          <w:tcPr>
            <w:tcW w:w="395" w:type="pct"/>
            <w:tcBorders>
              <w:top w:val="single" w:sz="4" w:space="0" w:color="auto"/>
              <w:bottom w:val="double" w:sz="4" w:space="0" w:color="auto"/>
            </w:tcBorders>
            <w:shd w:val="clear" w:color="auto" w:fill="auto"/>
          </w:tcPr>
          <w:p w14:paraId="1E8683CF" w14:textId="45AC7EB7" w:rsidR="00693415" w:rsidRPr="00052572" w:rsidRDefault="00693415" w:rsidP="00693415">
            <w:pPr>
              <w:pStyle w:val="Bodytext"/>
              <w:keepNext/>
              <w:spacing w:after="60"/>
              <w:jc w:val="right"/>
              <w:rPr>
                <w:bCs/>
                <w:color w:val="A6A6A6" w:themeColor="background1" w:themeShade="A6"/>
                <w:szCs w:val="22"/>
              </w:rPr>
            </w:pPr>
            <w:r w:rsidRPr="00052572">
              <w:rPr>
                <w:bCs/>
                <w:color w:val="A6A6A6" w:themeColor="background1" w:themeShade="A6"/>
                <w:szCs w:val="22"/>
              </w:rPr>
              <w:t>-31</w:t>
            </w:r>
          </w:p>
        </w:tc>
        <w:tc>
          <w:tcPr>
            <w:tcW w:w="396" w:type="pct"/>
            <w:tcBorders>
              <w:top w:val="single" w:sz="4" w:space="0" w:color="auto"/>
              <w:bottom w:val="double" w:sz="4" w:space="0" w:color="auto"/>
            </w:tcBorders>
            <w:shd w:val="clear" w:color="auto" w:fill="D9D9D9" w:themeFill="background1" w:themeFillShade="D9"/>
          </w:tcPr>
          <w:p w14:paraId="297B4F27" w14:textId="0585FD56" w:rsidR="00693415" w:rsidRPr="000F6C2D" w:rsidRDefault="00693415" w:rsidP="00693415">
            <w:pPr>
              <w:pStyle w:val="Bodytext"/>
              <w:keepNext/>
              <w:spacing w:after="60"/>
              <w:jc w:val="right"/>
              <w:rPr>
                <w:b/>
                <w:color w:val="auto"/>
                <w:szCs w:val="22"/>
              </w:rPr>
            </w:pPr>
            <w:r w:rsidRPr="000F6C2D">
              <w:rPr>
                <w:color w:val="auto"/>
              </w:rPr>
              <w:t>0</w:t>
            </w:r>
          </w:p>
        </w:tc>
        <w:tc>
          <w:tcPr>
            <w:tcW w:w="374" w:type="pct"/>
            <w:tcBorders>
              <w:top w:val="single" w:sz="4" w:space="0" w:color="auto"/>
              <w:bottom w:val="double" w:sz="4" w:space="0" w:color="auto"/>
            </w:tcBorders>
            <w:shd w:val="clear" w:color="auto" w:fill="auto"/>
          </w:tcPr>
          <w:p w14:paraId="7A98526C" w14:textId="7F87FD38" w:rsidR="00693415" w:rsidRPr="00052572" w:rsidRDefault="002E22A5" w:rsidP="00693415">
            <w:pPr>
              <w:pStyle w:val="Bodytext"/>
              <w:keepNext/>
              <w:spacing w:after="60"/>
              <w:jc w:val="right"/>
              <w:rPr>
                <w:bCs/>
                <w:color w:val="A6A6A6" w:themeColor="background1" w:themeShade="A6"/>
                <w:szCs w:val="22"/>
              </w:rPr>
            </w:pPr>
            <w:r>
              <w:rPr>
                <w:bCs/>
                <w:color w:val="A6A6A6" w:themeColor="background1" w:themeShade="A6"/>
                <w:szCs w:val="22"/>
              </w:rPr>
              <w:t>0</w:t>
            </w:r>
          </w:p>
        </w:tc>
        <w:tc>
          <w:tcPr>
            <w:tcW w:w="354" w:type="pct"/>
            <w:tcBorders>
              <w:top w:val="single" w:sz="4" w:space="0" w:color="auto"/>
              <w:bottom w:val="double" w:sz="4" w:space="0" w:color="auto"/>
            </w:tcBorders>
            <w:shd w:val="clear" w:color="auto" w:fill="D9D9D9" w:themeFill="background1" w:themeFillShade="D9"/>
          </w:tcPr>
          <w:p w14:paraId="409EEF79" w14:textId="07DFC021" w:rsidR="00693415" w:rsidRPr="000F6C2D" w:rsidRDefault="00EC158B" w:rsidP="00693415">
            <w:pPr>
              <w:pStyle w:val="Bodytext"/>
              <w:keepNext/>
              <w:spacing w:after="60"/>
              <w:jc w:val="right"/>
              <w:rPr>
                <w:b/>
                <w:bCs/>
                <w:color w:val="auto"/>
                <w:sz w:val="20"/>
                <w:szCs w:val="20"/>
              </w:rPr>
            </w:pPr>
            <w:r>
              <w:rPr>
                <w:color w:val="auto"/>
              </w:rPr>
              <w:t>4,777</w:t>
            </w:r>
          </w:p>
        </w:tc>
        <w:tc>
          <w:tcPr>
            <w:tcW w:w="354" w:type="pct"/>
            <w:tcBorders>
              <w:top w:val="single" w:sz="4" w:space="0" w:color="auto"/>
              <w:bottom w:val="double" w:sz="4" w:space="0" w:color="auto"/>
            </w:tcBorders>
            <w:shd w:val="clear" w:color="auto" w:fill="auto"/>
          </w:tcPr>
          <w:p w14:paraId="2C55C0B6" w14:textId="1762E0A7" w:rsidR="00693415" w:rsidRPr="00052572" w:rsidRDefault="00693415" w:rsidP="00693415">
            <w:pPr>
              <w:pStyle w:val="Bodytext"/>
              <w:keepNext/>
              <w:spacing w:after="60"/>
              <w:jc w:val="right"/>
              <w:rPr>
                <w:bCs/>
                <w:color w:val="A6A6A6" w:themeColor="background1" w:themeShade="A6"/>
                <w:szCs w:val="22"/>
              </w:rPr>
            </w:pPr>
            <w:r w:rsidRPr="00052572">
              <w:rPr>
                <w:bCs/>
                <w:color w:val="A6A6A6" w:themeColor="background1" w:themeShade="A6"/>
                <w:szCs w:val="22"/>
              </w:rPr>
              <w:t>3,570</w:t>
            </w:r>
          </w:p>
        </w:tc>
      </w:tr>
    </w:tbl>
    <w:p w14:paraId="495EC39A" w14:textId="77777777" w:rsidR="00D9313C" w:rsidRPr="006644A8" w:rsidRDefault="00D9313C" w:rsidP="00457244">
      <w:pPr>
        <w:tabs>
          <w:tab w:val="left" w:pos="9072"/>
        </w:tabs>
        <w:ind w:right="249"/>
        <w:rPr>
          <w:rFonts w:asciiTheme="minorHAnsi" w:hAnsiTheme="minorHAnsi" w:cstheme="minorHAnsi"/>
        </w:rPr>
      </w:pPr>
    </w:p>
    <w:p w14:paraId="7CC45DEA" w14:textId="77777777" w:rsidR="00351F4F" w:rsidRDefault="00351F4F" w:rsidP="00457244">
      <w:pPr>
        <w:pStyle w:val="Bodytext"/>
        <w:sectPr w:rsidR="00351F4F" w:rsidSect="00237BC5">
          <w:type w:val="continuous"/>
          <w:pgSz w:w="16840" w:h="11900" w:orient="landscape"/>
          <w:pgMar w:top="1021" w:right="1701" w:bottom="1021" w:left="851" w:header="851" w:footer="851" w:gutter="0"/>
          <w:cols w:space="720"/>
          <w:docGrid w:linePitch="360"/>
        </w:sectPr>
      </w:pPr>
    </w:p>
    <w:p w14:paraId="58452D55" w14:textId="5E00CEA3" w:rsidR="00D9313C" w:rsidRPr="006644A8" w:rsidRDefault="00D9313C" w:rsidP="00457244">
      <w:pPr>
        <w:pStyle w:val="Bodytext"/>
      </w:pPr>
      <w:r w:rsidRPr="006644A8">
        <w:t xml:space="preserve">The </w:t>
      </w:r>
      <w:r w:rsidRPr="006644A8">
        <w:rPr>
          <w:b/>
        </w:rPr>
        <w:t>Paediatric burns and trauma centre appeal</w:t>
      </w:r>
      <w:r w:rsidRPr="006644A8">
        <w:t xml:space="preserve"> was established in 2014 to create a modern medical environment with the latest equipment and scanning facilities to diagnose and swiftly treat trauma and burns victims. </w:t>
      </w:r>
      <w:r w:rsidRPr="0095273A">
        <w:t xml:space="preserve">The appeal has </w:t>
      </w:r>
      <w:r w:rsidR="002718B5">
        <w:t xml:space="preserve">exceeded </w:t>
      </w:r>
      <w:r w:rsidRPr="0095273A">
        <w:t>its £2.</w:t>
      </w:r>
      <w:r w:rsidR="00D30403">
        <w:t>8</w:t>
      </w:r>
      <w:r w:rsidRPr="0095273A">
        <w:t>m target and work is due to begin</w:t>
      </w:r>
      <w:r w:rsidR="00D30403">
        <w:t xml:space="preserve"> later</w:t>
      </w:r>
      <w:r w:rsidRPr="0095273A">
        <w:t xml:space="preserve"> </w:t>
      </w:r>
      <w:r w:rsidR="00C53956">
        <w:t xml:space="preserve">in </w:t>
      </w:r>
      <w:r w:rsidRPr="0095273A">
        <w:t>202</w:t>
      </w:r>
      <w:r w:rsidR="00172339">
        <w:t>4</w:t>
      </w:r>
      <w:r w:rsidRPr="0095273A">
        <w:t xml:space="preserve"> to construct the new centre.</w:t>
      </w:r>
    </w:p>
    <w:p w14:paraId="70E8F1F7" w14:textId="0E4187BB" w:rsidR="00D9313C" w:rsidRPr="006644A8" w:rsidRDefault="00D9313C" w:rsidP="00457244">
      <w:pPr>
        <w:pStyle w:val="Bodytext"/>
      </w:pPr>
      <w:r w:rsidRPr="006644A8">
        <w:t xml:space="preserve">The </w:t>
      </w:r>
      <w:r w:rsidRPr="006644A8">
        <w:rPr>
          <w:b/>
        </w:rPr>
        <w:t>Education centre appeal</w:t>
      </w:r>
      <w:r w:rsidRPr="006644A8">
        <w:t xml:space="preserve"> has reached its £1</w:t>
      </w:r>
      <w:r w:rsidR="00836F31">
        <w:t>.5</w:t>
      </w:r>
      <w:r w:rsidRPr="006644A8">
        <w:t xml:space="preserve">m target and work is due to begin in </w:t>
      </w:r>
      <w:r>
        <w:t>202</w:t>
      </w:r>
      <w:r w:rsidR="00172339">
        <w:t>4</w:t>
      </w:r>
      <w:r>
        <w:t xml:space="preserve"> </w:t>
      </w:r>
      <w:r w:rsidRPr="006644A8">
        <w:t>to refurbish the existing education centre site with new lecture facilities and a multimedia suite.</w:t>
      </w:r>
    </w:p>
    <w:p w14:paraId="339773A3" w14:textId="26EC739A" w:rsidR="00D9313C" w:rsidRPr="006644A8" w:rsidRDefault="00D9313C" w:rsidP="00D9313C">
      <w:pPr>
        <w:pStyle w:val="Bodytext"/>
      </w:pPr>
      <w:r w:rsidRPr="006644A8">
        <w:t xml:space="preserve">The </w:t>
      </w:r>
      <w:r w:rsidRPr="006644A8">
        <w:rPr>
          <w:b/>
        </w:rPr>
        <w:t>Guptah income fund</w:t>
      </w:r>
      <w:r w:rsidRPr="006644A8">
        <w:t xml:space="preserve"> is restricted to promoting the preservation of health and recovery of patients and former patients of the hospitals </w:t>
      </w:r>
      <w:r w:rsidRPr="006644A8">
        <w:t xml:space="preserve">listed in the endowment and Charity Commission scheme dated 1 March 2004. This is the fund for the income raised from </w:t>
      </w:r>
      <w:r w:rsidR="007B502A" w:rsidRPr="006644A8">
        <w:t xml:space="preserve">the </w:t>
      </w:r>
      <w:r w:rsidR="007B502A">
        <w:t>permanent</w:t>
      </w:r>
      <w:r w:rsidRPr="006644A8">
        <w:t xml:space="preserve"> endowment.</w:t>
      </w:r>
      <w:r>
        <w:t xml:space="preserve"> </w:t>
      </w:r>
      <w:r w:rsidRPr="006644A8">
        <w:t xml:space="preserve">The </w:t>
      </w:r>
      <w:r>
        <w:t>charitable funds committee</w:t>
      </w:r>
      <w:r w:rsidRPr="006644A8">
        <w:t xml:space="preserve"> receive</w:t>
      </w:r>
      <w:r>
        <w:t>s</w:t>
      </w:r>
      <w:r w:rsidRPr="006644A8">
        <w:t xml:space="preserve"> bid submissions </w:t>
      </w:r>
      <w:r w:rsidR="00E34303">
        <w:t>and</w:t>
      </w:r>
      <w:r w:rsidRPr="006644A8">
        <w:t xml:space="preserve"> awards one or more grants, based upon criteria of eligibility and need.</w:t>
      </w:r>
    </w:p>
    <w:p w14:paraId="7060EC3B" w14:textId="4B3382BD" w:rsidR="00A9722D" w:rsidRDefault="00D9313C" w:rsidP="00212646">
      <w:pPr>
        <w:pStyle w:val="Bodytext"/>
        <w:rPr>
          <w:strike/>
          <w:color w:val="FF0000"/>
        </w:rPr>
      </w:pPr>
      <w:r w:rsidRPr="006644A8">
        <w:t xml:space="preserve">The </w:t>
      </w:r>
      <w:r w:rsidRPr="006644A8">
        <w:rPr>
          <w:b/>
        </w:rPr>
        <w:t>Heathlands unit fund</w:t>
      </w:r>
      <w:r w:rsidRPr="006644A8">
        <w:t xml:space="preserve"> is restricted for the purpose of the refurbishment of a patient area at </w:t>
      </w:r>
      <w:r>
        <w:t>Healthville</w:t>
      </w:r>
      <w:r w:rsidRPr="006644A8">
        <w:t xml:space="preserve"> Hospital’s Heathlands Unit. The use of these funds has been delayed due to the planned relocation of the unit.</w:t>
      </w:r>
      <w:r w:rsidR="00A9722D">
        <w:rPr>
          <w:strike/>
          <w:color w:val="FF0000"/>
        </w:rPr>
        <w:t xml:space="preserve"> </w:t>
      </w:r>
    </w:p>
    <w:p w14:paraId="1453E0CF" w14:textId="1C1C3AAF" w:rsidR="00D143F5" w:rsidRDefault="00D143F5" w:rsidP="00351F4F">
      <w:pPr>
        <w:pStyle w:val="Bodytext"/>
        <w:sectPr w:rsidR="00D143F5" w:rsidSect="00237BC5">
          <w:type w:val="continuous"/>
          <w:pgSz w:w="16840" w:h="11900" w:orient="landscape"/>
          <w:pgMar w:top="1021" w:right="1701" w:bottom="1021" w:left="851" w:header="851" w:footer="851" w:gutter="0"/>
          <w:cols w:num="2" w:space="720"/>
          <w:docGrid w:linePitch="360"/>
        </w:sectPr>
      </w:pPr>
    </w:p>
    <w:p w14:paraId="0A50AFD0" w14:textId="70BC935A" w:rsidR="00351F4F" w:rsidRDefault="00351F4F" w:rsidP="00351F4F">
      <w:pPr>
        <w:pStyle w:val="Bodytext"/>
        <w:sectPr w:rsidR="00351F4F" w:rsidSect="00237BC5">
          <w:type w:val="continuous"/>
          <w:pgSz w:w="16840" w:h="11900" w:orient="landscape"/>
          <w:pgMar w:top="1021" w:right="1701" w:bottom="1021" w:left="851" w:header="851" w:footer="851" w:gutter="0"/>
          <w:cols w:space="720"/>
          <w:docGrid w:linePitch="360"/>
        </w:sectPr>
      </w:pPr>
      <w:bookmarkStart w:id="68" w:name="_Ref99436954"/>
    </w:p>
    <w:p w14:paraId="0C5E75DA" w14:textId="14589558" w:rsidR="00D9313C" w:rsidRPr="006644A8" w:rsidRDefault="00D9313C" w:rsidP="00802069">
      <w:pPr>
        <w:pStyle w:val="TableTitle"/>
        <w:keepNext/>
        <w:numPr>
          <w:ilvl w:val="0"/>
          <w:numId w:val="45"/>
        </w:numPr>
      </w:pPr>
      <w:r w:rsidRPr="006644A8">
        <w:lastRenderedPageBreak/>
        <w:t>Analysis of unrestricted and material designated fund movements</w:t>
      </w:r>
      <w:bookmarkEnd w:id="68"/>
    </w:p>
    <w:tbl>
      <w:tblPr>
        <w:tblW w:w="5000" w:type="pct"/>
        <w:tblLayout w:type="fixed"/>
        <w:tblLook w:val="01E0" w:firstRow="1" w:lastRow="1" w:firstColumn="1" w:lastColumn="1" w:noHBand="0" w:noVBand="0"/>
      </w:tblPr>
      <w:tblGrid>
        <w:gridCol w:w="1648"/>
        <w:gridCol w:w="180"/>
        <w:gridCol w:w="1140"/>
        <w:gridCol w:w="634"/>
        <w:gridCol w:w="357"/>
        <w:gridCol w:w="992"/>
        <w:gridCol w:w="1003"/>
        <w:gridCol w:w="992"/>
        <w:gridCol w:w="892"/>
        <w:gridCol w:w="146"/>
        <w:gridCol w:w="943"/>
        <w:gridCol w:w="1037"/>
        <w:gridCol w:w="146"/>
        <w:gridCol w:w="943"/>
        <w:gridCol w:w="977"/>
        <w:gridCol w:w="206"/>
        <w:gridCol w:w="946"/>
        <w:gridCol w:w="1106"/>
      </w:tblGrid>
      <w:tr w:rsidR="00D9313C" w:rsidRPr="00123027" w14:paraId="592C29FC" w14:textId="77777777" w:rsidTr="00030862">
        <w:trPr>
          <w:cantSplit/>
        </w:trPr>
        <w:tc>
          <w:tcPr>
            <w:tcW w:w="577" w:type="pct"/>
            <w:shd w:val="clear" w:color="auto" w:fill="auto"/>
          </w:tcPr>
          <w:p w14:paraId="74A7B513" w14:textId="77777777" w:rsidR="00D9313C" w:rsidRPr="00D408DC" w:rsidRDefault="00D9313C" w:rsidP="00EC1B15">
            <w:pPr>
              <w:pStyle w:val="Bodytext"/>
              <w:keepNext/>
              <w:spacing w:after="60"/>
              <w:jc w:val="center"/>
              <w:rPr>
                <w:b/>
                <w:sz w:val="20"/>
                <w:szCs w:val="20"/>
              </w:rPr>
            </w:pPr>
          </w:p>
        </w:tc>
        <w:tc>
          <w:tcPr>
            <w:tcW w:w="684" w:type="pct"/>
            <w:gridSpan w:val="3"/>
            <w:shd w:val="clear" w:color="auto" w:fill="auto"/>
          </w:tcPr>
          <w:p w14:paraId="60DA97C8" w14:textId="77777777" w:rsidR="00D9313C" w:rsidRPr="00D408DC" w:rsidRDefault="00D9313C" w:rsidP="00EC1B15">
            <w:pPr>
              <w:pStyle w:val="Bodytext"/>
              <w:keepNext/>
              <w:spacing w:after="60"/>
              <w:jc w:val="center"/>
              <w:rPr>
                <w:b/>
                <w:sz w:val="20"/>
                <w:szCs w:val="20"/>
              </w:rPr>
            </w:pPr>
            <w:r w:rsidRPr="00D408DC">
              <w:rPr>
                <w:b/>
                <w:sz w:val="20"/>
                <w:szCs w:val="20"/>
              </w:rPr>
              <w:t>Fund balance brought forward</w:t>
            </w:r>
            <w:r w:rsidRPr="00D408DC">
              <w:rPr>
                <w:b/>
                <w:sz w:val="20"/>
                <w:szCs w:val="20"/>
              </w:rPr>
              <w:br/>
              <w:t>1 April</w:t>
            </w:r>
          </w:p>
        </w:tc>
        <w:tc>
          <w:tcPr>
            <w:tcW w:w="823" w:type="pct"/>
            <w:gridSpan w:val="3"/>
          </w:tcPr>
          <w:p w14:paraId="3CFDB37D" w14:textId="77777777" w:rsidR="00D9313C" w:rsidRPr="00D408DC" w:rsidRDefault="00D9313C" w:rsidP="00EC1B15">
            <w:pPr>
              <w:pStyle w:val="Bodytext"/>
              <w:keepNext/>
              <w:spacing w:after="60"/>
              <w:jc w:val="center"/>
              <w:rPr>
                <w:b/>
                <w:sz w:val="20"/>
                <w:szCs w:val="20"/>
              </w:rPr>
            </w:pPr>
            <w:r w:rsidRPr="00D408DC">
              <w:rPr>
                <w:b/>
                <w:sz w:val="20"/>
                <w:szCs w:val="20"/>
              </w:rPr>
              <w:t>Income</w:t>
            </w:r>
          </w:p>
        </w:tc>
        <w:tc>
          <w:tcPr>
            <w:tcW w:w="659" w:type="pct"/>
            <w:gridSpan w:val="2"/>
            <w:shd w:val="clear" w:color="auto" w:fill="auto"/>
          </w:tcPr>
          <w:p w14:paraId="6BDBA876" w14:textId="77777777" w:rsidR="00D9313C" w:rsidRPr="00D408DC" w:rsidRDefault="00D9313C" w:rsidP="00EC1B15">
            <w:pPr>
              <w:pStyle w:val="Bodytext"/>
              <w:keepNext/>
              <w:spacing w:after="60"/>
              <w:jc w:val="center"/>
              <w:rPr>
                <w:b/>
                <w:sz w:val="20"/>
                <w:szCs w:val="20"/>
              </w:rPr>
            </w:pPr>
            <w:r w:rsidRPr="00D408DC">
              <w:rPr>
                <w:b/>
                <w:sz w:val="20"/>
                <w:szCs w:val="20"/>
              </w:rPr>
              <w:t>Expenditure</w:t>
            </w:r>
          </w:p>
        </w:tc>
        <w:tc>
          <w:tcPr>
            <w:tcW w:w="744" w:type="pct"/>
            <w:gridSpan w:val="3"/>
            <w:shd w:val="clear" w:color="auto" w:fill="auto"/>
          </w:tcPr>
          <w:p w14:paraId="64DA9FD7" w14:textId="77777777" w:rsidR="00D9313C" w:rsidRPr="00D408DC" w:rsidRDefault="00D9313C" w:rsidP="00EC1B15">
            <w:pPr>
              <w:pStyle w:val="Bodytext"/>
              <w:keepNext/>
              <w:spacing w:after="60"/>
              <w:jc w:val="center"/>
              <w:rPr>
                <w:b/>
                <w:sz w:val="20"/>
                <w:szCs w:val="20"/>
              </w:rPr>
            </w:pPr>
            <w:r w:rsidRPr="00D408DC">
              <w:rPr>
                <w:b/>
                <w:sz w:val="20"/>
                <w:szCs w:val="20"/>
              </w:rPr>
              <w:t>Transfers</w:t>
            </w:r>
          </w:p>
        </w:tc>
        <w:tc>
          <w:tcPr>
            <w:tcW w:w="723" w:type="pct"/>
            <w:gridSpan w:val="3"/>
            <w:shd w:val="clear" w:color="auto" w:fill="auto"/>
          </w:tcPr>
          <w:p w14:paraId="3232E761" w14:textId="77777777" w:rsidR="00D9313C" w:rsidRPr="00D408DC" w:rsidRDefault="00D9313C" w:rsidP="00EC1B15">
            <w:pPr>
              <w:pStyle w:val="Bodytext"/>
              <w:keepNext/>
              <w:spacing w:after="60"/>
              <w:jc w:val="center"/>
              <w:rPr>
                <w:b/>
                <w:sz w:val="20"/>
                <w:szCs w:val="20"/>
              </w:rPr>
            </w:pPr>
            <w:r w:rsidRPr="00D408DC">
              <w:rPr>
                <w:b/>
                <w:sz w:val="20"/>
                <w:szCs w:val="20"/>
              </w:rPr>
              <w:t>Gains and losses</w:t>
            </w:r>
          </w:p>
        </w:tc>
        <w:tc>
          <w:tcPr>
            <w:tcW w:w="790" w:type="pct"/>
            <w:gridSpan w:val="3"/>
            <w:shd w:val="clear" w:color="auto" w:fill="auto"/>
          </w:tcPr>
          <w:p w14:paraId="65E339C5" w14:textId="77777777" w:rsidR="00D9313C" w:rsidRPr="00D408DC" w:rsidRDefault="00D9313C" w:rsidP="00EC1B15">
            <w:pPr>
              <w:pStyle w:val="Bodytext"/>
              <w:keepNext/>
              <w:spacing w:after="60"/>
              <w:jc w:val="center"/>
              <w:rPr>
                <w:b/>
                <w:sz w:val="20"/>
                <w:szCs w:val="20"/>
              </w:rPr>
            </w:pPr>
            <w:r w:rsidRPr="00D408DC">
              <w:rPr>
                <w:b/>
                <w:sz w:val="20"/>
                <w:szCs w:val="20"/>
              </w:rPr>
              <w:t>Fund balance carried forward</w:t>
            </w:r>
            <w:r w:rsidRPr="00D408DC">
              <w:rPr>
                <w:b/>
                <w:sz w:val="20"/>
                <w:szCs w:val="20"/>
              </w:rPr>
              <w:br/>
              <w:t>31 March</w:t>
            </w:r>
          </w:p>
        </w:tc>
      </w:tr>
      <w:tr w:rsidR="009B5F60" w:rsidRPr="00123027" w14:paraId="2339B025" w14:textId="77777777" w:rsidTr="00A9532B">
        <w:trPr>
          <w:cantSplit/>
        </w:trPr>
        <w:tc>
          <w:tcPr>
            <w:tcW w:w="640" w:type="pct"/>
            <w:gridSpan w:val="2"/>
            <w:shd w:val="clear" w:color="auto" w:fill="auto"/>
          </w:tcPr>
          <w:p w14:paraId="0E538636" w14:textId="77777777" w:rsidR="009B5F60" w:rsidRPr="00D408DC" w:rsidRDefault="009B5F60" w:rsidP="009B5F60">
            <w:pPr>
              <w:pStyle w:val="Bodytext"/>
              <w:spacing w:after="60"/>
              <w:rPr>
                <w:b/>
                <w:sz w:val="20"/>
                <w:szCs w:val="20"/>
              </w:rPr>
            </w:pPr>
          </w:p>
        </w:tc>
        <w:tc>
          <w:tcPr>
            <w:tcW w:w="399" w:type="pct"/>
            <w:shd w:val="clear" w:color="auto" w:fill="auto"/>
          </w:tcPr>
          <w:p w14:paraId="3C99C0D7" w14:textId="61F64A65" w:rsidR="009B5F60" w:rsidRPr="00052572" w:rsidRDefault="009B5F60" w:rsidP="009B5F60">
            <w:pPr>
              <w:pStyle w:val="Bodytext"/>
              <w:keepNext/>
              <w:spacing w:after="60"/>
              <w:jc w:val="right"/>
              <w:rPr>
                <w:b/>
                <w:sz w:val="20"/>
                <w:szCs w:val="20"/>
              </w:rPr>
            </w:pPr>
            <w:r w:rsidRPr="00052572">
              <w:rPr>
                <w:b/>
                <w:sz w:val="20"/>
                <w:szCs w:val="20"/>
              </w:rPr>
              <w:t>202</w:t>
            </w:r>
            <w:r w:rsidR="0056749C">
              <w:rPr>
                <w:b/>
                <w:sz w:val="20"/>
                <w:szCs w:val="20"/>
              </w:rPr>
              <w:t>3</w:t>
            </w:r>
            <w:r w:rsidRPr="00052572">
              <w:rPr>
                <w:b/>
                <w:sz w:val="20"/>
                <w:szCs w:val="20"/>
              </w:rPr>
              <w:t>/2</w:t>
            </w:r>
            <w:r w:rsidR="0056749C">
              <w:rPr>
                <w:b/>
                <w:sz w:val="20"/>
                <w:szCs w:val="20"/>
              </w:rPr>
              <w:t>4</w:t>
            </w:r>
          </w:p>
          <w:p w14:paraId="6B8D1C07" w14:textId="284DB347" w:rsidR="009B5F60" w:rsidRPr="009B5F60" w:rsidRDefault="009B5F60" w:rsidP="009B5F60">
            <w:pPr>
              <w:pStyle w:val="Bodytext"/>
              <w:spacing w:after="60"/>
              <w:jc w:val="right"/>
              <w:rPr>
                <w:b/>
                <w:sz w:val="20"/>
                <w:szCs w:val="20"/>
              </w:rPr>
            </w:pPr>
            <w:r w:rsidRPr="00052572">
              <w:rPr>
                <w:b/>
                <w:sz w:val="20"/>
                <w:szCs w:val="20"/>
              </w:rPr>
              <w:t>£000</w:t>
            </w:r>
          </w:p>
        </w:tc>
        <w:tc>
          <w:tcPr>
            <w:tcW w:w="347" w:type="pct"/>
            <w:gridSpan w:val="2"/>
            <w:shd w:val="clear" w:color="auto" w:fill="auto"/>
          </w:tcPr>
          <w:p w14:paraId="54360EC5" w14:textId="02CBEA37" w:rsidR="009B5F60" w:rsidRPr="00052572" w:rsidRDefault="009B5F60" w:rsidP="009B5F60">
            <w:pPr>
              <w:pStyle w:val="Bodytext"/>
              <w:keepNext/>
              <w:spacing w:after="60"/>
              <w:jc w:val="right"/>
              <w:rPr>
                <w:b/>
                <w:color w:val="A6A6A6" w:themeColor="background1" w:themeShade="A6"/>
                <w:sz w:val="20"/>
                <w:szCs w:val="20"/>
              </w:rPr>
            </w:pPr>
            <w:r w:rsidRPr="00052572">
              <w:rPr>
                <w:b/>
                <w:color w:val="A6A6A6" w:themeColor="background1" w:themeShade="A6"/>
                <w:sz w:val="20"/>
                <w:szCs w:val="20"/>
              </w:rPr>
              <w:t>202</w:t>
            </w:r>
            <w:r w:rsidR="0056749C">
              <w:rPr>
                <w:b/>
                <w:color w:val="A6A6A6" w:themeColor="background1" w:themeShade="A6"/>
                <w:sz w:val="20"/>
                <w:szCs w:val="20"/>
              </w:rPr>
              <w:t>2</w:t>
            </w:r>
            <w:r w:rsidRPr="00052572">
              <w:rPr>
                <w:b/>
                <w:color w:val="A6A6A6" w:themeColor="background1" w:themeShade="A6"/>
                <w:sz w:val="20"/>
                <w:szCs w:val="20"/>
              </w:rPr>
              <w:t>/2</w:t>
            </w:r>
            <w:r w:rsidR="0056749C">
              <w:rPr>
                <w:b/>
                <w:color w:val="A6A6A6" w:themeColor="background1" w:themeShade="A6"/>
                <w:sz w:val="20"/>
                <w:szCs w:val="20"/>
              </w:rPr>
              <w:t>3</w:t>
            </w:r>
          </w:p>
          <w:p w14:paraId="03E27E6B" w14:textId="75FF3A1E" w:rsidR="009B5F60" w:rsidRPr="009B5F60" w:rsidRDefault="009B5F60" w:rsidP="009B5F60">
            <w:pPr>
              <w:pStyle w:val="Bodytext"/>
              <w:spacing w:after="60"/>
              <w:jc w:val="right"/>
              <w:rPr>
                <w:b/>
                <w:sz w:val="20"/>
                <w:szCs w:val="20"/>
              </w:rPr>
            </w:pPr>
            <w:r w:rsidRPr="00052572">
              <w:rPr>
                <w:b/>
                <w:color w:val="A6A6A6" w:themeColor="background1" w:themeShade="A6"/>
                <w:sz w:val="20"/>
                <w:szCs w:val="20"/>
              </w:rPr>
              <w:t>£000</w:t>
            </w:r>
          </w:p>
        </w:tc>
        <w:tc>
          <w:tcPr>
            <w:tcW w:w="347" w:type="pct"/>
            <w:shd w:val="clear" w:color="auto" w:fill="auto"/>
          </w:tcPr>
          <w:p w14:paraId="47ACACF1" w14:textId="0C932A12" w:rsidR="009B5F60" w:rsidRPr="00052572" w:rsidRDefault="009B5F60" w:rsidP="009B5F60">
            <w:pPr>
              <w:pStyle w:val="Bodytext"/>
              <w:keepNext/>
              <w:spacing w:after="60"/>
              <w:jc w:val="right"/>
              <w:rPr>
                <w:b/>
                <w:sz w:val="20"/>
                <w:szCs w:val="20"/>
              </w:rPr>
            </w:pPr>
            <w:r w:rsidRPr="00052572">
              <w:rPr>
                <w:b/>
                <w:sz w:val="20"/>
                <w:szCs w:val="20"/>
              </w:rPr>
              <w:t>202</w:t>
            </w:r>
            <w:r w:rsidR="005C4F02">
              <w:rPr>
                <w:b/>
                <w:sz w:val="20"/>
                <w:szCs w:val="20"/>
              </w:rPr>
              <w:t>3/24</w:t>
            </w:r>
          </w:p>
          <w:p w14:paraId="00C2E5B0" w14:textId="652F69CF" w:rsidR="009B5F60" w:rsidRPr="009B5F60" w:rsidRDefault="009B5F60" w:rsidP="009B5F60">
            <w:pPr>
              <w:pStyle w:val="Bodytext"/>
              <w:spacing w:after="60"/>
              <w:jc w:val="right"/>
              <w:rPr>
                <w:b/>
                <w:sz w:val="20"/>
                <w:szCs w:val="20"/>
              </w:rPr>
            </w:pPr>
            <w:r w:rsidRPr="00052572">
              <w:rPr>
                <w:b/>
                <w:sz w:val="20"/>
                <w:szCs w:val="20"/>
              </w:rPr>
              <w:t>£000</w:t>
            </w:r>
          </w:p>
        </w:tc>
        <w:tc>
          <w:tcPr>
            <w:tcW w:w="351" w:type="pct"/>
            <w:shd w:val="clear" w:color="auto" w:fill="auto"/>
          </w:tcPr>
          <w:p w14:paraId="1AC6BC57" w14:textId="7A2F2C9E" w:rsidR="009B5F60" w:rsidRPr="00052572" w:rsidRDefault="009B5F60" w:rsidP="009B5F60">
            <w:pPr>
              <w:pStyle w:val="Bodytext"/>
              <w:keepNext/>
              <w:spacing w:after="60"/>
              <w:jc w:val="right"/>
              <w:rPr>
                <w:b/>
                <w:color w:val="A6A6A6" w:themeColor="background1" w:themeShade="A6"/>
                <w:sz w:val="20"/>
                <w:szCs w:val="20"/>
              </w:rPr>
            </w:pPr>
            <w:r w:rsidRPr="00052572">
              <w:rPr>
                <w:b/>
                <w:color w:val="A6A6A6" w:themeColor="background1" w:themeShade="A6"/>
                <w:sz w:val="20"/>
                <w:szCs w:val="20"/>
              </w:rPr>
              <w:t>202</w:t>
            </w:r>
            <w:r w:rsidR="005C4F02">
              <w:rPr>
                <w:b/>
                <w:color w:val="A6A6A6" w:themeColor="background1" w:themeShade="A6"/>
                <w:sz w:val="20"/>
                <w:szCs w:val="20"/>
              </w:rPr>
              <w:t>2</w:t>
            </w:r>
            <w:r w:rsidRPr="00052572">
              <w:rPr>
                <w:b/>
                <w:color w:val="A6A6A6" w:themeColor="background1" w:themeShade="A6"/>
                <w:sz w:val="20"/>
                <w:szCs w:val="20"/>
              </w:rPr>
              <w:t>/2</w:t>
            </w:r>
            <w:r w:rsidR="005C4F02">
              <w:rPr>
                <w:b/>
                <w:color w:val="A6A6A6" w:themeColor="background1" w:themeShade="A6"/>
                <w:sz w:val="20"/>
                <w:szCs w:val="20"/>
              </w:rPr>
              <w:t>3</w:t>
            </w:r>
          </w:p>
          <w:p w14:paraId="1920EBC0" w14:textId="2F3443A2" w:rsidR="009B5F60" w:rsidRPr="009B5F60" w:rsidRDefault="009B5F60" w:rsidP="009B5F60">
            <w:pPr>
              <w:pStyle w:val="Bodytext"/>
              <w:spacing w:after="60"/>
              <w:jc w:val="right"/>
              <w:rPr>
                <w:b/>
                <w:sz w:val="20"/>
                <w:szCs w:val="20"/>
              </w:rPr>
            </w:pPr>
            <w:r w:rsidRPr="00052572">
              <w:rPr>
                <w:b/>
                <w:color w:val="A6A6A6" w:themeColor="background1" w:themeShade="A6"/>
                <w:sz w:val="20"/>
                <w:szCs w:val="20"/>
              </w:rPr>
              <w:t>£000</w:t>
            </w:r>
          </w:p>
        </w:tc>
        <w:tc>
          <w:tcPr>
            <w:tcW w:w="347" w:type="pct"/>
          </w:tcPr>
          <w:p w14:paraId="56FCCED7" w14:textId="28C9E151" w:rsidR="009B5F60" w:rsidRPr="00052572" w:rsidRDefault="009B5F60" w:rsidP="009B5F60">
            <w:pPr>
              <w:pStyle w:val="Bodytext"/>
              <w:keepNext/>
              <w:spacing w:after="60"/>
              <w:jc w:val="right"/>
              <w:rPr>
                <w:b/>
                <w:sz w:val="20"/>
                <w:szCs w:val="20"/>
              </w:rPr>
            </w:pPr>
            <w:r w:rsidRPr="00052572">
              <w:rPr>
                <w:b/>
                <w:sz w:val="20"/>
                <w:szCs w:val="20"/>
              </w:rPr>
              <w:t>202</w:t>
            </w:r>
            <w:r w:rsidR="005C4F02">
              <w:rPr>
                <w:b/>
                <w:sz w:val="20"/>
                <w:szCs w:val="20"/>
              </w:rPr>
              <w:t>3</w:t>
            </w:r>
            <w:r w:rsidRPr="00052572">
              <w:rPr>
                <w:b/>
                <w:sz w:val="20"/>
                <w:szCs w:val="20"/>
              </w:rPr>
              <w:t>/2</w:t>
            </w:r>
            <w:r w:rsidR="005C4F02">
              <w:rPr>
                <w:b/>
                <w:sz w:val="20"/>
                <w:szCs w:val="20"/>
              </w:rPr>
              <w:t>4</w:t>
            </w:r>
          </w:p>
          <w:p w14:paraId="7D77061F" w14:textId="2AA20428" w:rsidR="009B5F60" w:rsidRPr="009B5F60" w:rsidRDefault="009B5F60" w:rsidP="009B5F60">
            <w:pPr>
              <w:pStyle w:val="Bodytext"/>
              <w:spacing w:after="60"/>
              <w:jc w:val="right"/>
              <w:rPr>
                <w:b/>
                <w:sz w:val="20"/>
                <w:szCs w:val="20"/>
              </w:rPr>
            </w:pPr>
            <w:r w:rsidRPr="00052572">
              <w:rPr>
                <w:b/>
                <w:sz w:val="20"/>
                <w:szCs w:val="20"/>
              </w:rPr>
              <w:t>£000</w:t>
            </w:r>
          </w:p>
        </w:tc>
        <w:tc>
          <w:tcPr>
            <w:tcW w:w="363" w:type="pct"/>
            <w:gridSpan w:val="2"/>
            <w:shd w:val="clear" w:color="auto" w:fill="auto"/>
          </w:tcPr>
          <w:p w14:paraId="39D5A949" w14:textId="12D8814F" w:rsidR="009B5F60" w:rsidRPr="00052572" w:rsidRDefault="009B5F60" w:rsidP="009B5F60">
            <w:pPr>
              <w:pStyle w:val="Bodytext"/>
              <w:keepNext/>
              <w:spacing w:after="60"/>
              <w:jc w:val="right"/>
              <w:rPr>
                <w:b/>
                <w:color w:val="A6A6A6" w:themeColor="background1" w:themeShade="A6"/>
                <w:sz w:val="20"/>
                <w:szCs w:val="20"/>
              </w:rPr>
            </w:pPr>
            <w:r w:rsidRPr="00052572">
              <w:rPr>
                <w:b/>
                <w:color w:val="A6A6A6" w:themeColor="background1" w:themeShade="A6"/>
                <w:sz w:val="20"/>
                <w:szCs w:val="20"/>
              </w:rPr>
              <w:t>202</w:t>
            </w:r>
            <w:r w:rsidR="005C4F02">
              <w:rPr>
                <w:b/>
                <w:color w:val="A6A6A6" w:themeColor="background1" w:themeShade="A6"/>
                <w:sz w:val="20"/>
                <w:szCs w:val="20"/>
              </w:rPr>
              <w:t>2</w:t>
            </w:r>
            <w:r w:rsidRPr="00052572">
              <w:rPr>
                <w:b/>
                <w:color w:val="A6A6A6" w:themeColor="background1" w:themeShade="A6"/>
                <w:sz w:val="20"/>
                <w:szCs w:val="20"/>
              </w:rPr>
              <w:t>/2</w:t>
            </w:r>
            <w:r w:rsidR="005C4F02">
              <w:rPr>
                <w:b/>
                <w:color w:val="A6A6A6" w:themeColor="background1" w:themeShade="A6"/>
                <w:sz w:val="20"/>
                <w:szCs w:val="20"/>
              </w:rPr>
              <w:t>3</w:t>
            </w:r>
          </w:p>
          <w:p w14:paraId="67B132F6" w14:textId="43A3F476" w:rsidR="009B5F60" w:rsidRPr="009B5F60" w:rsidRDefault="009B5F60" w:rsidP="009B5F60">
            <w:pPr>
              <w:pStyle w:val="Bodytext"/>
              <w:spacing w:after="60"/>
              <w:jc w:val="right"/>
              <w:rPr>
                <w:b/>
                <w:sz w:val="20"/>
                <w:szCs w:val="20"/>
              </w:rPr>
            </w:pPr>
            <w:r w:rsidRPr="00052572">
              <w:rPr>
                <w:b/>
                <w:color w:val="A6A6A6" w:themeColor="background1" w:themeShade="A6"/>
                <w:sz w:val="20"/>
                <w:szCs w:val="20"/>
              </w:rPr>
              <w:t>£000</w:t>
            </w:r>
          </w:p>
        </w:tc>
        <w:tc>
          <w:tcPr>
            <w:tcW w:w="330" w:type="pct"/>
          </w:tcPr>
          <w:p w14:paraId="0ACC50D0" w14:textId="0C2C754A" w:rsidR="009B5F60" w:rsidRPr="00052572" w:rsidRDefault="009B5F60" w:rsidP="009B5F60">
            <w:pPr>
              <w:pStyle w:val="Bodytext"/>
              <w:keepNext/>
              <w:spacing w:after="60"/>
              <w:jc w:val="right"/>
              <w:rPr>
                <w:b/>
                <w:sz w:val="20"/>
                <w:szCs w:val="20"/>
              </w:rPr>
            </w:pPr>
            <w:r w:rsidRPr="00052572">
              <w:rPr>
                <w:b/>
                <w:sz w:val="20"/>
                <w:szCs w:val="20"/>
              </w:rPr>
              <w:t>202</w:t>
            </w:r>
            <w:r w:rsidR="005C4F02">
              <w:rPr>
                <w:b/>
                <w:sz w:val="20"/>
                <w:szCs w:val="20"/>
              </w:rPr>
              <w:t>3</w:t>
            </w:r>
            <w:r w:rsidRPr="00052572">
              <w:rPr>
                <w:b/>
                <w:sz w:val="20"/>
                <w:szCs w:val="20"/>
              </w:rPr>
              <w:t>/2</w:t>
            </w:r>
            <w:r w:rsidR="005C4F02">
              <w:rPr>
                <w:b/>
                <w:sz w:val="20"/>
                <w:szCs w:val="20"/>
              </w:rPr>
              <w:t>4</w:t>
            </w:r>
          </w:p>
          <w:p w14:paraId="6C7A24D2" w14:textId="2F88301F" w:rsidR="009B5F60" w:rsidRPr="009B5F60" w:rsidRDefault="009B5F60" w:rsidP="009B5F60">
            <w:pPr>
              <w:pStyle w:val="Bodytext"/>
              <w:spacing w:after="60"/>
              <w:jc w:val="right"/>
              <w:rPr>
                <w:b/>
                <w:sz w:val="20"/>
                <w:szCs w:val="20"/>
              </w:rPr>
            </w:pPr>
            <w:r w:rsidRPr="00052572">
              <w:rPr>
                <w:b/>
                <w:sz w:val="20"/>
                <w:szCs w:val="20"/>
              </w:rPr>
              <w:t>£000</w:t>
            </w:r>
          </w:p>
        </w:tc>
        <w:tc>
          <w:tcPr>
            <w:tcW w:w="414" w:type="pct"/>
            <w:gridSpan w:val="2"/>
            <w:shd w:val="clear" w:color="auto" w:fill="auto"/>
          </w:tcPr>
          <w:p w14:paraId="1347EE61" w14:textId="6B18D2CB" w:rsidR="009B5F60" w:rsidRPr="00052572" w:rsidRDefault="009B5F60" w:rsidP="009B5F60">
            <w:pPr>
              <w:pStyle w:val="Bodytext"/>
              <w:keepNext/>
              <w:spacing w:after="60"/>
              <w:jc w:val="right"/>
              <w:rPr>
                <w:b/>
                <w:color w:val="A6A6A6" w:themeColor="background1" w:themeShade="A6"/>
                <w:sz w:val="20"/>
                <w:szCs w:val="20"/>
              </w:rPr>
            </w:pPr>
            <w:r w:rsidRPr="00052572">
              <w:rPr>
                <w:b/>
                <w:color w:val="A6A6A6" w:themeColor="background1" w:themeShade="A6"/>
                <w:sz w:val="20"/>
                <w:szCs w:val="20"/>
              </w:rPr>
              <w:t>202</w:t>
            </w:r>
            <w:r w:rsidR="005C4F02">
              <w:rPr>
                <w:b/>
                <w:color w:val="A6A6A6" w:themeColor="background1" w:themeShade="A6"/>
                <w:sz w:val="20"/>
                <w:szCs w:val="20"/>
              </w:rPr>
              <w:t>2</w:t>
            </w:r>
            <w:r w:rsidRPr="00052572">
              <w:rPr>
                <w:b/>
                <w:color w:val="A6A6A6" w:themeColor="background1" w:themeShade="A6"/>
                <w:sz w:val="20"/>
                <w:szCs w:val="20"/>
              </w:rPr>
              <w:t>/2</w:t>
            </w:r>
            <w:r w:rsidR="005C4F02">
              <w:rPr>
                <w:b/>
                <w:color w:val="A6A6A6" w:themeColor="background1" w:themeShade="A6"/>
                <w:sz w:val="20"/>
                <w:szCs w:val="20"/>
              </w:rPr>
              <w:t>3</w:t>
            </w:r>
          </w:p>
          <w:p w14:paraId="47F93673" w14:textId="081C933A" w:rsidR="009B5F60" w:rsidRPr="009B5F60" w:rsidRDefault="009B5F60" w:rsidP="009B5F60">
            <w:pPr>
              <w:pStyle w:val="Bodytext"/>
              <w:spacing w:after="60"/>
              <w:jc w:val="right"/>
              <w:rPr>
                <w:b/>
                <w:sz w:val="20"/>
                <w:szCs w:val="20"/>
              </w:rPr>
            </w:pPr>
            <w:r w:rsidRPr="00052572">
              <w:rPr>
                <w:b/>
                <w:color w:val="A6A6A6" w:themeColor="background1" w:themeShade="A6"/>
                <w:sz w:val="20"/>
                <w:szCs w:val="20"/>
              </w:rPr>
              <w:t>£000</w:t>
            </w:r>
          </w:p>
        </w:tc>
        <w:tc>
          <w:tcPr>
            <w:tcW w:w="330" w:type="pct"/>
          </w:tcPr>
          <w:p w14:paraId="2A4774D8" w14:textId="6EEF6FBC" w:rsidR="009B5F60" w:rsidRPr="00052572" w:rsidRDefault="009B5F60" w:rsidP="009B5F60">
            <w:pPr>
              <w:pStyle w:val="Bodytext"/>
              <w:keepNext/>
              <w:spacing w:after="60"/>
              <w:jc w:val="right"/>
              <w:rPr>
                <w:b/>
                <w:sz w:val="20"/>
                <w:szCs w:val="20"/>
              </w:rPr>
            </w:pPr>
            <w:r w:rsidRPr="00052572">
              <w:rPr>
                <w:b/>
                <w:sz w:val="20"/>
                <w:szCs w:val="20"/>
              </w:rPr>
              <w:t>202</w:t>
            </w:r>
            <w:r w:rsidR="005C4F02">
              <w:rPr>
                <w:b/>
                <w:sz w:val="20"/>
                <w:szCs w:val="20"/>
              </w:rPr>
              <w:t>3</w:t>
            </w:r>
            <w:r w:rsidRPr="00052572">
              <w:rPr>
                <w:b/>
                <w:sz w:val="20"/>
                <w:szCs w:val="20"/>
              </w:rPr>
              <w:t>/2</w:t>
            </w:r>
            <w:r w:rsidR="005C4F02">
              <w:rPr>
                <w:b/>
                <w:sz w:val="20"/>
                <w:szCs w:val="20"/>
              </w:rPr>
              <w:t>4</w:t>
            </w:r>
          </w:p>
          <w:p w14:paraId="35FBA319" w14:textId="11445A96" w:rsidR="009B5F60" w:rsidRPr="009B5F60" w:rsidRDefault="009B5F60" w:rsidP="009B5F60">
            <w:pPr>
              <w:pStyle w:val="Bodytext"/>
              <w:spacing w:after="60"/>
              <w:jc w:val="right"/>
              <w:rPr>
                <w:b/>
                <w:sz w:val="20"/>
                <w:szCs w:val="20"/>
              </w:rPr>
            </w:pPr>
            <w:r w:rsidRPr="00052572">
              <w:rPr>
                <w:b/>
                <w:sz w:val="20"/>
                <w:szCs w:val="20"/>
              </w:rPr>
              <w:t>£000</w:t>
            </w:r>
          </w:p>
        </w:tc>
        <w:tc>
          <w:tcPr>
            <w:tcW w:w="414" w:type="pct"/>
            <w:gridSpan w:val="2"/>
            <w:shd w:val="clear" w:color="auto" w:fill="auto"/>
          </w:tcPr>
          <w:p w14:paraId="7B688BE1" w14:textId="0A54E8A5" w:rsidR="009B5F60" w:rsidRPr="00052572" w:rsidRDefault="009B5F60" w:rsidP="009B5F60">
            <w:pPr>
              <w:pStyle w:val="Bodytext"/>
              <w:keepNext/>
              <w:spacing w:after="60"/>
              <w:jc w:val="right"/>
              <w:rPr>
                <w:b/>
                <w:color w:val="A6A6A6" w:themeColor="background1" w:themeShade="A6"/>
                <w:sz w:val="20"/>
                <w:szCs w:val="20"/>
              </w:rPr>
            </w:pPr>
            <w:r w:rsidRPr="00052572">
              <w:rPr>
                <w:b/>
                <w:color w:val="A6A6A6" w:themeColor="background1" w:themeShade="A6"/>
                <w:sz w:val="20"/>
                <w:szCs w:val="20"/>
              </w:rPr>
              <w:t>202</w:t>
            </w:r>
            <w:r w:rsidR="005C4F02">
              <w:rPr>
                <w:b/>
                <w:color w:val="A6A6A6" w:themeColor="background1" w:themeShade="A6"/>
                <w:sz w:val="20"/>
                <w:szCs w:val="20"/>
              </w:rPr>
              <w:t>2</w:t>
            </w:r>
            <w:r w:rsidRPr="00052572">
              <w:rPr>
                <w:b/>
                <w:color w:val="A6A6A6" w:themeColor="background1" w:themeShade="A6"/>
                <w:sz w:val="20"/>
                <w:szCs w:val="20"/>
              </w:rPr>
              <w:t>/2</w:t>
            </w:r>
            <w:r w:rsidR="005C4F02">
              <w:rPr>
                <w:b/>
                <w:color w:val="A6A6A6" w:themeColor="background1" w:themeShade="A6"/>
                <w:sz w:val="20"/>
                <w:szCs w:val="20"/>
              </w:rPr>
              <w:t>3</w:t>
            </w:r>
          </w:p>
          <w:p w14:paraId="2AEB625A" w14:textId="2C9B8BB3" w:rsidR="009B5F60" w:rsidRPr="009B5F60" w:rsidRDefault="009B5F60" w:rsidP="009B5F60">
            <w:pPr>
              <w:pStyle w:val="Bodytext"/>
              <w:spacing w:after="60"/>
              <w:jc w:val="right"/>
              <w:rPr>
                <w:b/>
                <w:sz w:val="20"/>
                <w:szCs w:val="20"/>
              </w:rPr>
            </w:pPr>
            <w:r w:rsidRPr="00052572">
              <w:rPr>
                <w:b/>
                <w:color w:val="A6A6A6" w:themeColor="background1" w:themeShade="A6"/>
                <w:sz w:val="20"/>
                <w:szCs w:val="20"/>
              </w:rPr>
              <w:t>£000</w:t>
            </w:r>
          </w:p>
        </w:tc>
        <w:tc>
          <w:tcPr>
            <w:tcW w:w="331" w:type="pct"/>
            <w:shd w:val="clear" w:color="auto" w:fill="auto"/>
          </w:tcPr>
          <w:p w14:paraId="6E061356" w14:textId="4E1C4CE2" w:rsidR="009B5F60" w:rsidRPr="00052572" w:rsidRDefault="009B5F60" w:rsidP="009B5F60">
            <w:pPr>
              <w:pStyle w:val="Bodytext"/>
              <w:keepNext/>
              <w:spacing w:after="60"/>
              <w:jc w:val="right"/>
              <w:rPr>
                <w:b/>
                <w:sz w:val="20"/>
                <w:szCs w:val="20"/>
              </w:rPr>
            </w:pPr>
            <w:r w:rsidRPr="00052572">
              <w:rPr>
                <w:b/>
                <w:sz w:val="20"/>
                <w:szCs w:val="20"/>
              </w:rPr>
              <w:t>202</w:t>
            </w:r>
            <w:r w:rsidR="005C4F02">
              <w:rPr>
                <w:b/>
                <w:sz w:val="20"/>
                <w:szCs w:val="20"/>
              </w:rPr>
              <w:t>3</w:t>
            </w:r>
            <w:r w:rsidRPr="00052572">
              <w:rPr>
                <w:b/>
                <w:sz w:val="20"/>
                <w:szCs w:val="20"/>
              </w:rPr>
              <w:t>/2</w:t>
            </w:r>
            <w:r w:rsidR="005C4F02">
              <w:rPr>
                <w:b/>
                <w:sz w:val="20"/>
                <w:szCs w:val="20"/>
              </w:rPr>
              <w:t>4</w:t>
            </w:r>
          </w:p>
          <w:p w14:paraId="71E04920" w14:textId="734A207A" w:rsidR="009B5F60" w:rsidRPr="009B5F60" w:rsidRDefault="009B5F60" w:rsidP="009B5F60">
            <w:pPr>
              <w:pStyle w:val="Bodytext"/>
              <w:spacing w:after="60"/>
              <w:jc w:val="right"/>
              <w:rPr>
                <w:b/>
                <w:sz w:val="20"/>
                <w:szCs w:val="20"/>
              </w:rPr>
            </w:pPr>
            <w:r w:rsidRPr="00052572">
              <w:rPr>
                <w:b/>
                <w:sz w:val="20"/>
                <w:szCs w:val="20"/>
              </w:rPr>
              <w:t>£000</w:t>
            </w:r>
          </w:p>
        </w:tc>
        <w:tc>
          <w:tcPr>
            <w:tcW w:w="387" w:type="pct"/>
            <w:shd w:val="clear" w:color="auto" w:fill="auto"/>
          </w:tcPr>
          <w:p w14:paraId="6466E8D0" w14:textId="4AB55CCD" w:rsidR="009B5F60" w:rsidRPr="00052572" w:rsidRDefault="009B5F60" w:rsidP="009B5F60">
            <w:pPr>
              <w:pStyle w:val="Bodytext"/>
              <w:keepNext/>
              <w:spacing w:after="60"/>
              <w:jc w:val="right"/>
              <w:rPr>
                <w:b/>
                <w:color w:val="A6A6A6" w:themeColor="background1" w:themeShade="A6"/>
                <w:sz w:val="20"/>
                <w:szCs w:val="20"/>
              </w:rPr>
            </w:pPr>
            <w:r w:rsidRPr="00052572">
              <w:rPr>
                <w:b/>
                <w:color w:val="A6A6A6" w:themeColor="background1" w:themeShade="A6"/>
                <w:sz w:val="20"/>
                <w:szCs w:val="20"/>
              </w:rPr>
              <w:t>202</w:t>
            </w:r>
            <w:r w:rsidR="005C4F02">
              <w:rPr>
                <w:b/>
                <w:color w:val="A6A6A6" w:themeColor="background1" w:themeShade="A6"/>
                <w:sz w:val="20"/>
                <w:szCs w:val="20"/>
              </w:rPr>
              <w:t>2</w:t>
            </w:r>
            <w:r w:rsidRPr="00052572">
              <w:rPr>
                <w:b/>
                <w:color w:val="A6A6A6" w:themeColor="background1" w:themeShade="A6"/>
                <w:sz w:val="20"/>
                <w:szCs w:val="20"/>
              </w:rPr>
              <w:t>/2</w:t>
            </w:r>
            <w:r w:rsidR="005C4F02">
              <w:rPr>
                <w:b/>
                <w:color w:val="A6A6A6" w:themeColor="background1" w:themeShade="A6"/>
                <w:sz w:val="20"/>
                <w:szCs w:val="20"/>
              </w:rPr>
              <w:t>3</w:t>
            </w:r>
          </w:p>
          <w:p w14:paraId="06C7349A" w14:textId="33CE2CA8" w:rsidR="009B5F60" w:rsidRPr="009B5F60" w:rsidRDefault="009B5F60" w:rsidP="009B5F60">
            <w:pPr>
              <w:pStyle w:val="Bodytext"/>
              <w:spacing w:after="60"/>
              <w:jc w:val="right"/>
              <w:rPr>
                <w:b/>
                <w:sz w:val="20"/>
                <w:szCs w:val="20"/>
              </w:rPr>
            </w:pPr>
            <w:r w:rsidRPr="00052572">
              <w:rPr>
                <w:b/>
                <w:color w:val="A6A6A6" w:themeColor="background1" w:themeShade="A6"/>
                <w:sz w:val="20"/>
                <w:szCs w:val="20"/>
              </w:rPr>
              <w:t>£000</w:t>
            </w:r>
          </w:p>
        </w:tc>
      </w:tr>
      <w:tr w:rsidR="00D9313C" w:rsidRPr="00123027" w14:paraId="59AE4478" w14:textId="77777777" w:rsidTr="00A9532B">
        <w:trPr>
          <w:cantSplit/>
        </w:trPr>
        <w:tc>
          <w:tcPr>
            <w:tcW w:w="640" w:type="pct"/>
            <w:gridSpan w:val="2"/>
            <w:shd w:val="clear" w:color="auto" w:fill="auto"/>
          </w:tcPr>
          <w:p w14:paraId="772737C1" w14:textId="77777777" w:rsidR="00D9313C" w:rsidRPr="00D408DC" w:rsidRDefault="00D9313C" w:rsidP="00EC1B15">
            <w:pPr>
              <w:pStyle w:val="Bodytext"/>
              <w:spacing w:after="60"/>
              <w:rPr>
                <w:b/>
                <w:sz w:val="20"/>
                <w:szCs w:val="20"/>
              </w:rPr>
            </w:pPr>
          </w:p>
        </w:tc>
        <w:tc>
          <w:tcPr>
            <w:tcW w:w="399" w:type="pct"/>
            <w:shd w:val="clear" w:color="auto" w:fill="D9D9D9" w:themeFill="background1" w:themeFillShade="D9"/>
          </w:tcPr>
          <w:p w14:paraId="3692EFC9" w14:textId="77777777" w:rsidR="00D9313C" w:rsidRPr="00D408DC" w:rsidRDefault="00D9313C" w:rsidP="00EC1B15">
            <w:pPr>
              <w:pStyle w:val="Bodytext"/>
              <w:spacing w:after="60"/>
              <w:jc w:val="right"/>
              <w:rPr>
                <w:b/>
                <w:sz w:val="20"/>
                <w:szCs w:val="20"/>
              </w:rPr>
            </w:pPr>
          </w:p>
        </w:tc>
        <w:tc>
          <w:tcPr>
            <w:tcW w:w="347" w:type="pct"/>
            <w:gridSpan w:val="2"/>
            <w:shd w:val="clear" w:color="auto" w:fill="auto"/>
          </w:tcPr>
          <w:p w14:paraId="3E05B17C" w14:textId="77777777" w:rsidR="00D9313C" w:rsidRPr="00D408DC" w:rsidRDefault="00D9313C" w:rsidP="00EC1B15">
            <w:pPr>
              <w:pStyle w:val="Bodytext"/>
              <w:spacing w:after="60"/>
              <w:jc w:val="right"/>
              <w:rPr>
                <w:b/>
                <w:sz w:val="20"/>
                <w:szCs w:val="20"/>
              </w:rPr>
            </w:pPr>
          </w:p>
        </w:tc>
        <w:tc>
          <w:tcPr>
            <w:tcW w:w="347" w:type="pct"/>
            <w:shd w:val="clear" w:color="auto" w:fill="D9D9D9" w:themeFill="background1" w:themeFillShade="D9"/>
          </w:tcPr>
          <w:p w14:paraId="7B76B61D" w14:textId="77777777" w:rsidR="00D9313C" w:rsidRPr="00D408DC" w:rsidRDefault="00D9313C" w:rsidP="00EC1B15">
            <w:pPr>
              <w:pStyle w:val="Bodytext"/>
              <w:spacing w:after="60"/>
              <w:jc w:val="right"/>
              <w:rPr>
                <w:b/>
                <w:sz w:val="20"/>
                <w:szCs w:val="20"/>
              </w:rPr>
            </w:pPr>
          </w:p>
        </w:tc>
        <w:tc>
          <w:tcPr>
            <w:tcW w:w="351" w:type="pct"/>
            <w:shd w:val="clear" w:color="auto" w:fill="auto"/>
          </w:tcPr>
          <w:p w14:paraId="14356F19" w14:textId="77777777" w:rsidR="00D9313C" w:rsidRPr="00D408DC" w:rsidRDefault="00D9313C" w:rsidP="00EC1B15">
            <w:pPr>
              <w:pStyle w:val="Bodytext"/>
              <w:spacing w:after="60"/>
              <w:jc w:val="right"/>
              <w:rPr>
                <w:b/>
                <w:sz w:val="20"/>
                <w:szCs w:val="20"/>
              </w:rPr>
            </w:pPr>
          </w:p>
        </w:tc>
        <w:tc>
          <w:tcPr>
            <w:tcW w:w="347" w:type="pct"/>
            <w:shd w:val="clear" w:color="auto" w:fill="D9D9D9" w:themeFill="background1" w:themeFillShade="D9"/>
          </w:tcPr>
          <w:p w14:paraId="60F3CF99" w14:textId="77777777" w:rsidR="00D9313C" w:rsidRPr="00D408DC" w:rsidRDefault="00D9313C" w:rsidP="00EC1B15">
            <w:pPr>
              <w:pStyle w:val="Bodytext"/>
              <w:spacing w:after="60"/>
              <w:jc w:val="right"/>
              <w:rPr>
                <w:b/>
                <w:sz w:val="20"/>
                <w:szCs w:val="20"/>
              </w:rPr>
            </w:pPr>
          </w:p>
        </w:tc>
        <w:tc>
          <w:tcPr>
            <w:tcW w:w="363" w:type="pct"/>
            <w:gridSpan w:val="2"/>
            <w:shd w:val="clear" w:color="auto" w:fill="auto"/>
          </w:tcPr>
          <w:p w14:paraId="046FFF4C" w14:textId="77777777" w:rsidR="00D9313C" w:rsidRPr="00D408DC" w:rsidRDefault="00D9313C" w:rsidP="00EC1B15">
            <w:pPr>
              <w:pStyle w:val="Bodytext"/>
              <w:spacing w:after="60"/>
              <w:jc w:val="right"/>
              <w:rPr>
                <w:b/>
                <w:sz w:val="20"/>
                <w:szCs w:val="20"/>
              </w:rPr>
            </w:pPr>
          </w:p>
        </w:tc>
        <w:tc>
          <w:tcPr>
            <w:tcW w:w="330" w:type="pct"/>
            <w:shd w:val="clear" w:color="auto" w:fill="D9D9D9" w:themeFill="background1" w:themeFillShade="D9"/>
          </w:tcPr>
          <w:p w14:paraId="57A1AA80" w14:textId="77777777" w:rsidR="00D9313C" w:rsidRPr="00D408DC" w:rsidRDefault="00D9313C" w:rsidP="00EC1B15">
            <w:pPr>
              <w:pStyle w:val="Bodytext"/>
              <w:spacing w:after="60"/>
              <w:jc w:val="right"/>
              <w:rPr>
                <w:b/>
                <w:sz w:val="20"/>
                <w:szCs w:val="20"/>
              </w:rPr>
            </w:pPr>
          </w:p>
        </w:tc>
        <w:tc>
          <w:tcPr>
            <w:tcW w:w="414" w:type="pct"/>
            <w:gridSpan w:val="2"/>
            <w:shd w:val="clear" w:color="auto" w:fill="auto"/>
          </w:tcPr>
          <w:p w14:paraId="7016CA90" w14:textId="77777777" w:rsidR="00D9313C" w:rsidRPr="00D408DC" w:rsidRDefault="00D9313C" w:rsidP="00EC1B15">
            <w:pPr>
              <w:pStyle w:val="Bodytext"/>
              <w:spacing w:after="60"/>
              <w:jc w:val="right"/>
              <w:rPr>
                <w:b/>
                <w:sz w:val="20"/>
                <w:szCs w:val="20"/>
              </w:rPr>
            </w:pPr>
          </w:p>
        </w:tc>
        <w:tc>
          <w:tcPr>
            <w:tcW w:w="330" w:type="pct"/>
            <w:shd w:val="clear" w:color="auto" w:fill="D9D9D9" w:themeFill="background1" w:themeFillShade="D9"/>
          </w:tcPr>
          <w:p w14:paraId="3565DCE4" w14:textId="77777777" w:rsidR="00D9313C" w:rsidRPr="00D408DC" w:rsidRDefault="00D9313C" w:rsidP="00EC1B15">
            <w:pPr>
              <w:pStyle w:val="Bodytext"/>
              <w:spacing w:after="60"/>
              <w:jc w:val="right"/>
              <w:rPr>
                <w:b/>
                <w:sz w:val="20"/>
                <w:szCs w:val="20"/>
              </w:rPr>
            </w:pPr>
          </w:p>
        </w:tc>
        <w:tc>
          <w:tcPr>
            <w:tcW w:w="414" w:type="pct"/>
            <w:gridSpan w:val="2"/>
            <w:shd w:val="clear" w:color="auto" w:fill="auto"/>
          </w:tcPr>
          <w:p w14:paraId="1FD7E3EE" w14:textId="77777777" w:rsidR="00D9313C" w:rsidRPr="00D408DC" w:rsidRDefault="00D9313C" w:rsidP="00EC1B15">
            <w:pPr>
              <w:pStyle w:val="Bodytext"/>
              <w:spacing w:after="60"/>
              <w:jc w:val="right"/>
              <w:rPr>
                <w:b/>
                <w:sz w:val="20"/>
                <w:szCs w:val="20"/>
              </w:rPr>
            </w:pPr>
          </w:p>
        </w:tc>
        <w:tc>
          <w:tcPr>
            <w:tcW w:w="331" w:type="pct"/>
            <w:shd w:val="clear" w:color="auto" w:fill="D9D9D9" w:themeFill="background1" w:themeFillShade="D9"/>
          </w:tcPr>
          <w:p w14:paraId="384FF7C7" w14:textId="77777777" w:rsidR="00D9313C" w:rsidRPr="00D408DC" w:rsidRDefault="00D9313C" w:rsidP="00EC1B15">
            <w:pPr>
              <w:pStyle w:val="Bodytext"/>
              <w:spacing w:after="60"/>
              <w:jc w:val="right"/>
              <w:rPr>
                <w:b/>
                <w:sz w:val="20"/>
                <w:szCs w:val="20"/>
              </w:rPr>
            </w:pPr>
          </w:p>
        </w:tc>
        <w:tc>
          <w:tcPr>
            <w:tcW w:w="387" w:type="pct"/>
            <w:shd w:val="clear" w:color="auto" w:fill="auto"/>
          </w:tcPr>
          <w:p w14:paraId="6EE170B8" w14:textId="77777777" w:rsidR="00D9313C" w:rsidRPr="00D408DC" w:rsidRDefault="00D9313C" w:rsidP="00EC1B15">
            <w:pPr>
              <w:pStyle w:val="Bodytext"/>
              <w:spacing w:after="60"/>
              <w:jc w:val="right"/>
              <w:rPr>
                <w:b/>
                <w:sz w:val="20"/>
                <w:szCs w:val="20"/>
              </w:rPr>
            </w:pPr>
          </w:p>
        </w:tc>
      </w:tr>
      <w:tr w:rsidR="00866182" w:rsidRPr="00123027" w14:paraId="2BA5F0F6" w14:textId="77777777" w:rsidTr="00052572">
        <w:trPr>
          <w:cantSplit/>
        </w:trPr>
        <w:tc>
          <w:tcPr>
            <w:tcW w:w="640" w:type="pct"/>
            <w:gridSpan w:val="2"/>
            <w:shd w:val="clear" w:color="auto" w:fill="auto"/>
          </w:tcPr>
          <w:p w14:paraId="0D8592BA" w14:textId="77777777" w:rsidR="00866182" w:rsidRPr="00D408DC" w:rsidRDefault="00866182" w:rsidP="00866182">
            <w:pPr>
              <w:pStyle w:val="Bodytext"/>
              <w:spacing w:after="60"/>
              <w:rPr>
                <w:sz w:val="20"/>
                <w:szCs w:val="20"/>
              </w:rPr>
            </w:pPr>
            <w:r w:rsidRPr="00D408DC">
              <w:rPr>
                <w:sz w:val="20"/>
                <w:szCs w:val="20"/>
              </w:rPr>
              <w:t>Burns and Education Centre</w:t>
            </w:r>
          </w:p>
        </w:tc>
        <w:tc>
          <w:tcPr>
            <w:tcW w:w="399" w:type="pct"/>
            <w:shd w:val="clear" w:color="auto" w:fill="D9D9D9" w:themeFill="background1" w:themeFillShade="D9"/>
            <w:vAlign w:val="center"/>
          </w:tcPr>
          <w:p w14:paraId="585AA8F5" w14:textId="6B8AD82F" w:rsidR="00866182" w:rsidRPr="00052572" w:rsidRDefault="00866182" w:rsidP="00052572">
            <w:pPr>
              <w:pStyle w:val="Bodytext"/>
              <w:keepNext/>
              <w:spacing w:after="60"/>
              <w:jc w:val="right"/>
              <w:rPr>
                <w:rFonts w:cs="Arial"/>
                <w:bCs/>
                <w:color w:val="A6A6A6" w:themeColor="background1" w:themeShade="A6"/>
                <w:szCs w:val="22"/>
              </w:rPr>
            </w:pPr>
            <w:r w:rsidRPr="00052572">
              <w:rPr>
                <w:rFonts w:cs="Arial"/>
                <w:color w:val="424141"/>
                <w:szCs w:val="22"/>
              </w:rPr>
              <w:t>0</w:t>
            </w:r>
          </w:p>
        </w:tc>
        <w:tc>
          <w:tcPr>
            <w:tcW w:w="347" w:type="pct"/>
            <w:gridSpan w:val="2"/>
            <w:shd w:val="clear" w:color="auto" w:fill="auto"/>
            <w:vAlign w:val="center"/>
          </w:tcPr>
          <w:p w14:paraId="2910B278" w14:textId="07940965" w:rsidR="00866182" w:rsidRPr="00052572" w:rsidRDefault="00866182" w:rsidP="00052572">
            <w:pPr>
              <w:pStyle w:val="Bodytext"/>
              <w:keepNext/>
              <w:spacing w:after="60"/>
              <w:jc w:val="right"/>
              <w:rPr>
                <w:rFonts w:cs="Arial"/>
                <w:bCs/>
                <w:color w:val="A6A6A6" w:themeColor="background1" w:themeShade="A6"/>
                <w:szCs w:val="22"/>
              </w:rPr>
            </w:pPr>
            <w:r w:rsidRPr="00052572">
              <w:rPr>
                <w:rFonts w:cs="Arial"/>
                <w:color w:val="A6A6A6"/>
                <w:szCs w:val="22"/>
              </w:rPr>
              <w:t>300</w:t>
            </w:r>
          </w:p>
        </w:tc>
        <w:tc>
          <w:tcPr>
            <w:tcW w:w="347" w:type="pct"/>
            <w:shd w:val="clear" w:color="auto" w:fill="D9D9D9" w:themeFill="background1" w:themeFillShade="D9"/>
            <w:vAlign w:val="center"/>
          </w:tcPr>
          <w:p w14:paraId="009B7BEA" w14:textId="238F4946" w:rsidR="00866182" w:rsidRPr="00052572" w:rsidRDefault="00866182" w:rsidP="00052572">
            <w:pPr>
              <w:pStyle w:val="Bodytext"/>
              <w:keepNext/>
              <w:spacing w:after="60"/>
              <w:jc w:val="right"/>
              <w:rPr>
                <w:rFonts w:cs="Arial"/>
                <w:bCs/>
                <w:color w:val="A6A6A6" w:themeColor="background1" w:themeShade="A6"/>
                <w:szCs w:val="22"/>
              </w:rPr>
            </w:pPr>
            <w:r w:rsidRPr="00052572">
              <w:rPr>
                <w:rFonts w:cs="Arial"/>
                <w:color w:val="424141"/>
                <w:szCs w:val="22"/>
              </w:rPr>
              <w:t> </w:t>
            </w:r>
          </w:p>
        </w:tc>
        <w:tc>
          <w:tcPr>
            <w:tcW w:w="351" w:type="pct"/>
            <w:shd w:val="clear" w:color="auto" w:fill="auto"/>
            <w:vAlign w:val="center"/>
          </w:tcPr>
          <w:p w14:paraId="67ED7D12" w14:textId="4AFACABC" w:rsidR="00866182" w:rsidRPr="00052572" w:rsidRDefault="00866182" w:rsidP="00052572">
            <w:pPr>
              <w:pStyle w:val="Bodytext"/>
              <w:keepNext/>
              <w:spacing w:after="60"/>
              <w:jc w:val="right"/>
              <w:rPr>
                <w:rFonts w:cs="Arial"/>
                <w:bCs/>
                <w:color w:val="A6A6A6" w:themeColor="background1" w:themeShade="A6"/>
                <w:szCs w:val="22"/>
              </w:rPr>
            </w:pPr>
            <w:r w:rsidRPr="00052572">
              <w:rPr>
                <w:rFonts w:cs="Arial"/>
                <w:color w:val="424141"/>
                <w:szCs w:val="22"/>
              </w:rPr>
              <w:t> </w:t>
            </w:r>
          </w:p>
        </w:tc>
        <w:tc>
          <w:tcPr>
            <w:tcW w:w="347" w:type="pct"/>
            <w:shd w:val="clear" w:color="auto" w:fill="D9D9D9" w:themeFill="background1" w:themeFillShade="D9"/>
            <w:vAlign w:val="center"/>
          </w:tcPr>
          <w:p w14:paraId="1CE41D2B" w14:textId="12407E81" w:rsidR="00866182" w:rsidRPr="00052572" w:rsidRDefault="00866182" w:rsidP="00052572">
            <w:pPr>
              <w:pStyle w:val="Bodytext"/>
              <w:keepNext/>
              <w:spacing w:after="60"/>
              <w:jc w:val="right"/>
              <w:rPr>
                <w:rFonts w:cs="Arial"/>
                <w:bCs/>
                <w:color w:val="A6A6A6" w:themeColor="background1" w:themeShade="A6"/>
                <w:szCs w:val="22"/>
              </w:rPr>
            </w:pPr>
            <w:r w:rsidRPr="00052572">
              <w:rPr>
                <w:rFonts w:cs="Arial"/>
                <w:color w:val="424141"/>
                <w:szCs w:val="22"/>
              </w:rPr>
              <w:t> </w:t>
            </w:r>
          </w:p>
        </w:tc>
        <w:tc>
          <w:tcPr>
            <w:tcW w:w="363" w:type="pct"/>
            <w:gridSpan w:val="2"/>
            <w:shd w:val="clear" w:color="auto" w:fill="auto"/>
            <w:vAlign w:val="center"/>
          </w:tcPr>
          <w:p w14:paraId="763FC2B3" w14:textId="4F41E1BF" w:rsidR="00866182" w:rsidRPr="00052572" w:rsidRDefault="00866182" w:rsidP="00052572">
            <w:pPr>
              <w:pStyle w:val="Bodytext"/>
              <w:keepNext/>
              <w:spacing w:after="60"/>
              <w:jc w:val="right"/>
              <w:rPr>
                <w:rFonts w:cs="Arial"/>
                <w:bCs/>
                <w:color w:val="A6A6A6" w:themeColor="background1" w:themeShade="A6"/>
                <w:szCs w:val="22"/>
              </w:rPr>
            </w:pPr>
            <w:r w:rsidRPr="00052572">
              <w:rPr>
                <w:rFonts w:cs="Arial"/>
                <w:color w:val="424141"/>
                <w:szCs w:val="22"/>
              </w:rPr>
              <w:t> </w:t>
            </w:r>
          </w:p>
        </w:tc>
        <w:tc>
          <w:tcPr>
            <w:tcW w:w="330" w:type="pct"/>
            <w:shd w:val="clear" w:color="auto" w:fill="D9D9D9" w:themeFill="background1" w:themeFillShade="D9"/>
            <w:vAlign w:val="center"/>
          </w:tcPr>
          <w:p w14:paraId="071D4331" w14:textId="2D7E2FC9" w:rsidR="00866182" w:rsidRPr="00052572" w:rsidRDefault="00866182" w:rsidP="00052572">
            <w:pPr>
              <w:pStyle w:val="Bodytext"/>
              <w:keepNext/>
              <w:spacing w:after="60"/>
              <w:jc w:val="right"/>
              <w:rPr>
                <w:rFonts w:cs="Arial"/>
                <w:bCs/>
                <w:color w:val="A6A6A6" w:themeColor="background1" w:themeShade="A6"/>
                <w:szCs w:val="22"/>
              </w:rPr>
            </w:pPr>
            <w:r w:rsidRPr="00052572">
              <w:rPr>
                <w:rFonts w:cs="Arial"/>
                <w:color w:val="424141"/>
                <w:szCs w:val="22"/>
              </w:rPr>
              <w:t> </w:t>
            </w:r>
          </w:p>
        </w:tc>
        <w:tc>
          <w:tcPr>
            <w:tcW w:w="414" w:type="pct"/>
            <w:gridSpan w:val="2"/>
            <w:shd w:val="clear" w:color="auto" w:fill="auto"/>
            <w:vAlign w:val="center"/>
          </w:tcPr>
          <w:p w14:paraId="08A77384" w14:textId="55390B6E" w:rsidR="00866182" w:rsidRPr="00052572" w:rsidRDefault="00866182" w:rsidP="00052572">
            <w:pPr>
              <w:pStyle w:val="Bodytext"/>
              <w:keepNext/>
              <w:spacing w:after="60"/>
              <w:jc w:val="right"/>
              <w:rPr>
                <w:rFonts w:cs="Arial"/>
                <w:bCs/>
                <w:color w:val="A6A6A6" w:themeColor="background1" w:themeShade="A6"/>
                <w:szCs w:val="22"/>
              </w:rPr>
            </w:pPr>
            <w:r w:rsidRPr="00052572">
              <w:rPr>
                <w:rFonts w:cs="Arial"/>
                <w:color w:val="424141"/>
                <w:szCs w:val="22"/>
              </w:rPr>
              <w:t>-300</w:t>
            </w:r>
          </w:p>
        </w:tc>
        <w:tc>
          <w:tcPr>
            <w:tcW w:w="330" w:type="pct"/>
            <w:shd w:val="clear" w:color="auto" w:fill="D9D9D9" w:themeFill="background1" w:themeFillShade="D9"/>
            <w:vAlign w:val="center"/>
          </w:tcPr>
          <w:p w14:paraId="1B0731B9" w14:textId="222CA94C" w:rsidR="00866182" w:rsidRPr="00052572" w:rsidRDefault="00866182" w:rsidP="00052572">
            <w:pPr>
              <w:pStyle w:val="Bodytext"/>
              <w:keepNext/>
              <w:spacing w:after="60"/>
              <w:jc w:val="right"/>
              <w:rPr>
                <w:rFonts w:cs="Arial"/>
                <w:bCs/>
                <w:color w:val="A6A6A6" w:themeColor="background1" w:themeShade="A6"/>
                <w:szCs w:val="22"/>
              </w:rPr>
            </w:pPr>
            <w:r w:rsidRPr="00052572">
              <w:rPr>
                <w:rFonts w:cs="Arial"/>
                <w:color w:val="424141"/>
                <w:szCs w:val="22"/>
              </w:rPr>
              <w:t> </w:t>
            </w:r>
          </w:p>
        </w:tc>
        <w:tc>
          <w:tcPr>
            <w:tcW w:w="414" w:type="pct"/>
            <w:gridSpan w:val="2"/>
            <w:shd w:val="clear" w:color="auto" w:fill="auto"/>
            <w:vAlign w:val="center"/>
          </w:tcPr>
          <w:p w14:paraId="7E0B4478" w14:textId="26679051" w:rsidR="00866182" w:rsidRPr="00052572" w:rsidRDefault="00866182" w:rsidP="00052572">
            <w:pPr>
              <w:pStyle w:val="Bodytext"/>
              <w:keepNext/>
              <w:spacing w:after="60"/>
              <w:jc w:val="right"/>
              <w:rPr>
                <w:rFonts w:cs="Arial"/>
                <w:bCs/>
                <w:color w:val="A6A6A6" w:themeColor="background1" w:themeShade="A6"/>
                <w:szCs w:val="22"/>
              </w:rPr>
            </w:pPr>
            <w:r w:rsidRPr="00052572">
              <w:rPr>
                <w:rFonts w:cs="Arial"/>
                <w:color w:val="424141"/>
                <w:szCs w:val="22"/>
              </w:rPr>
              <w:t> </w:t>
            </w:r>
          </w:p>
        </w:tc>
        <w:tc>
          <w:tcPr>
            <w:tcW w:w="331" w:type="pct"/>
            <w:shd w:val="clear" w:color="auto" w:fill="D9D9D9" w:themeFill="background1" w:themeFillShade="D9"/>
            <w:vAlign w:val="center"/>
          </w:tcPr>
          <w:p w14:paraId="114EADA0" w14:textId="345EE6A1" w:rsidR="00866182" w:rsidRPr="00052572" w:rsidRDefault="00866182" w:rsidP="00052572">
            <w:pPr>
              <w:pStyle w:val="Bodytext"/>
              <w:keepNext/>
              <w:spacing w:after="60"/>
              <w:jc w:val="right"/>
              <w:rPr>
                <w:rFonts w:cs="Arial"/>
                <w:bCs/>
                <w:color w:val="A6A6A6" w:themeColor="background1" w:themeShade="A6"/>
                <w:szCs w:val="22"/>
              </w:rPr>
            </w:pPr>
            <w:r w:rsidRPr="00052572">
              <w:rPr>
                <w:rFonts w:cs="Arial"/>
                <w:color w:val="424141"/>
                <w:szCs w:val="22"/>
              </w:rPr>
              <w:t>0</w:t>
            </w:r>
          </w:p>
        </w:tc>
        <w:tc>
          <w:tcPr>
            <w:tcW w:w="387" w:type="pct"/>
            <w:shd w:val="clear" w:color="auto" w:fill="auto"/>
            <w:vAlign w:val="center"/>
          </w:tcPr>
          <w:p w14:paraId="12679AAF" w14:textId="39237C29" w:rsidR="00866182" w:rsidRPr="00052572" w:rsidRDefault="00866182" w:rsidP="00052572">
            <w:pPr>
              <w:pStyle w:val="Bodytext"/>
              <w:keepNext/>
              <w:spacing w:after="60"/>
              <w:jc w:val="right"/>
              <w:rPr>
                <w:rFonts w:cs="Arial"/>
                <w:bCs/>
                <w:color w:val="A6A6A6" w:themeColor="background1" w:themeShade="A6"/>
                <w:szCs w:val="22"/>
              </w:rPr>
            </w:pPr>
            <w:r w:rsidRPr="00052572">
              <w:rPr>
                <w:rFonts w:cs="Arial"/>
                <w:color w:val="424141"/>
                <w:szCs w:val="22"/>
              </w:rPr>
              <w:t>0</w:t>
            </w:r>
          </w:p>
        </w:tc>
      </w:tr>
      <w:tr w:rsidR="00866182" w:rsidRPr="00123027" w14:paraId="778B1CD6" w14:textId="77777777" w:rsidTr="00052572">
        <w:trPr>
          <w:cantSplit/>
        </w:trPr>
        <w:tc>
          <w:tcPr>
            <w:tcW w:w="640" w:type="pct"/>
            <w:gridSpan w:val="2"/>
            <w:shd w:val="clear" w:color="auto" w:fill="auto"/>
          </w:tcPr>
          <w:p w14:paraId="1819C87D" w14:textId="53E9D135" w:rsidR="00866182" w:rsidRPr="00D408DC" w:rsidRDefault="00866182" w:rsidP="00866182">
            <w:pPr>
              <w:pStyle w:val="Bodytext"/>
              <w:spacing w:after="60"/>
              <w:rPr>
                <w:sz w:val="20"/>
                <w:szCs w:val="20"/>
              </w:rPr>
            </w:pPr>
            <w:r w:rsidRPr="00D408DC">
              <w:rPr>
                <w:sz w:val="20"/>
                <w:szCs w:val="20"/>
              </w:rPr>
              <w:t xml:space="preserve">Oncology </w:t>
            </w:r>
            <w:r>
              <w:rPr>
                <w:sz w:val="20"/>
                <w:szCs w:val="20"/>
              </w:rPr>
              <w:t>and</w:t>
            </w:r>
            <w:r w:rsidRPr="00D408DC">
              <w:rPr>
                <w:sz w:val="20"/>
                <w:szCs w:val="20"/>
              </w:rPr>
              <w:t xml:space="preserve"> haematology </w:t>
            </w:r>
          </w:p>
        </w:tc>
        <w:tc>
          <w:tcPr>
            <w:tcW w:w="399" w:type="pct"/>
            <w:shd w:val="clear" w:color="auto" w:fill="D9D9D9" w:themeFill="background1" w:themeFillShade="D9"/>
            <w:vAlign w:val="center"/>
          </w:tcPr>
          <w:p w14:paraId="302D22F3" w14:textId="08786D75" w:rsidR="00866182" w:rsidRPr="00052572" w:rsidRDefault="00866182" w:rsidP="00052572">
            <w:pPr>
              <w:pStyle w:val="Bodytext"/>
              <w:keepNext/>
              <w:spacing w:after="60"/>
              <w:jc w:val="right"/>
              <w:rPr>
                <w:rFonts w:cs="Arial"/>
                <w:bCs/>
                <w:color w:val="A6A6A6" w:themeColor="background1" w:themeShade="A6"/>
                <w:szCs w:val="22"/>
              </w:rPr>
            </w:pPr>
            <w:r w:rsidRPr="00052572">
              <w:rPr>
                <w:rFonts w:cs="Arial"/>
                <w:color w:val="424141"/>
                <w:szCs w:val="22"/>
              </w:rPr>
              <w:t>135</w:t>
            </w:r>
          </w:p>
        </w:tc>
        <w:tc>
          <w:tcPr>
            <w:tcW w:w="347" w:type="pct"/>
            <w:gridSpan w:val="2"/>
            <w:shd w:val="clear" w:color="auto" w:fill="auto"/>
            <w:vAlign w:val="center"/>
          </w:tcPr>
          <w:p w14:paraId="4EA29F51" w14:textId="0F0BC399" w:rsidR="00866182" w:rsidRPr="00052572" w:rsidRDefault="00866182" w:rsidP="00052572">
            <w:pPr>
              <w:pStyle w:val="Bodytext"/>
              <w:keepNext/>
              <w:spacing w:after="60"/>
              <w:jc w:val="right"/>
              <w:rPr>
                <w:rFonts w:cs="Arial"/>
                <w:bCs/>
                <w:color w:val="A6A6A6" w:themeColor="background1" w:themeShade="A6"/>
                <w:szCs w:val="22"/>
              </w:rPr>
            </w:pPr>
            <w:r w:rsidRPr="00052572">
              <w:rPr>
                <w:rFonts w:cs="Arial"/>
                <w:color w:val="A6A6A6"/>
                <w:szCs w:val="22"/>
              </w:rPr>
              <w:t>198</w:t>
            </w:r>
          </w:p>
        </w:tc>
        <w:tc>
          <w:tcPr>
            <w:tcW w:w="347" w:type="pct"/>
            <w:shd w:val="clear" w:color="auto" w:fill="D9D9D9" w:themeFill="background1" w:themeFillShade="D9"/>
            <w:vAlign w:val="center"/>
          </w:tcPr>
          <w:p w14:paraId="4FC6B480" w14:textId="515B90DC" w:rsidR="00866182" w:rsidRPr="00052572" w:rsidRDefault="00866182" w:rsidP="00052572">
            <w:pPr>
              <w:pStyle w:val="Bodytext"/>
              <w:keepNext/>
              <w:spacing w:after="60"/>
              <w:jc w:val="right"/>
              <w:rPr>
                <w:rFonts w:cs="Arial"/>
                <w:bCs/>
                <w:color w:val="A6A6A6" w:themeColor="background1" w:themeShade="A6"/>
                <w:szCs w:val="22"/>
              </w:rPr>
            </w:pPr>
            <w:r w:rsidRPr="00052572">
              <w:rPr>
                <w:rFonts w:cs="Arial"/>
                <w:color w:val="424141"/>
                <w:szCs w:val="22"/>
              </w:rPr>
              <w:t>138</w:t>
            </w:r>
          </w:p>
        </w:tc>
        <w:tc>
          <w:tcPr>
            <w:tcW w:w="351" w:type="pct"/>
            <w:shd w:val="clear" w:color="auto" w:fill="auto"/>
            <w:vAlign w:val="center"/>
          </w:tcPr>
          <w:p w14:paraId="150776AF" w14:textId="40D11E51" w:rsidR="00866182" w:rsidRPr="00052572" w:rsidRDefault="00866182" w:rsidP="00052572">
            <w:pPr>
              <w:pStyle w:val="Bodytext"/>
              <w:keepNext/>
              <w:spacing w:after="60"/>
              <w:jc w:val="right"/>
              <w:rPr>
                <w:rFonts w:cs="Arial"/>
                <w:bCs/>
                <w:color w:val="A6A6A6" w:themeColor="background1" w:themeShade="A6"/>
                <w:szCs w:val="22"/>
              </w:rPr>
            </w:pPr>
            <w:r w:rsidRPr="00052572">
              <w:rPr>
                <w:rFonts w:cs="Arial"/>
                <w:color w:val="A6A6A6"/>
                <w:szCs w:val="22"/>
              </w:rPr>
              <w:t>126</w:t>
            </w:r>
          </w:p>
        </w:tc>
        <w:tc>
          <w:tcPr>
            <w:tcW w:w="347" w:type="pct"/>
            <w:shd w:val="clear" w:color="auto" w:fill="D9D9D9" w:themeFill="background1" w:themeFillShade="D9"/>
            <w:vAlign w:val="center"/>
          </w:tcPr>
          <w:p w14:paraId="5A60C56E" w14:textId="3184CD76" w:rsidR="00866182" w:rsidRPr="00052572" w:rsidRDefault="00866182" w:rsidP="00052572">
            <w:pPr>
              <w:pStyle w:val="Bodytext"/>
              <w:keepNext/>
              <w:spacing w:after="60"/>
              <w:jc w:val="right"/>
              <w:rPr>
                <w:rFonts w:cs="Arial"/>
                <w:bCs/>
                <w:color w:val="A6A6A6" w:themeColor="background1" w:themeShade="A6"/>
                <w:szCs w:val="22"/>
              </w:rPr>
            </w:pPr>
            <w:r w:rsidRPr="00052572">
              <w:rPr>
                <w:rFonts w:cs="Arial"/>
                <w:color w:val="424141"/>
                <w:szCs w:val="22"/>
              </w:rPr>
              <w:t>-69</w:t>
            </w:r>
          </w:p>
        </w:tc>
        <w:tc>
          <w:tcPr>
            <w:tcW w:w="363" w:type="pct"/>
            <w:gridSpan w:val="2"/>
            <w:shd w:val="clear" w:color="auto" w:fill="auto"/>
            <w:vAlign w:val="center"/>
          </w:tcPr>
          <w:p w14:paraId="4D82ED18" w14:textId="4ECAFF02" w:rsidR="00866182" w:rsidRPr="00052572" w:rsidRDefault="00866182" w:rsidP="00052572">
            <w:pPr>
              <w:pStyle w:val="Bodytext"/>
              <w:keepNext/>
              <w:spacing w:after="60"/>
              <w:jc w:val="right"/>
              <w:rPr>
                <w:rFonts w:cs="Arial"/>
                <w:bCs/>
                <w:color w:val="A6A6A6" w:themeColor="background1" w:themeShade="A6"/>
                <w:szCs w:val="22"/>
              </w:rPr>
            </w:pPr>
            <w:r w:rsidRPr="00052572">
              <w:rPr>
                <w:rFonts w:cs="Arial"/>
                <w:color w:val="A6A6A6"/>
                <w:szCs w:val="22"/>
              </w:rPr>
              <w:t>-209</w:t>
            </w:r>
          </w:p>
        </w:tc>
        <w:tc>
          <w:tcPr>
            <w:tcW w:w="330" w:type="pct"/>
            <w:shd w:val="clear" w:color="auto" w:fill="D9D9D9" w:themeFill="background1" w:themeFillShade="D9"/>
            <w:vAlign w:val="center"/>
          </w:tcPr>
          <w:p w14:paraId="32CE8D48" w14:textId="7747DAA8" w:rsidR="00866182" w:rsidRPr="00052572" w:rsidRDefault="00866182" w:rsidP="00052572">
            <w:pPr>
              <w:pStyle w:val="Bodytext"/>
              <w:keepNext/>
              <w:spacing w:after="60"/>
              <w:jc w:val="right"/>
              <w:rPr>
                <w:rFonts w:cs="Arial"/>
                <w:bCs/>
                <w:color w:val="A6A6A6" w:themeColor="background1" w:themeShade="A6"/>
                <w:szCs w:val="22"/>
              </w:rPr>
            </w:pPr>
            <w:r w:rsidRPr="00052572">
              <w:rPr>
                <w:rFonts w:cs="Arial"/>
                <w:color w:val="424141"/>
                <w:szCs w:val="22"/>
              </w:rPr>
              <w:t> </w:t>
            </w:r>
          </w:p>
        </w:tc>
        <w:tc>
          <w:tcPr>
            <w:tcW w:w="414" w:type="pct"/>
            <w:gridSpan w:val="2"/>
            <w:shd w:val="clear" w:color="auto" w:fill="auto"/>
            <w:vAlign w:val="center"/>
          </w:tcPr>
          <w:p w14:paraId="390EDBA6" w14:textId="1A9C4709" w:rsidR="00866182" w:rsidRPr="00052572" w:rsidRDefault="00866182" w:rsidP="00052572">
            <w:pPr>
              <w:pStyle w:val="Bodytext"/>
              <w:keepNext/>
              <w:spacing w:after="60"/>
              <w:jc w:val="right"/>
              <w:rPr>
                <w:rFonts w:cs="Arial"/>
                <w:bCs/>
                <w:color w:val="A6A6A6" w:themeColor="background1" w:themeShade="A6"/>
                <w:szCs w:val="22"/>
              </w:rPr>
            </w:pPr>
            <w:r w:rsidRPr="00052572">
              <w:rPr>
                <w:rFonts w:cs="Arial"/>
                <w:color w:val="424141"/>
                <w:szCs w:val="22"/>
              </w:rPr>
              <w:t> </w:t>
            </w:r>
          </w:p>
        </w:tc>
        <w:tc>
          <w:tcPr>
            <w:tcW w:w="330" w:type="pct"/>
            <w:shd w:val="clear" w:color="auto" w:fill="D9D9D9" w:themeFill="background1" w:themeFillShade="D9"/>
            <w:vAlign w:val="center"/>
          </w:tcPr>
          <w:p w14:paraId="0A0D36A4" w14:textId="785DDC3D" w:rsidR="00866182" w:rsidRPr="00052572" w:rsidRDefault="00866182" w:rsidP="00052572">
            <w:pPr>
              <w:pStyle w:val="Bodytext"/>
              <w:keepNext/>
              <w:spacing w:after="60"/>
              <w:jc w:val="right"/>
              <w:rPr>
                <w:rFonts w:cs="Arial"/>
                <w:bCs/>
                <w:color w:val="A6A6A6" w:themeColor="background1" w:themeShade="A6"/>
                <w:szCs w:val="22"/>
              </w:rPr>
            </w:pPr>
            <w:r w:rsidRPr="00052572">
              <w:rPr>
                <w:rFonts w:cs="Arial"/>
                <w:color w:val="424141"/>
                <w:szCs w:val="22"/>
              </w:rPr>
              <w:t> </w:t>
            </w:r>
          </w:p>
        </w:tc>
        <w:tc>
          <w:tcPr>
            <w:tcW w:w="414" w:type="pct"/>
            <w:gridSpan w:val="2"/>
            <w:shd w:val="clear" w:color="auto" w:fill="auto"/>
            <w:vAlign w:val="center"/>
          </w:tcPr>
          <w:p w14:paraId="37F5E20F" w14:textId="5CA5D314" w:rsidR="00866182" w:rsidRPr="00052572" w:rsidRDefault="00866182" w:rsidP="00052572">
            <w:pPr>
              <w:pStyle w:val="Bodytext"/>
              <w:keepNext/>
              <w:spacing w:after="60"/>
              <w:jc w:val="right"/>
              <w:rPr>
                <w:rFonts w:cs="Arial"/>
                <w:bCs/>
                <w:color w:val="A6A6A6" w:themeColor="background1" w:themeShade="A6"/>
                <w:szCs w:val="22"/>
              </w:rPr>
            </w:pPr>
            <w:r w:rsidRPr="00052572">
              <w:rPr>
                <w:rFonts w:cs="Arial"/>
                <w:color w:val="424141"/>
                <w:szCs w:val="22"/>
              </w:rPr>
              <w:t>20</w:t>
            </w:r>
          </w:p>
        </w:tc>
        <w:tc>
          <w:tcPr>
            <w:tcW w:w="331" w:type="pct"/>
            <w:shd w:val="clear" w:color="auto" w:fill="D9D9D9" w:themeFill="background1" w:themeFillShade="D9"/>
            <w:vAlign w:val="center"/>
          </w:tcPr>
          <w:p w14:paraId="6EEE20EE" w14:textId="609FA0EC" w:rsidR="00866182" w:rsidRPr="00052572" w:rsidRDefault="00866182" w:rsidP="00052572">
            <w:pPr>
              <w:pStyle w:val="Bodytext"/>
              <w:keepNext/>
              <w:spacing w:after="60"/>
              <w:jc w:val="right"/>
              <w:rPr>
                <w:rFonts w:cs="Arial"/>
                <w:bCs/>
                <w:color w:val="A6A6A6" w:themeColor="background1" w:themeShade="A6"/>
                <w:szCs w:val="22"/>
              </w:rPr>
            </w:pPr>
            <w:r w:rsidRPr="00052572">
              <w:rPr>
                <w:rFonts w:cs="Arial"/>
                <w:color w:val="424141"/>
                <w:szCs w:val="22"/>
              </w:rPr>
              <w:t>204</w:t>
            </w:r>
          </w:p>
        </w:tc>
        <w:tc>
          <w:tcPr>
            <w:tcW w:w="387" w:type="pct"/>
            <w:shd w:val="clear" w:color="auto" w:fill="auto"/>
            <w:vAlign w:val="center"/>
          </w:tcPr>
          <w:p w14:paraId="40722F3D" w14:textId="66ED64D5" w:rsidR="00866182" w:rsidRPr="00052572" w:rsidRDefault="00866182" w:rsidP="00052572">
            <w:pPr>
              <w:pStyle w:val="Bodytext"/>
              <w:keepNext/>
              <w:spacing w:after="60"/>
              <w:jc w:val="right"/>
              <w:rPr>
                <w:rFonts w:cs="Arial"/>
                <w:bCs/>
                <w:color w:val="A6A6A6" w:themeColor="background1" w:themeShade="A6"/>
                <w:szCs w:val="22"/>
              </w:rPr>
            </w:pPr>
            <w:r w:rsidRPr="00052572">
              <w:rPr>
                <w:rFonts w:cs="Arial"/>
                <w:color w:val="424141"/>
                <w:szCs w:val="22"/>
              </w:rPr>
              <w:t>135</w:t>
            </w:r>
          </w:p>
        </w:tc>
      </w:tr>
      <w:tr w:rsidR="00866182" w:rsidRPr="00123027" w14:paraId="1C3CFBFD" w14:textId="77777777" w:rsidTr="00052572">
        <w:trPr>
          <w:cantSplit/>
        </w:trPr>
        <w:tc>
          <w:tcPr>
            <w:tcW w:w="640" w:type="pct"/>
            <w:gridSpan w:val="2"/>
            <w:shd w:val="clear" w:color="auto" w:fill="auto"/>
          </w:tcPr>
          <w:p w14:paraId="2EDE2A3D" w14:textId="19D62660" w:rsidR="00866182" w:rsidRPr="00D408DC" w:rsidRDefault="00866182" w:rsidP="00866182">
            <w:pPr>
              <w:pStyle w:val="Bodytext"/>
              <w:spacing w:after="60"/>
              <w:rPr>
                <w:sz w:val="20"/>
                <w:szCs w:val="20"/>
              </w:rPr>
            </w:pPr>
            <w:r w:rsidRPr="00D408DC">
              <w:rPr>
                <w:sz w:val="20"/>
                <w:szCs w:val="20"/>
              </w:rPr>
              <w:t>Leukaemia</w:t>
            </w:r>
            <w:r>
              <w:rPr>
                <w:sz w:val="20"/>
                <w:szCs w:val="20"/>
              </w:rPr>
              <w:t xml:space="preserve"> and</w:t>
            </w:r>
            <w:r w:rsidRPr="00D408DC">
              <w:rPr>
                <w:sz w:val="20"/>
                <w:szCs w:val="20"/>
              </w:rPr>
              <w:t xml:space="preserve"> haematology </w:t>
            </w:r>
          </w:p>
        </w:tc>
        <w:tc>
          <w:tcPr>
            <w:tcW w:w="399" w:type="pct"/>
            <w:shd w:val="clear" w:color="auto" w:fill="D9D9D9" w:themeFill="background1" w:themeFillShade="D9"/>
            <w:vAlign w:val="center"/>
          </w:tcPr>
          <w:p w14:paraId="1C07409A" w14:textId="3C423D2F" w:rsidR="00866182" w:rsidRPr="00052572" w:rsidRDefault="00866182" w:rsidP="00052572">
            <w:pPr>
              <w:pStyle w:val="Bodytext"/>
              <w:keepNext/>
              <w:spacing w:after="60"/>
              <w:jc w:val="right"/>
              <w:rPr>
                <w:rFonts w:cs="Arial"/>
                <w:bCs/>
                <w:color w:val="A6A6A6" w:themeColor="background1" w:themeShade="A6"/>
                <w:szCs w:val="22"/>
              </w:rPr>
            </w:pPr>
            <w:r w:rsidRPr="00052572">
              <w:rPr>
                <w:rFonts w:cs="Arial"/>
                <w:color w:val="424141"/>
                <w:szCs w:val="22"/>
              </w:rPr>
              <w:t>9</w:t>
            </w:r>
          </w:p>
        </w:tc>
        <w:tc>
          <w:tcPr>
            <w:tcW w:w="347" w:type="pct"/>
            <w:gridSpan w:val="2"/>
            <w:shd w:val="clear" w:color="auto" w:fill="auto"/>
            <w:vAlign w:val="center"/>
          </w:tcPr>
          <w:p w14:paraId="5D4610A3" w14:textId="54320CF0" w:rsidR="00866182" w:rsidRPr="00052572" w:rsidRDefault="00866182" w:rsidP="00052572">
            <w:pPr>
              <w:pStyle w:val="Bodytext"/>
              <w:keepNext/>
              <w:spacing w:after="60"/>
              <w:jc w:val="right"/>
              <w:rPr>
                <w:rFonts w:cs="Arial"/>
                <w:bCs/>
                <w:color w:val="A6A6A6" w:themeColor="background1" w:themeShade="A6"/>
                <w:szCs w:val="22"/>
              </w:rPr>
            </w:pPr>
            <w:r w:rsidRPr="00052572">
              <w:rPr>
                <w:rFonts w:cs="Arial"/>
                <w:color w:val="A6A6A6"/>
                <w:szCs w:val="22"/>
              </w:rPr>
              <w:t>123</w:t>
            </w:r>
          </w:p>
        </w:tc>
        <w:tc>
          <w:tcPr>
            <w:tcW w:w="347" w:type="pct"/>
            <w:shd w:val="clear" w:color="auto" w:fill="D9D9D9" w:themeFill="background1" w:themeFillShade="D9"/>
            <w:vAlign w:val="center"/>
          </w:tcPr>
          <w:p w14:paraId="63F91BFF" w14:textId="1F273D5D" w:rsidR="00866182" w:rsidRPr="00052572" w:rsidRDefault="00866182" w:rsidP="00052572">
            <w:pPr>
              <w:pStyle w:val="Bodytext"/>
              <w:keepNext/>
              <w:spacing w:after="60"/>
              <w:jc w:val="right"/>
              <w:rPr>
                <w:rFonts w:cs="Arial"/>
                <w:bCs/>
                <w:color w:val="A6A6A6" w:themeColor="background1" w:themeShade="A6"/>
                <w:szCs w:val="22"/>
              </w:rPr>
            </w:pPr>
            <w:r w:rsidRPr="00052572">
              <w:rPr>
                <w:rFonts w:cs="Arial"/>
                <w:color w:val="424141"/>
                <w:szCs w:val="22"/>
              </w:rPr>
              <w:t>21</w:t>
            </w:r>
          </w:p>
        </w:tc>
        <w:tc>
          <w:tcPr>
            <w:tcW w:w="351" w:type="pct"/>
            <w:shd w:val="clear" w:color="auto" w:fill="auto"/>
            <w:vAlign w:val="center"/>
          </w:tcPr>
          <w:p w14:paraId="66B3FD38" w14:textId="3F69DB06" w:rsidR="00866182" w:rsidRPr="00052572" w:rsidRDefault="00866182" w:rsidP="00052572">
            <w:pPr>
              <w:pStyle w:val="Bodytext"/>
              <w:keepNext/>
              <w:spacing w:after="60"/>
              <w:jc w:val="right"/>
              <w:rPr>
                <w:rFonts w:cs="Arial"/>
                <w:bCs/>
                <w:color w:val="A6A6A6" w:themeColor="background1" w:themeShade="A6"/>
                <w:szCs w:val="22"/>
              </w:rPr>
            </w:pPr>
            <w:r w:rsidRPr="00052572">
              <w:rPr>
                <w:rFonts w:cs="Arial"/>
                <w:color w:val="A6A6A6"/>
                <w:szCs w:val="22"/>
              </w:rPr>
              <w:t>150</w:t>
            </w:r>
          </w:p>
        </w:tc>
        <w:tc>
          <w:tcPr>
            <w:tcW w:w="347" w:type="pct"/>
            <w:shd w:val="clear" w:color="auto" w:fill="D9D9D9" w:themeFill="background1" w:themeFillShade="D9"/>
            <w:vAlign w:val="center"/>
          </w:tcPr>
          <w:p w14:paraId="220649A7" w14:textId="5B043E88" w:rsidR="00866182" w:rsidRPr="00052572" w:rsidRDefault="00866182" w:rsidP="00052572">
            <w:pPr>
              <w:pStyle w:val="Bodytext"/>
              <w:keepNext/>
              <w:spacing w:after="60"/>
              <w:jc w:val="right"/>
              <w:rPr>
                <w:rFonts w:cs="Arial"/>
                <w:bCs/>
                <w:color w:val="A6A6A6" w:themeColor="background1" w:themeShade="A6"/>
                <w:szCs w:val="22"/>
              </w:rPr>
            </w:pPr>
            <w:r w:rsidRPr="00052572">
              <w:rPr>
                <w:rFonts w:cs="Arial"/>
                <w:color w:val="424141"/>
                <w:szCs w:val="22"/>
              </w:rPr>
              <w:t>-30</w:t>
            </w:r>
          </w:p>
        </w:tc>
        <w:tc>
          <w:tcPr>
            <w:tcW w:w="363" w:type="pct"/>
            <w:gridSpan w:val="2"/>
            <w:shd w:val="clear" w:color="auto" w:fill="auto"/>
            <w:vAlign w:val="center"/>
          </w:tcPr>
          <w:p w14:paraId="66444C41" w14:textId="4CDFE0F1" w:rsidR="00866182" w:rsidRPr="00052572" w:rsidRDefault="00866182" w:rsidP="00052572">
            <w:pPr>
              <w:pStyle w:val="Bodytext"/>
              <w:keepNext/>
              <w:spacing w:after="60"/>
              <w:jc w:val="right"/>
              <w:rPr>
                <w:rFonts w:cs="Arial"/>
                <w:bCs/>
                <w:color w:val="A6A6A6" w:themeColor="background1" w:themeShade="A6"/>
                <w:szCs w:val="22"/>
              </w:rPr>
            </w:pPr>
            <w:r w:rsidRPr="00052572">
              <w:rPr>
                <w:rFonts w:cs="Arial"/>
                <w:color w:val="A6A6A6"/>
                <w:szCs w:val="22"/>
              </w:rPr>
              <w:t>-264</w:t>
            </w:r>
          </w:p>
        </w:tc>
        <w:tc>
          <w:tcPr>
            <w:tcW w:w="330" w:type="pct"/>
            <w:shd w:val="clear" w:color="auto" w:fill="D9D9D9" w:themeFill="background1" w:themeFillShade="D9"/>
            <w:vAlign w:val="center"/>
          </w:tcPr>
          <w:p w14:paraId="652E497B" w14:textId="4F25E7EE" w:rsidR="00866182" w:rsidRPr="00052572" w:rsidRDefault="00866182" w:rsidP="00052572">
            <w:pPr>
              <w:pStyle w:val="Bodytext"/>
              <w:keepNext/>
              <w:spacing w:after="60"/>
              <w:jc w:val="right"/>
              <w:rPr>
                <w:rFonts w:cs="Arial"/>
                <w:bCs/>
                <w:color w:val="A6A6A6" w:themeColor="background1" w:themeShade="A6"/>
                <w:szCs w:val="22"/>
              </w:rPr>
            </w:pPr>
            <w:r w:rsidRPr="00052572">
              <w:rPr>
                <w:rFonts w:cs="Arial"/>
                <w:color w:val="424141"/>
                <w:szCs w:val="22"/>
              </w:rPr>
              <w:t> </w:t>
            </w:r>
          </w:p>
        </w:tc>
        <w:tc>
          <w:tcPr>
            <w:tcW w:w="414" w:type="pct"/>
            <w:gridSpan w:val="2"/>
            <w:shd w:val="clear" w:color="auto" w:fill="auto"/>
            <w:vAlign w:val="center"/>
          </w:tcPr>
          <w:p w14:paraId="3BC5D4CB" w14:textId="7C3F6B66" w:rsidR="00866182" w:rsidRPr="00052572" w:rsidRDefault="00866182" w:rsidP="00052572">
            <w:pPr>
              <w:pStyle w:val="Bodytext"/>
              <w:keepNext/>
              <w:spacing w:after="60"/>
              <w:jc w:val="right"/>
              <w:rPr>
                <w:rFonts w:cs="Arial"/>
                <w:bCs/>
                <w:color w:val="A6A6A6" w:themeColor="background1" w:themeShade="A6"/>
                <w:szCs w:val="22"/>
              </w:rPr>
            </w:pPr>
            <w:r w:rsidRPr="00052572">
              <w:rPr>
                <w:rFonts w:cs="Arial"/>
                <w:color w:val="424141"/>
                <w:szCs w:val="22"/>
              </w:rPr>
              <w:t> </w:t>
            </w:r>
          </w:p>
        </w:tc>
        <w:tc>
          <w:tcPr>
            <w:tcW w:w="330" w:type="pct"/>
            <w:shd w:val="clear" w:color="auto" w:fill="D9D9D9" w:themeFill="background1" w:themeFillShade="D9"/>
            <w:vAlign w:val="center"/>
          </w:tcPr>
          <w:p w14:paraId="2F8132CF" w14:textId="2808355F" w:rsidR="00866182" w:rsidRPr="00052572" w:rsidRDefault="00866182" w:rsidP="00052572">
            <w:pPr>
              <w:pStyle w:val="Bodytext"/>
              <w:keepNext/>
              <w:spacing w:after="60"/>
              <w:jc w:val="right"/>
              <w:rPr>
                <w:rFonts w:cs="Arial"/>
                <w:bCs/>
                <w:color w:val="A6A6A6" w:themeColor="background1" w:themeShade="A6"/>
                <w:szCs w:val="22"/>
              </w:rPr>
            </w:pPr>
            <w:r w:rsidRPr="00052572">
              <w:rPr>
                <w:rFonts w:cs="Arial"/>
                <w:color w:val="424141"/>
                <w:szCs w:val="22"/>
              </w:rPr>
              <w:t> </w:t>
            </w:r>
          </w:p>
        </w:tc>
        <w:tc>
          <w:tcPr>
            <w:tcW w:w="414" w:type="pct"/>
            <w:gridSpan w:val="2"/>
            <w:shd w:val="clear" w:color="auto" w:fill="auto"/>
            <w:vAlign w:val="center"/>
          </w:tcPr>
          <w:p w14:paraId="0A86F87C" w14:textId="5DF4472A" w:rsidR="00866182" w:rsidRPr="00052572" w:rsidRDefault="00866182" w:rsidP="00052572">
            <w:pPr>
              <w:pStyle w:val="Bodytext"/>
              <w:keepNext/>
              <w:spacing w:after="60"/>
              <w:jc w:val="right"/>
              <w:rPr>
                <w:rFonts w:cs="Arial"/>
                <w:bCs/>
                <w:color w:val="A6A6A6" w:themeColor="background1" w:themeShade="A6"/>
                <w:szCs w:val="22"/>
              </w:rPr>
            </w:pPr>
            <w:r w:rsidRPr="00052572">
              <w:rPr>
                <w:rFonts w:cs="Arial"/>
                <w:color w:val="424141"/>
                <w:szCs w:val="22"/>
              </w:rPr>
              <w:t> </w:t>
            </w:r>
          </w:p>
        </w:tc>
        <w:tc>
          <w:tcPr>
            <w:tcW w:w="331" w:type="pct"/>
            <w:shd w:val="clear" w:color="auto" w:fill="D9D9D9" w:themeFill="background1" w:themeFillShade="D9"/>
            <w:vAlign w:val="center"/>
          </w:tcPr>
          <w:p w14:paraId="76F752E2" w14:textId="43C548DB" w:rsidR="00866182" w:rsidRPr="00052572" w:rsidRDefault="00866182" w:rsidP="00052572">
            <w:pPr>
              <w:pStyle w:val="Bodytext"/>
              <w:keepNext/>
              <w:spacing w:after="60"/>
              <w:jc w:val="right"/>
              <w:rPr>
                <w:rFonts w:cs="Arial"/>
                <w:bCs/>
                <w:color w:val="A6A6A6" w:themeColor="background1" w:themeShade="A6"/>
                <w:szCs w:val="22"/>
              </w:rPr>
            </w:pPr>
            <w:r w:rsidRPr="00052572">
              <w:rPr>
                <w:rFonts w:cs="Arial"/>
                <w:color w:val="424141"/>
                <w:szCs w:val="22"/>
              </w:rPr>
              <w:t>0</w:t>
            </w:r>
          </w:p>
        </w:tc>
        <w:tc>
          <w:tcPr>
            <w:tcW w:w="387" w:type="pct"/>
            <w:shd w:val="clear" w:color="auto" w:fill="auto"/>
            <w:vAlign w:val="center"/>
          </w:tcPr>
          <w:p w14:paraId="09339DE4" w14:textId="0288C218" w:rsidR="00866182" w:rsidRPr="00052572" w:rsidRDefault="00866182" w:rsidP="00052572">
            <w:pPr>
              <w:pStyle w:val="Bodytext"/>
              <w:keepNext/>
              <w:spacing w:after="60"/>
              <w:jc w:val="right"/>
              <w:rPr>
                <w:rFonts w:cs="Arial"/>
                <w:bCs/>
                <w:color w:val="A6A6A6" w:themeColor="background1" w:themeShade="A6"/>
                <w:szCs w:val="22"/>
              </w:rPr>
            </w:pPr>
            <w:r w:rsidRPr="00052572">
              <w:rPr>
                <w:rFonts w:cs="Arial"/>
                <w:color w:val="424141"/>
                <w:szCs w:val="22"/>
              </w:rPr>
              <w:t>9</w:t>
            </w:r>
          </w:p>
        </w:tc>
      </w:tr>
      <w:tr w:rsidR="00866182" w:rsidRPr="00123027" w14:paraId="1A2D9F23" w14:textId="77777777" w:rsidTr="00052572">
        <w:trPr>
          <w:cantSplit/>
        </w:trPr>
        <w:tc>
          <w:tcPr>
            <w:tcW w:w="640" w:type="pct"/>
            <w:gridSpan w:val="2"/>
            <w:shd w:val="clear" w:color="auto" w:fill="auto"/>
          </w:tcPr>
          <w:p w14:paraId="6A9BC950" w14:textId="77777777" w:rsidR="00866182" w:rsidRPr="00D408DC" w:rsidRDefault="00866182" w:rsidP="00866182">
            <w:pPr>
              <w:pStyle w:val="Bodytext"/>
              <w:spacing w:after="60"/>
              <w:rPr>
                <w:sz w:val="20"/>
                <w:szCs w:val="20"/>
              </w:rPr>
            </w:pPr>
            <w:r w:rsidRPr="00D408DC">
              <w:rPr>
                <w:sz w:val="20"/>
                <w:szCs w:val="20"/>
              </w:rPr>
              <w:t>Development Fund</w:t>
            </w:r>
          </w:p>
        </w:tc>
        <w:tc>
          <w:tcPr>
            <w:tcW w:w="399" w:type="pct"/>
            <w:shd w:val="clear" w:color="auto" w:fill="D9D9D9" w:themeFill="background1" w:themeFillShade="D9"/>
            <w:vAlign w:val="center"/>
          </w:tcPr>
          <w:p w14:paraId="7586E8F0" w14:textId="538ABF9A" w:rsidR="00866182" w:rsidRPr="00052572" w:rsidRDefault="00866182" w:rsidP="00052572">
            <w:pPr>
              <w:pStyle w:val="Bodytext"/>
              <w:keepNext/>
              <w:spacing w:after="60"/>
              <w:jc w:val="right"/>
              <w:rPr>
                <w:rFonts w:cs="Arial"/>
                <w:bCs/>
                <w:color w:val="A6A6A6" w:themeColor="background1" w:themeShade="A6"/>
                <w:szCs w:val="22"/>
              </w:rPr>
            </w:pPr>
            <w:r w:rsidRPr="00052572">
              <w:rPr>
                <w:rFonts w:cs="Arial"/>
                <w:color w:val="424141"/>
                <w:szCs w:val="22"/>
              </w:rPr>
              <w:t>358</w:t>
            </w:r>
          </w:p>
        </w:tc>
        <w:tc>
          <w:tcPr>
            <w:tcW w:w="347" w:type="pct"/>
            <w:gridSpan w:val="2"/>
            <w:shd w:val="clear" w:color="auto" w:fill="auto"/>
            <w:vAlign w:val="center"/>
          </w:tcPr>
          <w:p w14:paraId="53A32816" w14:textId="0CE54939" w:rsidR="00866182" w:rsidRPr="00052572" w:rsidRDefault="00866182" w:rsidP="00052572">
            <w:pPr>
              <w:pStyle w:val="Bodytext"/>
              <w:keepNext/>
              <w:spacing w:after="60"/>
              <w:jc w:val="right"/>
              <w:rPr>
                <w:rFonts w:cs="Arial"/>
                <w:bCs/>
                <w:color w:val="A6A6A6" w:themeColor="background1" w:themeShade="A6"/>
                <w:szCs w:val="22"/>
              </w:rPr>
            </w:pPr>
            <w:r w:rsidRPr="00052572">
              <w:rPr>
                <w:rFonts w:cs="Arial"/>
                <w:color w:val="A6A6A6"/>
                <w:szCs w:val="22"/>
              </w:rPr>
              <w:t>2,359</w:t>
            </w:r>
          </w:p>
        </w:tc>
        <w:tc>
          <w:tcPr>
            <w:tcW w:w="347" w:type="pct"/>
            <w:shd w:val="clear" w:color="auto" w:fill="D9D9D9" w:themeFill="background1" w:themeFillShade="D9"/>
            <w:vAlign w:val="center"/>
          </w:tcPr>
          <w:p w14:paraId="3545B939" w14:textId="3FF22059" w:rsidR="00866182" w:rsidRPr="00052572" w:rsidRDefault="00866182" w:rsidP="00052572">
            <w:pPr>
              <w:pStyle w:val="Bodytext"/>
              <w:keepNext/>
              <w:spacing w:after="60"/>
              <w:jc w:val="right"/>
              <w:rPr>
                <w:rFonts w:cs="Arial"/>
                <w:bCs/>
                <w:color w:val="A6A6A6" w:themeColor="background1" w:themeShade="A6"/>
                <w:szCs w:val="22"/>
              </w:rPr>
            </w:pPr>
            <w:r w:rsidRPr="00052572">
              <w:rPr>
                <w:rFonts w:cs="Arial"/>
                <w:color w:val="424141"/>
                <w:szCs w:val="22"/>
              </w:rPr>
              <w:t>172</w:t>
            </w:r>
          </w:p>
        </w:tc>
        <w:tc>
          <w:tcPr>
            <w:tcW w:w="351" w:type="pct"/>
            <w:shd w:val="clear" w:color="auto" w:fill="auto"/>
            <w:vAlign w:val="center"/>
          </w:tcPr>
          <w:p w14:paraId="4EDF8265" w14:textId="5336C4C1" w:rsidR="00866182" w:rsidRPr="00052572" w:rsidRDefault="00866182" w:rsidP="00052572">
            <w:pPr>
              <w:pStyle w:val="Bodytext"/>
              <w:keepNext/>
              <w:spacing w:after="60"/>
              <w:jc w:val="right"/>
              <w:rPr>
                <w:rFonts w:cs="Arial"/>
                <w:bCs/>
                <w:color w:val="A6A6A6" w:themeColor="background1" w:themeShade="A6"/>
                <w:szCs w:val="22"/>
              </w:rPr>
            </w:pPr>
            <w:r w:rsidRPr="00052572">
              <w:rPr>
                <w:rFonts w:cs="Arial"/>
                <w:color w:val="A6A6A6"/>
                <w:szCs w:val="22"/>
              </w:rPr>
              <w:t>7</w:t>
            </w:r>
          </w:p>
        </w:tc>
        <w:tc>
          <w:tcPr>
            <w:tcW w:w="347" w:type="pct"/>
            <w:shd w:val="clear" w:color="auto" w:fill="D9D9D9" w:themeFill="background1" w:themeFillShade="D9"/>
            <w:vAlign w:val="center"/>
          </w:tcPr>
          <w:p w14:paraId="6F9A297E" w14:textId="05277259" w:rsidR="00866182" w:rsidRPr="00052572" w:rsidRDefault="00866182" w:rsidP="00052572">
            <w:pPr>
              <w:pStyle w:val="Bodytext"/>
              <w:keepNext/>
              <w:spacing w:after="60"/>
              <w:jc w:val="right"/>
              <w:rPr>
                <w:rFonts w:cs="Arial"/>
                <w:bCs/>
                <w:color w:val="A6A6A6" w:themeColor="background1" w:themeShade="A6"/>
                <w:szCs w:val="22"/>
              </w:rPr>
            </w:pPr>
            <w:r w:rsidRPr="00052572">
              <w:rPr>
                <w:rFonts w:cs="Arial"/>
                <w:color w:val="424141"/>
                <w:szCs w:val="22"/>
              </w:rPr>
              <w:t>-</w:t>
            </w:r>
            <w:r w:rsidR="00521780">
              <w:rPr>
                <w:rFonts w:cs="Arial"/>
                <w:color w:val="424141"/>
                <w:szCs w:val="22"/>
              </w:rPr>
              <w:t>466</w:t>
            </w:r>
          </w:p>
        </w:tc>
        <w:tc>
          <w:tcPr>
            <w:tcW w:w="363" w:type="pct"/>
            <w:gridSpan w:val="2"/>
            <w:shd w:val="clear" w:color="auto" w:fill="auto"/>
            <w:vAlign w:val="center"/>
          </w:tcPr>
          <w:p w14:paraId="0836A796" w14:textId="30C52F7B" w:rsidR="00866182" w:rsidRPr="00052572" w:rsidRDefault="00866182" w:rsidP="00052572">
            <w:pPr>
              <w:pStyle w:val="Bodytext"/>
              <w:keepNext/>
              <w:spacing w:after="60"/>
              <w:jc w:val="right"/>
              <w:rPr>
                <w:rFonts w:cs="Arial"/>
                <w:bCs/>
                <w:color w:val="A6A6A6" w:themeColor="background1" w:themeShade="A6"/>
                <w:szCs w:val="22"/>
              </w:rPr>
            </w:pPr>
            <w:r w:rsidRPr="00052572">
              <w:rPr>
                <w:rFonts w:cs="Arial"/>
                <w:color w:val="A6A6A6"/>
                <w:szCs w:val="22"/>
              </w:rPr>
              <w:t>-2,133</w:t>
            </w:r>
          </w:p>
        </w:tc>
        <w:tc>
          <w:tcPr>
            <w:tcW w:w="330" w:type="pct"/>
            <w:shd w:val="clear" w:color="auto" w:fill="D9D9D9" w:themeFill="background1" w:themeFillShade="D9"/>
            <w:vAlign w:val="center"/>
          </w:tcPr>
          <w:p w14:paraId="33C7CCAE" w14:textId="121E911E" w:rsidR="00866182" w:rsidRPr="00052572" w:rsidRDefault="00866182" w:rsidP="00052572">
            <w:pPr>
              <w:pStyle w:val="Bodytext"/>
              <w:keepNext/>
              <w:spacing w:after="60"/>
              <w:jc w:val="right"/>
              <w:rPr>
                <w:rFonts w:cs="Arial"/>
                <w:bCs/>
                <w:color w:val="A6A6A6" w:themeColor="background1" w:themeShade="A6"/>
                <w:szCs w:val="22"/>
              </w:rPr>
            </w:pPr>
            <w:r w:rsidRPr="00052572">
              <w:rPr>
                <w:rFonts w:cs="Arial"/>
                <w:color w:val="424141"/>
                <w:szCs w:val="22"/>
              </w:rPr>
              <w:t> </w:t>
            </w:r>
          </w:p>
        </w:tc>
        <w:tc>
          <w:tcPr>
            <w:tcW w:w="414" w:type="pct"/>
            <w:gridSpan w:val="2"/>
            <w:shd w:val="clear" w:color="auto" w:fill="auto"/>
            <w:vAlign w:val="center"/>
          </w:tcPr>
          <w:p w14:paraId="130408FA" w14:textId="39B1D8B5" w:rsidR="00866182" w:rsidRPr="00052572" w:rsidRDefault="00866182" w:rsidP="00052572">
            <w:pPr>
              <w:pStyle w:val="Bodytext"/>
              <w:keepNext/>
              <w:spacing w:after="60"/>
              <w:jc w:val="right"/>
              <w:rPr>
                <w:rFonts w:cs="Arial"/>
                <w:bCs/>
                <w:color w:val="A6A6A6" w:themeColor="background1" w:themeShade="A6"/>
                <w:szCs w:val="22"/>
              </w:rPr>
            </w:pPr>
            <w:r w:rsidRPr="00052572">
              <w:rPr>
                <w:rFonts w:cs="Arial"/>
                <w:color w:val="424141"/>
                <w:szCs w:val="22"/>
              </w:rPr>
              <w:t> </w:t>
            </w:r>
          </w:p>
        </w:tc>
        <w:tc>
          <w:tcPr>
            <w:tcW w:w="330" w:type="pct"/>
            <w:shd w:val="clear" w:color="auto" w:fill="D9D9D9" w:themeFill="background1" w:themeFillShade="D9"/>
            <w:vAlign w:val="center"/>
          </w:tcPr>
          <w:p w14:paraId="1CD92987" w14:textId="76D3630E" w:rsidR="00866182" w:rsidRPr="00052572" w:rsidRDefault="00866182" w:rsidP="00052572">
            <w:pPr>
              <w:pStyle w:val="Bodytext"/>
              <w:keepNext/>
              <w:spacing w:after="60"/>
              <w:jc w:val="right"/>
              <w:rPr>
                <w:rFonts w:cs="Arial"/>
                <w:bCs/>
                <w:color w:val="A6A6A6" w:themeColor="background1" w:themeShade="A6"/>
                <w:szCs w:val="22"/>
              </w:rPr>
            </w:pPr>
            <w:r w:rsidRPr="00052572">
              <w:rPr>
                <w:rFonts w:cs="Arial"/>
                <w:color w:val="424141"/>
                <w:szCs w:val="22"/>
              </w:rPr>
              <w:t> </w:t>
            </w:r>
          </w:p>
        </w:tc>
        <w:tc>
          <w:tcPr>
            <w:tcW w:w="414" w:type="pct"/>
            <w:gridSpan w:val="2"/>
            <w:shd w:val="clear" w:color="auto" w:fill="auto"/>
            <w:vAlign w:val="center"/>
          </w:tcPr>
          <w:p w14:paraId="521AD730" w14:textId="17BB57EE" w:rsidR="00866182" w:rsidRPr="00052572" w:rsidRDefault="00866182" w:rsidP="00052572">
            <w:pPr>
              <w:pStyle w:val="Bodytext"/>
              <w:keepNext/>
              <w:spacing w:after="60"/>
              <w:jc w:val="right"/>
              <w:rPr>
                <w:rFonts w:cs="Arial"/>
                <w:bCs/>
                <w:color w:val="A6A6A6" w:themeColor="background1" w:themeShade="A6"/>
                <w:szCs w:val="22"/>
              </w:rPr>
            </w:pPr>
            <w:r w:rsidRPr="00052572">
              <w:rPr>
                <w:rFonts w:cs="Arial"/>
                <w:color w:val="424141"/>
                <w:szCs w:val="22"/>
              </w:rPr>
              <w:t>125</w:t>
            </w:r>
          </w:p>
        </w:tc>
        <w:tc>
          <w:tcPr>
            <w:tcW w:w="331" w:type="pct"/>
            <w:shd w:val="clear" w:color="auto" w:fill="D9D9D9" w:themeFill="background1" w:themeFillShade="D9"/>
            <w:vAlign w:val="center"/>
          </w:tcPr>
          <w:p w14:paraId="6ABE40A6" w14:textId="475460FC" w:rsidR="00866182" w:rsidRPr="00052572" w:rsidRDefault="00546CC2" w:rsidP="00052572">
            <w:pPr>
              <w:pStyle w:val="Bodytext"/>
              <w:keepNext/>
              <w:spacing w:after="60"/>
              <w:jc w:val="right"/>
              <w:rPr>
                <w:rFonts w:cs="Arial"/>
                <w:bCs/>
                <w:color w:val="A6A6A6" w:themeColor="background1" w:themeShade="A6"/>
                <w:szCs w:val="22"/>
              </w:rPr>
            </w:pPr>
            <w:r>
              <w:rPr>
                <w:rFonts w:cs="Arial"/>
                <w:color w:val="424141"/>
                <w:szCs w:val="22"/>
              </w:rPr>
              <w:t>6</w:t>
            </w:r>
            <w:r w:rsidRPr="00052572">
              <w:rPr>
                <w:rFonts w:cs="Arial"/>
                <w:color w:val="424141"/>
                <w:szCs w:val="22"/>
              </w:rPr>
              <w:t>4</w:t>
            </w:r>
          </w:p>
        </w:tc>
        <w:tc>
          <w:tcPr>
            <w:tcW w:w="387" w:type="pct"/>
            <w:shd w:val="clear" w:color="auto" w:fill="auto"/>
            <w:vAlign w:val="center"/>
          </w:tcPr>
          <w:p w14:paraId="1FC315F2" w14:textId="04477C56" w:rsidR="00866182" w:rsidRPr="00052572" w:rsidRDefault="00866182" w:rsidP="00052572">
            <w:pPr>
              <w:pStyle w:val="Bodytext"/>
              <w:keepNext/>
              <w:spacing w:after="60"/>
              <w:jc w:val="right"/>
              <w:rPr>
                <w:rFonts w:cs="Arial"/>
                <w:bCs/>
                <w:color w:val="A6A6A6" w:themeColor="background1" w:themeShade="A6"/>
                <w:szCs w:val="22"/>
              </w:rPr>
            </w:pPr>
            <w:r w:rsidRPr="00052572">
              <w:rPr>
                <w:rFonts w:cs="Arial"/>
                <w:color w:val="424141"/>
                <w:szCs w:val="22"/>
              </w:rPr>
              <w:t>358</w:t>
            </w:r>
          </w:p>
        </w:tc>
      </w:tr>
      <w:tr w:rsidR="00866182" w:rsidRPr="00123027" w14:paraId="29BC1F70" w14:textId="77777777" w:rsidTr="00052572">
        <w:trPr>
          <w:cantSplit/>
        </w:trPr>
        <w:tc>
          <w:tcPr>
            <w:tcW w:w="640" w:type="pct"/>
            <w:gridSpan w:val="2"/>
            <w:shd w:val="clear" w:color="auto" w:fill="auto"/>
          </w:tcPr>
          <w:p w14:paraId="17DE7576" w14:textId="1227C22A" w:rsidR="00866182" w:rsidRPr="00D408DC" w:rsidRDefault="00866182" w:rsidP="00866182">
            <w:pPr>
              <w:pStyle w:val="Bodytext"/>
              <w:spacing w:after="60"/>
              <w:rPr>
                <w:sz w:val="20"/>
                <w:szCs w:val="20"/>
              </w:rPr>
            </w:pPr>
            <w:r>
              <w:rPr>
                <w:sz w:val="20"/>
                <w:szCs w:val="20"/>
              </w:rPr>
              <w:t>HCFT fund</w:t>
            </w:r>
          </w:p>
        </w:tc>
        <w:tc>
          <w:tcPr>
            <w:tcW w:w="399" w:type="pct"/>
            <w:shd w:val="clear" w:color="auto" w:fill="D9D9D9" w:themeFill="background1" w:themeFillShade="D9"/>
            <w:vAlign w:val="center"/>
          </w:tcPr>
          <w:p w14:paraId="4C4CDCE6" w14:textId="4579AB7C" w:rsidR="00866182" w:rsidRPr="00052572" w:rsidRDefault="00866182" w:rsidP="00052572">
            <w:pPr>
              <w:pStyle w:val="Bodytext"/>
              <w:keepNext/>
              <w:spacing w:after="60"/>
              <w:jc w:val="right"/>
              <w:rPr>
                <w:rFonts w:cs="Arial"/>
                <w:bCs/>
                <w:color w:val="A6A6A6" w:themeColor="background1" w:themeShade="A6"/>
                <w:szCs w:val="22"/>
              </w:rPr>
            </w:pPr>
            <w:r w:rsidRPr="00052572">
              <w:rPr>
                <w:rFonts w:cs="Arial"/>
                <w:color w:val="424141"/>
                <w:szCs w:val="22"/>
              </w:rPr>
              <w:t>0</w:t>
            </w:r>
          </w:p>
        </w:tc>
        <w:tc>
          <w:tcPr>
            <w:tcW w:w="347" w:type="pct"/>
            <w:gridSpan w:val="2"/>
            <w:shd w:val="clear" w:color="auto" w:fill="auto"/>
            <w:vAlign w:val="center"/>
          </w:tcPr>
          <w:p w14:paraId="3BC343C3" w14:textId="7DCBD767" w:rsidR="00866182" w:rsidRPr="00052572" w:rsidRDefault="00866182" w:rsidP="00052572">
            <w:pPr>
              <w:pStyle w:val="Bodytext"/>
              <w:keepNext/>
              <w:spacing w:after="60"/>
              <w:jc w:val="right"/>
              <w:rPr>
                <w:rFonts w:cs="Arial"/>
                <w:bCs/>
                <w:color w:val="A6A6A6" w:themeColor="background1" w:themeShade="A6"/>
                <w:szCs w:val="22"/>
              </w:rPr>
            </w:pPr>
            <w:r w:rsidRPr="00052572">
              <w:rPr>
                <w:rFonts w:cs="Arial"/>
                <w:color w:val="A6A6A6"/>
                <w:szCs w:val="22"/>
              </w:rPr>
              <w:t> </w:t>
            </w:r>
          </w:p>
        </w:tc>
        <w:tc>
          <w:tcPr>
            <w:tcW w:w="347" w:type="pct"/>
            <w:shd w:val="clear" w:color="auto" w:fill="D9D9D9" w:themeFill="background1" w:themeFillShade="D9"/>
            <w:vAlign w:val="center"/>
          </w:tcPr>
          <w:p w14:paraId="4D0B725F" w14:textId="67B48F62" w:rsidR="00866182" w:rsidRPr="00052572" w:rsidRDefault="00866182" w:rsidP="00052572">
            <w:pPr>
              <w:pStyle w:val="Bodytext"/>
              <w:keepNext/>
              <w:spacing w:after="60"/>
              <w:jc w:val="right"/>
              <w:rPr>
                <w:rFonts w:cs="Arial"/>
                <w:bCs/>
                <w:color w:val="A6A6A6" w:themeColor="background1" w:themeShade="A6"/>
                <w:szCs w:val="22"/>
              </w:rPr>
            </w:pPr>
            <w:r w:rsidRPr="00052572">
              <w:rPr>
                <w:rFonts w:cs="Arial"/>
                <w:color w:val="424141"/>
                <w:szCs w:val="22"/>
              </w:rPr>
              <w:t>37</w:t>
            </w:r>
          </w:p>
        </w:tc>
        <w:tc>
          <w:tcPr>
            <w:tcW w:w="351" w:type="pct"/>
            <w:shd w:val="clear" w:color="auto" w:fill="auto"/>
            <w:vAlign w:val="center"/>
          </w:tcPr>
          <w:p w14:paraId="4B2F7AE1" w14:textId="14ED8C8E" w:rsidR="00866182" w:rsidRPr="00052572" w:rsidRDefault="00866182" w:rsidP="00052572">
            <w:pPr>
              <w:pStyle w:val="Bodytext"/>
              <w:keepNext/>
              <w:spacing w:after="60"/>
              <w:jc w:val="right"/>
              <w:rPr>
                <w:rFonts w:cs="Arial"/>
                <w:bCs/>
                <w:color w:val="A6A6A6" w:themeColor="background1" w:themeShade="A6"/>
                <w:szCs w:val="22"/>
              </w:rPr>
            </w:pPr>
            <w:r w:rsidRPr="00052572">
              <w:rPr>
                <w:rFonts w:cs="Arial"/>
                <w:color w:val="A6A6A6"/>
                <w:szCs w:val="22"/>
              </w:rPr>
              <w:t> </w:t>
            </w:r>
          </w:p>
        </w:tc>
        <w:tc>
          <w:tcPr>
            <w:tcW w:w="347" w:type="pct"/>
            <w:shd w:val="clear" w:color="auto" w:fill="D9D9D9" w:themeFill="background1" w:themeFillShade="D9"/>
            <w:vAlign w:val="center"/>
          </w:tcPr>
          <w:p w14:paraId="7789F7CE" w14:textId="7835D0EA" w:rsidR="00866182" w:rsidRPr="00052572" w:rsidRDefault="00866182" w:rsidP="00052572">
            <w:pPr>
              <w:pStyle w:val="Bodytext"/>
              <w:keepNext/>
              <w:spacing w:after="60"/>
              <w:jc w:val="right"/>
              <w:rPr>
                <w:rFonts w:cs="Arial"/>
                <w:bCs/>
                <w:color w:val="A6A6A6" w:themeColor="background1" w:themeShade="A6"/>
                <w:szCs w:val="22"/>
              </w:rPr>
            </w:pPr>
            <w:r w:rsidRPr="00052572">
              <w:rPr>
                <w:rFonts w:cs="Arial"/>
                <w:color w:val="424141"/>
                <w:szCs w:val="22"/>
              </w:rPr>
              <w:t>-26</w:t>
            </w:r>
          </w:p>
        </w:tc>
        <w:tc>
          <w:tcPr>
            <w:tcW w:w="363" w:type="pct"/>
            <w:gridSpan w:val="2"/>
            <w:shd w:val="clear" w:color="auto" w:fill="auto"/>
            <w:vAlign w:val="center"/>
          </w:tcPr>
          <w:p w14:paraId="02F49386" w14:textId="439C9D17" w:rsidR="00866182" w:rsidRPr="00052572" w:rsidRDefault="00866182" w:rsidP="00052572">
            <w:pPr>
              <w:pStyle w:val="Bodytext"/>
              <w:keepNext/>
              <w:spacing w:after="60"/>
              <w:jc w:val="right"/>
              <w:rPr>
                <w:rFonts w:cs="Arial"/>
                <w:bCs/>
                <w:color w:val="A6A6A6" w:themeColor="background1" w:themeShade="A6"/>
                <w:szCs w:val="22"/>
              </w:rPr>
            </w:pPr>
            <w:r w:rsidRPr="00052572">
              <w:rPr>
                <w:rFonts w:cs="Arial"/>
                <w:color w:val="A6A6A6"/>
                <w:szCs w:val="22"/>
              </w:rPr>
              <w:t> </w:t>
            </w:r>
          </w:p>
        </w:tc>
        <w:tc>
          <w:tcPr>
            <w:tcW w:w="330" w:type="pct"/>
            <w:shd w:val="clear" w:color="auto" w:fill="D9D9D9" w:themeFill="background1" w:themeFillShade="D9"/>
            <w:vAlign w:val="center"/>
          </w:tcPr>
          <w:p w14:paraId="7BCC2E8D" w14:textId="6239B306" w:rsidR="00866182" w:rsidRPr="00052572" w:rsidRDefault="00866182" w:rsidP="00052572">
            <w:pPr>
              <w:pStyle w:val="Bodytext"/>
              <w:keepNext/>
              <w:spacing w:after="60"/>
              <w:jc w:val="right"/>
              <w:rPr>
                <w:rFonts w:cs="Arial"/>
                <w:bCs/>
                <w:color w:val="A6A6A6" w:themeColor="background1" w:themeShade="A6"/>
                <w:szCs w:val="22"/>
              </w:rPr>
            </w:pPr>
            <w:r w:rsidRPr="00052572">
              <w:rPr>
                <w:rFonts w:cs="Arial"/>
                <w:color w:val="424141"/>
                <w:szCs w:val="22"/>
              </w:rPr>
              <w:t> </w:t>
            </w:r>
          </w:p>
        </w:tc>
        <w:tc>
          <w:tcPr>
            <w:tcW w:w="414" w:type="pct"/>
            <w:gridSpan w:val="2"/>
            <w:shd w:val="clear" w:color="auto" w:fill="auto"/>
            <w:vAlign w:val="center"/>
          </w:tcPr>
          <w:p w14:paraId="6322E43D" w14:textId="5A95D51B" w:rsidR="00866182" w:rsidRPr="00052572" w:rsidRDefault="00866182" w:rsidP="00052572">
            <w:pPr>
              <w:pStyle w:val="Bodytext"/>
              <w:keepNext/>
              <w:spacing w:after="60"/>
              <w:jc w:val="right"/>
              <w:rPr>
                <w:rFonts w:cs="Arial"/>
                <w:bCs/>
                <w:color w:val="A6A6A6" w:themeColor="background1" w:themeShade="A6"/>
                <w:szCs w:val="22"/>
              </w:rPr>
            </w:pPr>
            <w:r w:rsidRPr="00052572">
              <w:rPr>
                <w:rFonts w:cs="Arial"/>
                <w:color w:val="424141"/>
                <w:szCs w:val="22"/>
              </w:rPr>
              <w:t> </w:t>
            </w:r>
          </w:p>
        </w:tc>
        <w:tc>
          <w:tcPr>
            <w:tcW w:w="330" w:type="pct"/>
            <w:shd w:val="clear" w:color="auto" w:fill="D9D9D9" w:themeFill="background1" w:themeFillShade="D9"/>
            <w:vAlign w:val="center"/>
          </w:tcPr>
          <w:p w14:paraId="4C9AE33B" w14:textId="411D442D" w:rsidR="00866182" w:rsidRPr="00052572" w:rsidRDefault="00866182" w:rsidP="00052572">
            <w:pPr>
              <w:pStyle w:val="Bodytext"/>
              <w:keepNext/>
              <w:spacing w:after="60"/>
              <w:jc w:val="right"/>
              <w:rPr>
                <w:rFonts w:cs="Arial"/>
                <w:bCs/>
                <w:color w:val="A6A6A6" w:themeColor="background1" w:themeShade="A6"/>
                <w:szCs w:val="22"/>
              </w:rPr>
            </w:pPr>
            <w:r w:rsidRPr="00052572">
              <w:rPr>
                <w:rFonts w:cs="Arial"/>
                <w:color w:val="424141"/>
                <w:szCs w:val="22"/>
              </w:rPr>
              <w:t> </w:t>
            </w:r>
          </w:p>
        </w:tc>
        <w:tc>
          <w:tcPr>
            <w:tcW w:w="414" w:type="pct"/>
            <w:gridSpan w:val="2"/>
            <w:shd w:val="clear" w:color="auto" w:fill="auto"/>
            <w:vAlign w:val="center"/>
          </w:tcPr>
          <w:p w14:paraId="6D0C3DED" w14:textId="1ACD443F" w:rsidR="00866182" w:rsidRPr="00052572" w:rsidRDefault="00866182" w:rsidP="00052572">
            <w:pPr>
              <w:pStyle w:val="Bodytext"/>
              <w:keepNext/>
              <w:spacing w:after="60"/>
              <w:jc w:val="right"/>
              <w:rPr>
                <w:rFonts w:cs="Arial"/>
                <w:bCs/>
                <w:color w:val="A6A6A6" w:themeColor="background1" w:themeShade="A6"/>
                <w:szCs w:val="22"/>
              </w:rPr>
            </w:pPr>
            <w:r w:rsidRPr="00052572">
              <w:rPr>
                <w:rFonts w:cs="Arial"/>
                <w:color w:val="424141"/>
                <w:szCs w:val="22"/>
              </w:rPr>
              <w:t> </w:t>
            </w:r>
          </w:p>
        </w:tc>
        <w:tc>
          <w:tcPr>
            <w:tcW w:w="331" w:type="pct"/>
            <w:shd w:val="clear" w:color="auto" w:fill="D9D9D9" w:themeFill="background1" w:themeFillShade="D9"/>
            <w:vAlign w:val="center"/>
          </w:tcPr>
          <w:p w14:paraId="09B091BB" w14:textId="6A434D66" w:rsidR="00866182" w:rsidRPr="00052572" w:rsidRDefault="00866182" w:rsidP="00052572">
            <w:pPr>
              <w:pStyle w:val="Bodytext"/>
              <w:keepNext/>
              <w:spacing w:after="60"/>
              <w:jc w:val="right"/>
              <w:rPr>
                <w:rFonts w:cs="Arial"/>
                <w:bCs/>
                <w:color w:val="A6A6A6" w:themeColor="background1" w:themeShade="A6"/>
                <w:szCs w:val="22"/>
              </w:rPr>
            </w:pPr>
            <w:r w:rsidRPr="00052572">
              <w:rPr>
                <w:rFonts w:cs="Arial"/>
                <w:color w:val="424141"/>
                <w:szCs w:val="22"/>
              </w:rPr>
              <w:t>11</w:t>
            </w:r>
          </w:p>
        </w:tc>
        <w:tc>
          <w:tcPr>
            <w:tcW w:w="387" w:type="pct"/>
            <w:shd w:val="clear" w:color="auto" w:fill="auto"/>
            <w:vAlign w:val="center"/>
          </w:tcPr>
          <w:p w14:paraId="55D3644F" w14:textId="32FD3E49" w:rsidR="00866182" w:rsidRPr="00052572" w:rsidRDefault="00866182" w:rsidP="00052572">
            <w:pPr>
              <w:pStyle w:val="Bodytext"/>
              <w:keepNext/>
              <w:spacing w:after="60"/>
              <w:jc w:val="right"/>
              <w:rPr>
                <w:rFonts w:cs="Arial"/>
                <w:bCs/>
                <w:color w:val="A6A6A6" w:themeColor="background1" w:themeShade="A6"/>
                <w:szCs w:val="22"/>
              </w:rPr>
            </w:pPr>
            <w:r w:rsidRPr="00052572">
              <w:rPr>
                <w:rFonts w:cs="Arial"/>
                <w:color w:val="424141"/>
                <w:szCs w:val="22"/>
              </w:rPr>
              <w:t>0</w:t>
            </w:r>
          </w:p>
        </w:tc>
      </w:tr>
      <w:tr w:rsidR="00866182" w:rsidRPr="00123027" w14:paraId="080D25F0" w14:textId="77777777" w:rsidTr="00052572">
        <w:trPr>
          <w:cantSplit/>
        </w:trPr>
        <w:tc>
          <w:tcPr>
            <w:tcW w:w="640" w:type="pct"/>
            <w:gridSpan w:val="2"/>
            <w:shd w:val="clear" w:color="auto" w:fill="auto"/>
          </w:tcPr>
          <w:p w14:paraId="633EBA5C" w14:textId="77777777" w:rsidR="00866182" w:rsidRPr="00D408DC" w:rsidRDefault="00866182" w:rsidP="00866182">
            <w:pPr>
              <w:pStyle w:val="Bodytext"/>
              <w:spacing w:after="60"/>
              <w:rPr>
                <w:sz w:val="20"/>
                <w:szCs w:val="20"/>
              </w:rPr>
            </w:pPr>
            <w:r w:rsidRPr="00D408DC">
              <w:rPr>
                <w:sz w:val="20"/>
                <w:szCs w:val="20"/>
              </w:rPr>
              <w:t>Other designated funds</w:t>
            </w:r>
          </w:p>
        </w:tc>
        <w:tc>
          <w:tcPr>
            <w:tcW w:w="399" w:type="pct"/>
            <w:shd w:val="clear" w:color="auto" w:fill="D9D9D9" w:themeFill="background1" w:themeFillShade="D9"/>
            <w:vAlign w:val="center"/>
          </w:tcPr>
          <w:p w14:paraId="7880418C" w14:textId="384B5681" w:rsidR="00866182" w:rsidRPr="00052572" w:rsidRDefault="00866182" w:rsidP="00052572">
            <w:pPr>
              <w:pStyle w:val="Bodytext"/>
              <w:keepNext/>
              <w:spacing w:after="60"/>
              <w:jc w:val="right"/>
              <w:rPr>
                <w:rFonts w:cs="Arial"/>
                <w:bCs/>
                <w:color w:val="A6A6A6" w:themeColor="background1" w:themeShade="A6"/>
                <w:szCs w:val="22"/>
              </w:rPr>
            </w:pPr>
            <w:r w:rsidRPr="00052572">
              <w:rPr>
                <w:rFonts w:cs="Arial"/>
                <w:color w:val="424141"/>
                <w:szCs w:val="22"/>
              </w:rPr>
              <w:t>603</w:t>
            </w:r>
          </w:p>
        </w:tc>
        <w:tc>
          <w:tcPr>
            <w:tcW w:w="347" w:type="pct"/>
            <w:gridSpan w:val="2"/>
            <w:shd w:val="clear" w:color="auto" w:fill="auto"/>
            <w:vAlign w:val="center"/>
          </w:tcPr>
          <w:p w14:paraId="6B5F87CD" w14:textId="3D42607D" w:rsidR="00866182" w:rsidRPr="00052572" w:rsidRDefault="00866182" w:rsidP="00052572">
            <w:pPr>
              <w:pStyle w:val="Bodytext"/>
              <w:keepNext/>
              <w:spacing w:after="60"/>
              <w:jc w:val="right"/>
              <w:rPr>
                <w:rFonts w:cs="Arial"/>
                <w:bCs/>
                <w:color w:val="A6A6A6" w:themeColor="background1" w:themeShade="A6"/>
                <w:szCs w:val="22"/>
              </w:rPr>
            </w:pPr>
            <w:r w:rsidRPr="00052572">
              <w:rPr>
                <w:rFonts w:cs="Arial"/>
                <w:color w:val="A6A6A6"/>
                <w:szCs w:val="22"/>
              </w:rPr>
              <w:t>851</w:t>
            </w:r>
          </w:p>
        </w:tc>
        <w:tc>
          <w:tcPr>
            <w:tcW w:w="347" w:type="pct"/>
            <w:shd w:val="clear" w:color="auto" w:fill="D9D9D9" w:themeFill="background1" w:themeFillShade="D9"/>
            <w:vAlign w:val="center"/>
          </w:tcPr>
          <w:p w14:paraId="4AE9ABB3" w14:textId="367C7C25" w:rsidR="00866182" w:rsidRPr="00052572" w:rsidRDefault="00866182" w:rsidP="00052572">
            <w:pPr>
              <w:pStyle w:val="Bodytext"/>
              <w:keepNext/>
              <w:spacing w:after="60"/>
              <w:jc w:val="right"/>
              <w:rPr>
                <w:rFonts w:cs="Arial"/>
                <w:bCs/>
                <w:color w:val="A6A6A6" w:themeColor="background1" w:themeShade="A6"/>
                <w:szCs w:val="22"/>
              </w:rPr>
            </w:pPr>
            <w:r w:rsidRPr="00052572">
              <w:rPr>
                <w:rFonts w:cs="Arial"/>
                <w:color w:val="424141"/>
                <w:szCs w:val="22"/>
              </w:rPr>
              <w:t>203</w:t>
            </w:r>
          </w:p>
        </w:tc>
        <w:tc>
          <w:tcPr>
            <w:tcW w:w="351" w:type="pct"/>
            <w:shd w:val="clear" w:color="auto" w:fill="auto"/>
            <w:vAlign w:val="center"/>
          </w:tcPr>
          <w:p w14:paraId="016CBEFC" w14:textId="60B35E06" w:rsidR="00866182" w:rsidRPr="00052572" w:rsidRDefault="00866182" w:rsidP="00052572">
            <w:pPr>
              <w:pStyle w:val="Bodytext"/>
              <w:keepNext/>
              <w:spacing w:after="60"/>
              <w:jc w:val="right"/>
              <w:rPr>
                <w:rFonts w:cs="Arial"/>
                <w:bCs/>
                <w:color w:val="A6A6A6" w:themeColor="background1" w:themeShade="A6"/>
                <w:szCs w:val="22"/>
              </w:rPr>
            </w:pPr>
            <w:r w:rsidRPr="00052572">
              <w:rPr>
                <w:rFonts w:cs="Arial"/>
                <w:color w:val="A6A6A6"/>
                <w:szCs w:val="22"/>
              </w:rPr>
              <w:t>161</w:t>
            </w:r>
          </w:p>
        </w:tc>
        <w:tc>
          <w:tcPr>
            <w:tcW w:w="347" w:type="pct"/>
            <w:shd w:val="clear" w:color="auto" w:fill="D9D9D9" w:themeFill="background1" w:themeFillShade="D9"/>
            <w:vAlign w:val="center"/>
          </w:tcPr>
          <w:p w14:paraId="43E76B90" w14:textId="5C2AEA10" w:rsidR="00866182" w:rsidRPr="00052572" w:rsidRDefault="00866182" w:rsidP="00052572">
            <w:pPr>
              <w:pStyle w:val="Bodytext"/>
              <w:keepNext/>
              <w:spacing w:after="60"/>
              <w:jc w:val="right"/>
              <w:rPr>
                <w:rFonts w:cs="Arial"/>
                <w:bCs/>
                <w:color w:val="A6A6A6" w:themeColor="background1" w:themeShade="A6"/>
                <w:szCs w:val="22"/>
              </w:rPr>
            </w:pPr>
            <w:r w:rsidRPr="00052572">
              <w:rPr>
                <w:rFonts w:cs="Arial"/>
                <w:color w:val="424141"/>
                <w:szCs w:val="22"/>
              </w:rPr>
              <w:t>-160</w:t>
            </w:r>
          </w:p>
        </w:tc>
        <w:tc>
          <w:tcPr>
            <w:tcW w:w="363" w:type="pct"/>
            <w:gridSpan w:val="2"/>
            <w:shd w:val="clear" w:color="auto" w:fill="auto"/>
            <w:vAlign w:val="center"/>
          </w:tcPr>
          <w:p w14:paraId="20165EFD" w14:textId="75625880" w:rsidR="00866182" w:rsidRPr="00052572" w:rsidRDefault="00866182" w:rsidP="00052572">
            <w:pPr>
              <w:pStyle w:val="Bodytext"/>
              <w:keepNext/>
              <w:spacing w:after="60"/>
              <w:jc w:val="right"/>
              <w:rPr>
                <w:rFonts w:cs="Arial"/>
                <w:bCs/>
                <w:color w:val="A6A6A6" w:themeColor="background1" w:themeShade="A6"/>
                <w:szCs w:val="22"/>
              </w:rPr>
            </w:pPr>
            <w:r w:rsidRPr="00052572">
              <w:rPr>
                <w:rFonts w:cs="Arial"/>
                <w:color w:val="A6A6A6"/>
                <w:szCs w:val="22"/>
              </w:rPr>
              <w:t>-529</w:t>
            </w:r>
          </w:p>
        </w:tc>
        <w:tc>
          <w:tcPr>
            <w:tcW w:w="330" w:type="pct"/>
            <w:shd w:val="clear" w:color="auto" w:fill="D9D9D9" w:themeFill="background1" w:themeFillShade="D9"/>
            <w:vAlign w:val="center"/>
          </w:tcPr>
          <w:p w14:paraId="1546CF87" w14:textId="58EA2DE5" w:rsidR="00866182" w:rsidRPr="00052572" w:rsidRDefault="00866182" w:rsidP="00052572">
            <w:pPr>
              <w:pStyle w:val="Bodytext"/>
              <w:keepNext/>
              <w:spacing w:after="60"/>
              <w:jc w:val="right"/>
              <w:rPr>
                <w:rFonts w:cs="Arial"/>
                <w:bCs/>
                <w:color w:val="A6A6A6" w:themeColor="background1" w:themeShade="A6"/>
                <w:szCs w:val="22"/>
              </w:rPr>
            </w:pPr>
            <w:r w:rsidRPr="00052572">
              <w:rPr>
                <w:rFonts w:cs="Arial"/>
                <w:color w:val="424141"/>
                <w:szCs w:val="22"/>
              </w:rPr>
              <w:t>22</w:t>
            </w:r>
          </w:p>
        </w:tc>
        <w:tc>
          <w:tcPr>
            <w:tcW w:w="414" w:type="pct"/>
            <w:gridSpan w:val="2"/>
            <w:shd w:val="clear" w:color="auto" w:fill="auto"/>
            <w:vAlign w:val="center"/>
          </w:tcPr>
          <w:p w14:paraId="589429AF" w14:textId="2AEF8CB9" w:rsidR="00866182" w:rsidRPr="00052572" w:rsidRDefault="00866182" w:rsidP="00052572">
            <w:pPr>
              <w:pStyle w:val="Bodytext"/>
              <w:keepNext/>
              <w:spacing w:after="60"/>
              <w:jc w:val="right"/>
              <w:rPr>
                <w:rFonts w:cs="Arial"/>
                <w:bCs/>
                <w:color w:val="A6A6A6" w:themeColor="background1" w:themeShade="A6"/>
                <w:szCs w:val="22"/>
              </w:rPr>
            </w:pPr>
            <w:r w:rsidRPr="00052572">
              <w:rPr>
                <w:rFonts w:cs="Arial"/>
                <w:color w:val="A6A6A6"/>
                <w:szCs w:val="22"/>
              </w:rPr>
              <w:t>31</w:t>
            </w:r>
          </w:p>
        </w:tc>
        <w:tc>
          <w:tcPr>
            <w:tcW w:w="330" w:type="pct"/>
            <w:shd w:val="clear" w:color="auto" w:fill="D9D9D9" w:themeFill="background1" w:themeFillShade="D9"/>
            <w:vAlign w:val="center"/>
          </w:tcPr>
          <w:p w14:paraId="47100EE4" w14:textId="2C7A1EBB" w:rsidR="00866182" w:rsidRPr="00052572" w:rsidRDefault="00866182" w:rsidP="00052572">
            <w:pPr>
              <w:pStyle w:val="Bodytext"/>
              <w:keepNext/>
              <w:spacing w:after="60"/>
              <w:jc w:val="right"/>
              <w:rPr>
                <w:rFonts w:cs="Arial"/>
                <w:bCs/>
                <w:color w:val="A6A6A6" w:themeColor="background1" w:themeShade="A6"/>
                <w:szCs w:val="22"/>
              </w:rPr>
            </w:pPr>
            <w:r w:rsidRPr="00052572">
              <w:rPr>
                <w:rFonts w:cs="Arial"/>
                <w:color w:val="424141"/>
                <w:szCs w:val="22"/>
              </w:rPr>
              <w:t> </w:t>
            </w:r>
          </w:p>
        </w:tc>
        <w:tc>
          <w:tcPr>
            <w:tcW w:w="414" w:type="pct"/>
            <w:gridSpan w:val="2"/>
            <w:shd w:val="clear" w:color="auto" w:fill="auto"/>
            <w:vAlign w:val="center"/>
          </w:tcPr>
          <w:p w14:paraId="4E182562" w14:textId="42F66994" w:rsidR="00866182" w:rsidRPr="00052572" w:rsidRDefault="00866182" w:rsidP="00052572">
            <w:pPr>
              <w:pStyle w:val="Bodytext"/>
              <w:keepNext/>
              <w:spacing w:after="60"/>
              <w:jc w:val="right"/>
              <w:rPr>
                <w:rFonts w:cs="Arial"/>
                <w:bCs/>
                <w:color w:val="A6A6A6" w:themeColor="background1" w:themeShade="A6"/>
                <w:szCs w:val="22"/>
              </w:rPr>
            </w:pPr>
            <w:r w:rsidRPr="00052572">
              <w:rPr>
                <w:rFonts w:cs="Arial"/>
                <w:color w:val="424141"/>
                <w:szCs w:val="22"/>
              </w:rPr>
              <w:t>89</w:t>
            </w:r>
          </w:p>
        </w:tc>
        <w:tc>
          <w:tcPr>
            <w:tcW w:w="331" w:type="pct"/>
            <w:shd w:val="clear" w:color="auto" w:fill="D9D9D9" w:themeFill="background1" w:themeFillShade="D9"/>
            <w:vAlign w:val="center"/>
          </w:tcPr>
          <w:p w14:paraId="0F5EF14D" w14:textId="023D1A7A" w:rsidR="00866182" w:rsidRPr="00052572" w:rsidRDefault="00866182" w:rsidP="00052572">
            <w:pPr>
              <w:pStyle w:val="Bodytext"/>
              <w:keepNext/>
              <w:spacing w:after="60"/>
              <w:jc w:val="right"/>
              <w:rPr>
                <w:rFonts w:cs="Arial"/>
                <w:bCs/>
                <w:color w:val="A6A6A6" w:themeColor="background1" w:themeShade="A6"/>
                <w:szCs w:val="22"/>
              </w:rPr>
            </w:pPr>
            <w:r w:rsidRPr="00052572">
              <w:rPr>
                <w:rFonts w:cs="Arial"/>
                <w:color w:val="424141"/>
                <w:szCs w:val="22"/>
              </w:rPr>
              <w:t>668</w:t>
            </w:r>
          </w:p>
        </w:tc>
        <w:tc>
          <w:tcPr>
            <w:tcW w:w="387" w:type="pct"/>
            <w:shd w:val="clear" w:color="auto" w:fill="auto"/>
            <w:vAlign w:val="center"/>
          </w:tcPr>
          <w:p w14:paraId="485BE280" w14:textId="7D2D6746" w:rsidR="00866182" w:rsidRPr="00052572" w:rsidRDefault="00866182" w:rsidP="00052572">
            <w:pPr>
              <w:pStyle w:val="Bodytext"/>
              <w:keepNext/>
              <w:spacing w:after="60"/>
              <w:jc w:val="right"/>
              <w:rPr>
                <w:rFonts w:cs="Arial"/>
                <w:bCs/>
                <w:color w:val="A6A6A6" w:themeColor="background1" w:themeShade="A6"/>
                <w:szCs w:val="22"/>
              </w:rPr>
            </w:pPr>
            <w:r w:rsidRPr="00052572">
              <w:rPr>
                <w:rFonts w:cs="Arial"/>
                <w:color w:val="424141"/>
                <w:szCs w:val="22"/>
              </w:rPr>
              <w:t>603</w:t>
            </w:r>
          </w:p>
        </w:tc>
      </w:tr>
      <w:tr w:rsidR="00837B61" w:rsidRPr="00123027" w14:paraId="4C046535" w14:textId="77777777" w:rsidTr="00300966">
        <w:trPr>
          <w:cantSplit/>
        </w:trPr>
        <w:tc>
          <w:tcPr>
            <w:tcW w:w="640" w:type="pct"/>
            <w:gridSpan w:val="2"/>
            <w:shd w:val="clear" w:color="auto" w:fill="auto"/>
          </w:tcPr>
          <w:p w14:paraId="7B752F11" w14:textId="77777777" w:rsidR="00866182" w:rsidRPr="00D408DC" w:rsidRDefault="00866182" w:rsidP="00866182">
            <w:pPr>
              <w:pStyle w:val="Bodytext"/>
              <w:spacing w:after="60"/>
              <w:rPr>
                <w:sz w:val="20"/>
                <w:szCs w:val="20"/>
              </w:rPr>
            </w:pPr>
            <w:r w:rsidRPr="00D408DC">
              <w:rPr>
                <w:sz w:val="20"/>
                <w:szCs w:val="20"/>
              </w:rPr>
              <w:t>General fund</w:t>
            </w:r>
          </w:p>
        </w:tc>
        <w:tc>
          <w:tcPr>
            <w:tcW w:w="399" w:type="pct"/>
            <w:tcBorders>
              <w:bottom w:val="single" w:sz="4" w:space="0" w:color="auto"/>
            </w:tcBorders>
            <w:shd w:val="clear" w:color="auto" w:fill="D9D9D9" w:themeFill="background1" w:themeFillShade="D9"/>
            <w:vAlign w:val="center"/>
          </w:tcPr>
          <w:p w14:paraId="599B98EF" w14:textId="6686590B" w:rsidR="00866182" w:rsidRPr="00052572" w:rsidRDefault="0003388E" w:rsidP="00052572">
            <w:pPr>
              <w:pStyle w:val="Bodytext"/>
              <w:keepNext/>
              <w:spacing w:after="60"/>
              <w:jc w:val="right"/>
              <w:rPr>
                <w:rFonts w:cs="Arial"/>
                <w:bCs/>
                <w:color w:val="A6A6A6" w:themeColor="background1" w:themeShade="A6"/>
                <w:szCs w:val="22"/>
              </w:rPr>
            </w:pPr>
            <w:r>
              <w:rPr>
                <w:rFonts w:cs="Arial"/>
                <w:color w:val="424141"/>
                <w:szCs w:val="22"/>
              </w:rPr>
              <w:t>3</w:t>
            </w:r>
            <w:r w:rsidR="00866182" w:rsidRPr="00052572">
              <w:rPr>
                <w:rFonts w:cs="Arial"/>
                <w:color w:val="424141"/>
                <w:szCs w:val="22"/>
              </w:rPr>
              <w:t xml:space="preserve">,083 </w:t>
            </w:r>
          </w:p>
        </w:tc>
        <w:tc>
          <w:tcPr>
            <w:tcW w:w="347" w:type="pct"/>
            <w:gridSpan w:val="2"/>
            <w:tcBorders>
              <w:bottom w:val="single" w:sz="4" w:space="0" w:color="auto"/>
            </w:tcBorders>
            <w:shd w:val="clear" w:color="auto" w:fill="auto"/>
            <w:vAlign w:val="center"/>
          </w:tcPr>
          <w:p w14:paraId="4146E91B" w14:textId="15D57890" w:rsidR="00866182" w:rsidRPr="00052572" w:rsidRDefault="00866182" w:rsidP="00052572">
            <w:pPr>
              <w:pStyle w:val="Bodytext"/>
              <w:keepNext/>
              <w:spacing w:after="60"/>
              <w:jc w:val="right"/>
              <w:rPr>
                <w:rFonts w:cs="Arial"/>
                <w:bCs/>
                <w:color w:val="A6A6A6" w:themeColor="background1" w:themeShade="A6"/>
                <w:szCs w:val="22"/>
              </w:rPr>
            </w:pPr>
            <w:r w:rsidRPr="00052572">
              <w:rPr>
                <w:rFonts w:cs="Arial"/>
                <w:color w:val="A6A6A6"/>
                <w:szCs w:val="22"/>
              </w:rPr>
              <w:t>2,135</w:t>
            </w:r>
          </w:p>
        </w:tc>
        <w:tc>
          <w:tcPr>
            <w:tcW w:w="347" w:type="pct"/>
            <w:tcBorders>
              <w:bottom w:val="single" w:sz="4" w:space="0" w:color="auto"/>
            </w:tcBorders>
            <w:shd w:val="clear" w:color="auto" w:fill="D9D9D9" w:themeFill="background1" w:themeFillShade="D9"/>
            <w:vAlign w:val="center"/>
          </w:tcPr>
          <w:p w14:paraId="58699A4E" w14:textId="6158634A" w:rsidR="00866182" w:rsidRPr="00052572" w:rsidRDefault="00866182" w:rsidP="00052572">
            <w:pPr>
              <w:pStyle w:val="Bodytext"/>
              <w:keepNext/>
              <w:spacing w:after="60"/>
              <w:jc w:val="right"/>
              <w:rPr>
                <w:rFonts w:cs="Arial"/>
                <w:bCs/>
                <w:color w:val="A6A6A6" w:themeColor="background1" w:themeShade="A6"/>
                <w:szCs w:val="22"/>
              </w:rPr>
            </w:pPr>
            <w:r w:rsidRPr="00052572">
              <w:rPr>
                <w:rFonts w:cs="Arial"/>
                <w:color w:val="424141"/>
                <w:szCs w:val="22"/>
              </w:rPr>
              <w:t>5</w:t>
            </w:r>
            <w:r w:rsidR="009B2431">
              <w:rPr>
                <w:rFonts w:cs="Arial"/>
                <w:color w:val="424141"/>
                <w:szCs w:val="22"/>
              </w:rPr>
              <w:t>0</w:t>
            </w:r>
            <w:r w:rsidRPr="00052572">
              <w:rPr>
                <w:rFonts w:cs="Arial"/>
                <w:color w:val="424141"/>
                <w:szCs w:val="22"/>
              </w:rPr>
              <w:t>7</w:t>
            </w:r>
          </w:p>
        </w:tc>
        <w:tc>
          <w:tcPr>
            <w:tcW w:w="351" w:type="pct"/>
            <w:tcBorders>
              <w:bottom w:val="single" w:sz="4" w:space="0" w:color="auto"/>
            </w:tcBorders>
            <w:shd w:val="clear" w:color="auto" w:fill="auto"/>
            <w:vAlign w:val="center"/>
          </w:tcPr>
          <w:p w14:paraId="665198F2" w14:textId="56DFD193" w:rsidR="00866182" w:rsidRPr="00052572" w:rsidRDefault="00866182" w:rsidP="00052572">
            <w:pPr>
              <w:pStyle w:val="Bodytext"/>
              <w:keepNext/>
              <w:spacing w:after="60"/>
              <w:jc w:val="right"/>
              <w:rPr>
                <w:rFonts w:cs="Arial"/>
                <w:bCs/>
                <w:color w:val="A6A6A6" w:themeColor="background1" w:themeShade="A6"/>
                <w:szCs w:val="22"/>
              </w:rPr>
            </w:pPr>
            <w:r w:rsidRPr="00052572">
              <w:rPr>
                <w:rFonts w:cs="Arial"/>
                <w:color w:val="A6A6A6"/>
                <w:szCs w:val="22"/>
              </w:rPr>
              <w:t>678</w:t>
            </w:r>
          </w:p>
        </w:tc>
        <w:tc>
          <w:tcPr>
            <w:tcW w:w="347" w:type="pct"/>
            <w:tcBorders>
              <w:bottom w:val="single" w:sz="4" w:space="0" w:color="auto"/>
            </w:tcBorders>
            <w:shd w:val="clear" w:color="auto" w:fill="D9D9D9" w:themeFill="background1" w:themeFillShade="D9"/>
            <w:vAlign w:val="center"/>
          </w:tcPr>
          <w:p w14:paraId="63656A5B" w14:textId="42B068D6" w:rsidR="00866182" w:rsidRPr="00052572" w:rsidRDefault="00866182" w:rsidP="00052572">
            <w:pPr>
              <w:pStyle w:val="Bodytext"/>
              <w:keepNext/>
              <w:spacing w:after="60"/>
              <w:jc w:val="right"/>
              <w:rPr>
                <w:rFonts w:cs="Arial"/>
                <w:bCs/>
                <w:color w:val="A6A6A6" w:themeColor="background1" w:themeShade="A6"/>
                <w:szCs w:val="22"/>
              </w:rPr>
            </w:pPr>
            <w:r w:rsidRPr="00052572">
              <w:rPr>
                <w:rFonts w:cs="Arial"/>
                <w:color w:val="424141"/>
                <w:szCs w:val="22"/>
              </w:rPr>
              <w:t>-</w:t>
            </w:r>
            <w:r w:rsidR="00DE710C">
              <w:rPr>
                <w:rFonts w:cs="Arial"/>
                <w:color w:val="424141"/>
                <w:szCs w:val="22"/>
              </w:rPr>
              <w:t>2</w:t>
            </w:r>
            <w:r w:rsidRPr="00052572">
              <w:rPr>
                <w:rFonts w:cs="Arial"/>
                <w:color w:val="424141"/>
                <w:szCs w:val="22"/>
              </w:rPr>
              <w:t>,3</w:t>
            </w:r>
            <w:r w:rsidR="00DE710C">
              <w:rPr>
                <w:rFonts w:cs="Arial"/>
                <w:color w:val="424141"/>
                <w:szCs w:val="22"/>
              </w:rPr>
              <w:t>9</w:t>
            </w:r>
            <w:r w:rsidRPr="00052572">
              <w:rPr>
                <w:rFonts w:cs="Arial"/>
                <w:color w:val="424141"/>
                <w:szCs w:val="22"/>
              </w:rPr>
              <w:t>7</w:t>
            </w:r>
          </w:p>
        </w:tc>
        <w:tc>
          <w:tcPr>
            <w:tcW w:w="363" w:type="pct"/>
            <w:gridSpan w:val="2"/>
            <w:tcBorders>
              <w:bottom w:val="single" w:sz="4" w:space="0" w:color="auto"/>
            </w:tcBorders>
            <w:shd w:val="clear" w:color="auto" w:fill="auto"/>
            <w:vAlign w:val="center"/>
          </w:tcPr>
          <w:p w14:paraId="44AE1B38" w14:textId="08497A04" w:rsidR="00866182" w:rsidRPr="00052572" w:rsidRDefault="00866182" w:rsidP="00052572">
            <w:pPr>
              <w:pStyle w:val="Bodytext"/>
              <w:keepNext/>
              <w:spacing w:after="60"/>
              <w:jc w:val="right"/>
              <w:rPr>
                <w:rFonts w:cs="Arial"/>
                <w:bCs/>
                <w:color w:val="A6A6A6" w:themeColor="background1" w:themeShade="A6"/>
                <w:szCs w:val="22"/>
              </w:rPr>
            </w:pPr>
            <w:r w:rsidRPr="00052572">
              <w:rPr>
                <w:rFonts w:cs="Arial"/>
                <w:color w:val="A6A6A6"/>
                <w:szCs w:val="22"/>
              </w:rPr>
              <w:t>-1,789</w:t>
            </w:r>
          </w:p>
        </w:tc>
        <w:tc>
          <w:tcPr>
            <w:tcW w:w="330" w:type="pct"/>
            <w:tcBorders>
              <w:bottom w:val="single" w:sz="4" w:space="0" w:color="auto"/>
            </w:tcBorders>
            <w:shd w:val="clear" w:color="auto" w:fill="D9D9D9" w:themeFill="background1" w:themeFillShade="D9"/>
            <w:vAlign w:val="center"/>
          </w:tcPr>
          <w:p w14:paraId="66571E57" w14:textId="05DA9B1D" w:rsidR="00866182" w:rsidRPr="00052572" w:rsidRDefault="00866182" w:rsidP="00052572">
            <w:pPr>
              <w:pStyle w:val="Bodytext"/>
              <w:keepNext/>
              <w:spacing w:after="60"/>
              <w:jc w:val="right"/>
              <w:rPr>
                <w:rFonts w:cs="Arial"/>
                <w:bCs/>
                <w:color w:val="A6A6A6" w:themeColor="background1" w:themeShade="A6"/>
                <w:szCs w:val="22"/>
              </w:rPr>
            </w:pPr>
            <w:r w:rsidRPr="00052572">
              <w:rPr>
                <w:rFonts w:cs="Arial"/>
                <w:color w:val="424141"/>
                <w:szCs w:val="22"/>
              </w:rPr>
              <w:t> </w:t>
            </w:r>
          </w:p>
        </w:tc>
        <w:tc>
          <w:tcPr>
            <w:tcW w:w="414" w:type="pct"/>
            <w:gridSpan w:val="2"/>
            <w:tcBorders>
              <w:bottom w:val="single" w:sz="4" w:space="0" w:color="auto"/>
            </w:tcBorders>
            <w:shd w:val="clear" w:color="auto" w:fill="auto"/>
            <w:vAlign w:val="center"/>
          </w:tcPr>
          <w:p w14:paraId="3733D822" w14:textId="2E7D48BB" w:rsidR="00866182" w:rsidRPr="00052572" w:rsidRDefault="00866182" w:rsidP="00052572">
            <w:pPr>
              <w:pStyle w:val="Bodytext"/>
              <w:keepNext/>
              <w:spacing w:after="60"/>
              <w:jc w:val="right"/>
              <w:rPr>
                <w:rFonts w:cs="Arial"/>
                <w:bCs/>
                <w:color w:val="A6A6A6" w:themeColor="background1" w:themeShade="A6"/>
                <w:szCs w:val="22"/>
              </w:rPr>
            </w:pPr>
            <w:r w:rsidRPr="00052572">
              <w:rPr>
                <w:rFonts w:cs="Arial"/>
                <w:color w:val="424141"/>
                <w:szCs w:val="22"/>
              </w:rPr>
              <w:t>300</w:t>
            </w:r>
          </w:p>
        </w:tc>
        <w:tc>
          <w:tcPr>
            <w:tcW w:w="330" w:type="pct"/>
            <w:tcBorders>
              <w:bottom w:val="single" w:sz="4" w:space="0" w:color="auto"/>
            </w:tcBorders>
            <w:shd w:val="clear" w:color="auto" w:fill="D9D9D9" w:themeFill="background1" w:themeFillShade="D9"/>
            <w:vAlign w:val="center"/>
          </w:tcPr>
          <w:p w14:paraId="5AF752BD" w14:textId="175BF352" w:rsidR="00866182" w:rsidRPr="00052572" w:rsidRDefault="00866182" w:rsidP="00052572">
            <w:pPr>
              <w:pStyle w:val="Bodytext"/>
              <w:keepNext/>
              <w:spacing w:after="60"/>
              <w:jc w:val="right"/>
              <w:rPr>
                <w:rFonts w:cs="Arial"/>
                <w:bCs/>
                <w:color w:val="A6A6A6" w:themeColor="background1" w:themeShade="A6"/>
                <w:szCs w:val="22"/>
              </w:rPr>
            </w:pPr>
            <w:r w:rsidRPr="00052572">
              <w:rPr>
                <w:rFonts w:cs="Arial"/>
                <w:color w:val="424141"/>
                <w:szCs w:val="22"/>
              </w:rPr>
              <w:t>-439</w:t>
            </w:r>
          </w:p>
        </w:tc>
        <w:tc>
          <w:tcPr>
            <w:tcW w:w="414" w:type="pct"/>
            <w:gridSpan w:val="2"/>
            <w:tcBorders>
              <w:bottom w:val="single" w:sz="4" w:space="0" w:color="auto"/>
            </w:tcBorders>
            <w:shd w:val="clear" w:color="auto" w:fill="auto"/>
            <w:vAlign w:val="center"/>
          </w:tcPr>
          <w:p w14:paraId="5D2DF3F3" w14:textId="3D924BE8" w:rsidR="00866182" w:rsidRPr="00052572" w:rsidRDefault="00866182" w:rsidP="00052572">
            <w:pPr>
              <w:pStyle w:val="Bodytext"/>
              <w:keepNext/>
              <w:spacing w:after="60"/>
              <w:jc w:val="right"/>
              <w:rPr>
                <w:rFonts w:cs="Arial"/>
                <w:bCs/>
                <w:color w:val="A6A6A6" w:themeColor="background1" w:themeShade="A6"/>
                <w:szCs w:val="22"/>
              </w:rPr>
            </w:pPr>
            <w:r w:rsidRPr="00052572">
              <w:rPr>
                <w:rFonts w:cs="Arial"/>
                <w:color w:val="A6A6A6"/>
                <w:szCs w:val="22"/>
              </w:rPr>
              <w:t>759</w:t>
            </w:r>
          </w:p>
        </w:tc>
        <w:tc>
          <w:tcPr>
            <w:tcW w:w="331" w:type="pct"/>
            <w:tcBorders>
              <w:bottom w:val="single" w:sz="4" w:space="0" w:color="auto"/>
            </w:tcBorders>
            <w:shd w:val="clear" w:color="auto" w:fill="DEDDDD" w:themeFill="text1" w:themeFillTint="33"/>
            <w:vAlign w:val="center"/>
          </w:tcPr>
          <w:p w14:paraId="46F4A292" w14:textId="31E848F3" w:rsidR="00866182" w:rsidRPr="00052572" w:rsidRDefault="0003388E" w:rsidP="00052572">
            <w:pPr>
              <w:pStyle w:val="Bodytext"/>
              <w:keepNext/>
              <w:spacing w:after="60"/>
              <w:jc w:val="right"/>
              <w:rPr>
                <w:rFonts w:cs="Arial"/>
                <w:bCs/>
                <w:color w:val="A6A6A6" w:themeColor="background1" w:themeShade="A6"/>
                <w:szCs w:val="22"/>
              </w:rPr>
            </w:pPr>
            <w:r>
              <w:rPr>
                <w:rFonts w:cs="Arial"/>
                <w:color w:val="424141"/>
                <w:szCs w:val="22"/>
              </w:rPr>
              <w:t>754</w:t>
            </w:r>
          </w:p>
        </w:tc>
        <w:tc>
          <w:tcPr>
            <w:tcW w:w="387" w:type="pct"/>
            <w:tcBorders>
              <w:bottom w:val="single" w:sz="4" w:space="0" w:color="auto"/>
            </w:tcBorders>
            <w:shd w:val="clear" w:color="auto" w:fill="auto"/>
            <w:vAlign w:val="center"/>
          </w:tcPr>
          <w:p w14:paraId="320D8718" w14:textId="37437017" w:rsidR="00866182" w:rsidRPr="00052572" w:rsidRDefault="0003388E" w:rsidP="00052572">
            <w:pPr>
              <w:pStyle w:val="Bodytext"/>
              <w:keepNext/>
              <w:spacing w:after="60"/>
              <w:jc w:val="right"/>
              <w:rPr>
                <w:rFonts w:cs="Arial"/>
                <w:bCs/>
                <w:color w:val="A6A6A6" w:themeColor="background1" w:themeShade="A6"/>
                <w:szCs w:val="22"/>
              </w:rPr>
            </w:pPr>
            <w:r>
              <w:rPr>
                <w:rFonts w:cs="Arial"/>
                <w:color w:val="424141"/>
                <w:szCs w:val="22"/>
              </w:rPr>
              <w:t>3</w:t>
            </w:r>
            <w:r w:rsidR="00866182" w:rsidRPr="00052572">
              <w:rPr>
                <w:rFonts w:cs="Arial"/>
                <w:color w:val="424141"/>
                <w:szCs w:val="22"/>
              </w:rPr>
              <w:t xml:space="preserve">,083 </w:t>
            </w:r>
          </w:p>
        </w:tc>
      </w:tr>
      <w:tr w:rsidR="00837B61" w:rsidRPr="00123027" w14:paraId="6DC67B3B" w14:textId="77777777" w:rsidTr="005E01BD">
        <w:trPr>
          <w:cantSplit/>
          <w:trHeight w:val="256"/>
        </w:trPr>
        <w:tc>
          <w:tcPr>
            <w:tcW w:w="640" w:type="pct"/>
            <w:gridSpan w:val="2"/>
            <w:shd w:val="clear" w:color="auto" w:fill="auto"/>
          </w:tcPr>
          <w:p w14:paraId="5FAB72A6" w14:textId="77777777" w:rsidR="00866182" w:rsidRPr="00D408DC" w:rsidRDefault="00866182" w:rsidP="00866182">
            <w:pPr>
              <w:pStyle w:val="Bodytext"/>
              <w:spacing w:after="60"/>
              <w:rPr>
                <w:b/>
                <w:bCs/>
                <w:sz w:val="20"/>
                <w:szCs w:val="20"/>
              </w:rPr>
            </w:pPr>
            <w:r w:rsidRPr="00D408DC">
              <w:rPr>
                <w:b/>
                <w:bCs/>
                <w:sz w:val="20"/>
                <w:szCs w:val="20"/>
              </w:rPr>
              <w:t>Total</w:t>
            </w:r>
          </w:p>
        </w:tc>
        <w:tc>
          <w:tcPr>
            <w:tcW w:w="399" w:type="pct"/>
            <w:tcBorders>
              <w:top w:val="single" w:sz="4" w:space="0" w:color="auto"/>
              <w:bottom w:val="double" w:sz="4" w:space="0" w:color="auto"/>
            </w:tcBorders>
            <w:shd w:val="clear" w:color="auto" w:fill="D9D9D9" w:themeFill="background1" w:themeFillShade="D9"/>
            <w:vAlign w:val="center"/>
          </w:tcPr>
          <w:p w14:paraId="4F5A46AF" w14:textId="48741CDE" w:rsidR="00866182" w:rsidRPr="00052572" w:rsidRDefault="0003388E" w:rsidP="00052572">
            <w:pPr>
              <w:pStyle w:val="Bodytext"/>
              <w:keepNext/>
              <w:spacing w:after="60"/>
              <w:jc w:val="right"/>
              <w:rPr>
                <w:rFonts w:cs="Arial"/>
                <w:bCs/>
                <w:color w:val="A6A6A6" w:themeColor="background1" w:themeShade="A6"/>
                <w:szCs w:val="22"/>
              </w:rPr>
            </w:pPr>
            <w:r>
              <w:rPr>
                <w:rFonts w:cs="Arial"/>
                <w:b/>
                <w:bCs/>
                <w:color w:val="424141"/>
                <w:szCs w:val="22"/>
              </w:rPr>
              <w:t>4</w:t>
            </w:r>
            <w:r w:rsidR="00866182" w:rsidRPr="00052572">
              <w:rPr>
                <w:rFonts w:cs="Arial"/>
                <w:b/>
                <w:bCs/>
                <w:color w:val="424141"/>
                <w:szCs w:val="22"/>
              </w:rPr>
              <w:t>,188</w:t>
            </w:r>
          </w:p>
        </w:tc>
        <w:tc>
          <w:tcPr>
            <w:tcW w:w="347" w:type="pct"/>
            <w:gridSpan w:val="2"/>
            <w:tcBorders>
              <w:top w:val="single" w:sz="4" w:space="0" w:color="auto"/>
              <w:bottom w:val="double" w:sz="4" w:space="0" w:color="auto"/>
            </w:tcBorders>
            <w:shd w:val="clear" w:color="auto" w:fill="auto"/>
            <w:vAlign w:val="center"/>
          </w:tcPr>
          <w:p w14:paraId="5556957E" w14:textId="64FF611D" w:rsidR="00866182" w:rsidRPr="00052572" w:rsidRDefault="0003388E" w:rsidP="00052572">
            <w:pPr>
              <w:pStyle w:val="Bodytext"/>
              <w:keepNext/>
              <w:spacing w:after="60"/>
              <w:jc w:val="right"/>
              <w:rPr>
                <w:rFonts w:cs="Arial"/>
                <w:bCs/>
                <w:color w:val="A6A6A6" w:themeColor="background1" w:themeShade="A6"/>
                <w:szCs w:val="22"/>
              </w:rPr>
            </w:pPr>
            <w:r>
              <w:rPr>
                <w:rFonts w:cs="Arial"/>
                <w:b/>
                <w:bCs/>
                <w:color w:val="A6A6A6"/>
                <w:szCs w:val="22"/>
              </w:rPr>
              <w:t>6</w:t>
            </w:r>
            <w:r w:rsidR="00866182" w:rsidRPr="00052572">
              <w:rPr>
                <w:rFonts w:cs="Arial"/>
                <w:b/>
                <w:bCs/>
                <w:color w:val="A6A6A6"/>
                <w:szCs w:val="22"/>
              </w:rPr>
              <w:t>,966</w:t>
            </w:r>
          </w:p>
        </w:tc>
        <w:tc>
          <w:tcPr>
            <w:tcW w:w="347" w:type="pct"/>
            <w:tcBorders>
              <w:top w:val="single" w:sz="4" w:space="0" w:color="auto"/>
              <w:bottom w:val="double" w:sz="4" w:space="0" w:color="auto"/>
            </w:tcBorders>
            <w:shd w:val="clear" w:color="auto" w:fill="D9D9D9" w:themeFill="background1" w:themeFillShade="D9"/>
            <w:vAlign w:val="center"/>
          </w:tcPr>
          <w:p w14:paraId="75B1EE84" w14:textId="31A99B41" w:rsidR="00866182" w:rsidRPr="00052572" w:rsidRDefault="00866182" w:rsidP="00052572">
            <w:pPr>
              <w:pStyle w:val="Bodytext"/>
              <w:keepNext/>
              <w:spacing w:after="60"/>
              <w:jc w:val="right"/>
              <w:rPr>
                <w:rFonts w:cs="Arial"/>
                <w:bCs/>
                <w:color w:val="A6A6A6" w:themeColor="background1" w:themeShade="A6"/>
                <w:szCs w:val="22"/>
              </w:rPr>
            </w:pPr>
            <w:r w:rsidRPr="00052572">
              <w:rPr>
                <w:rFonts w:cs="Arial"/>
                <w:b/>
                <w:bCs/>
                <w:color w:val="424141"/>
                <w:szCs w:val="22"/>
              </w:rPr>
              <w:t>1,</w:t>
            </w:r>
            <w:r w:rsidR="008F41CE">
              <w:rPr>
                <w:rFonts w:cs="Arial"/>
                <w:b/>
                <w:bCs/>
                <w:color w:val="424141"/>
                <w:szCs w:val="22"/>
              </w:rPr>
              <w:t>0</w:t>
            </w:r>
            <w:r w:rsidR="00E92A8B">
              <w:rPr>
                <w:rFonts w:cs="Arial"/>
                <w:b/>
                <w:bCs/>
                <w:color w:val="424141"/>
                <w:szCs w:val="22"/>
              </w:rPr>
              <w:t>7</w:t>
            </w:r>
            <w:r w:rsidRPr="00052572">
              <w:rPr>
                <w:rFonts w:cs="Arial"/>
                <w:b/>
                <w:bCs/>
                <w:color w:val="424141"/>
                <w:szCs w:val="22"/>
              </w:rPr>
              <w:t>8</w:t>
            </w:r>
          </w:p>
        </w:tc>
        <w:tc>
          <w:tcPr>
            <w:tcW w:w="351" w:type="pct"/>
            <w:tcBorders>
              <w:top w:val="single" w:sz="4" w:space="0" w:color="auto"/>
              <w:bottom w:val="double" w:sz="4" w:space="0" w:color="auto"/>
            </w:tcBorders>
            <w:shd w:val="clear" w:color="auto" w:fill="auto"/>
            <w:vAlign w:val="center"/>
          </w:tcPr>
          <w:p w14:paraId="461845CC" w14:textId="382B82A4" w:rsidR="00866182" w:rsidRPr="00052572" w:rsidRDefault="00866182" w:rsidP="00052572">
            <w:pPr>
              <w:pStyle w:val="Bodytext"/>
              <w:keepNext/>
              <w:spacing w:after="60"/>
              <w:jc w:val="right"/>
              <w:rPr>
                <w:rFonts w:cs="Arial"/>
                <w:bCs/>
                <w:color w:val="A6A6A6" w:themeColor="background1" w:themeShade="A6"/>
                <w:szCs w:val="22"/>
              </w:rPr>
            </w:pPr>
            <w:r w:rsidRPr="00052572">
              <w:rPr>
                <w:rFonts w:cs="Arial"/>
                <w:b/>
                <w:bCs/>
                <w:color w:val="A6A6A6"/>
                <w:szCs w:val="22"/>
              </w:rPr>
              <w:t>1,122</w:t>
            </w:r>
          </w:p>
        </w:tc>
        <w:tc>
          <w:tcPr>
            <w:tcW w:w="347" w:type="pct"/>
            <w:tcBorders>
              <w:top w:val="single" w:sz="4" w:space="0" w:color="auto"/>
              <w:bottom w:val="double" w:sz="4" w:space="0" w:color="auto"/>
            </w:tcBorders>
            <w:shd w:val="clear" w:color="auto" w:fill="D9D9D9" w:themeFill="background1" w:themeFillShade="D9"/>
            <w:vAlign w:val="center"/>
          </w:tcPr>
          <w:p w14:paraId="2C3A8917" w14:textId="03C31299" w:rsidR="00866182" w:rsidRPr="00052572" w:rsidRDefault="00866182" w:rsidP="00052572">
            <w:pPr>
              <w:pStyle w:val="Bodytext"/>
              <w:keepNext/>
              <w:spacing w:after="60"/>
              <w:jc w:val="right"/>
              <w:rPr>
                <w:rFonts w:cs="Arial"/>
                <w:bCs/>
                <w:color w:val="A6A6A6" w:themeColor="background1" w:themeShade="A6"/>
                <w:szCs w:val="22"/>
              </w:rPr>
            </w:pPr>
            <w:r w:rsidRPr="00052572">
              <w:rPr>
                <w:rFonts w:cs="Arial"/>
                <w:b/>
                <w:bCs/>
                <w:color w:val="424141"/>
                <w:szCs w:val="22"/>
              </w:rPr>
              <w:t>-</w:t>
            </w:r>
            <w:r w:rsidR="00DE710C">
              <w:rPr>
                <w:rFonts w:cs="Arial"/>
                <w:b/>
                <w:bCs/>
                <w:color w:val="424141"/>
                <w:szCs w:val="22"/>
              </w:rPr>
              <w:t>3,148</w:t>
            </w:r>
          </w:p>
        </w:tc>
        <w:tc>
          <w:tcPr>
            <w:tcW w:w="363" w:type="pct"/>
            <w:gridSpan w:val="2"/>
            <w:tcBorders>
              <w:top w:val="single" w:sz="4" w:space="0" w:color="auto"/>
              <w:bottom w:val="double" w:sz="4" w:space="0" w:color="auto"/>
            </w:tcBorders>
            <w:shd w:val="clear" w:color="auto" w:fill="auto"/>
            <w:vAlign w:val="center"/>
          </w:tcPr>
          <w:p w14:paraId="5CA9F2FF" w14:textId="3D48A292" w:rsidR="00866182" w:rsidRPr="00052572" w:rsidRDefault="00866182" w:rsidP="00052572">
            <w:pPr>
              <w:pStyle w:val="Bodytext"/>
              <w:keepNext/>
              <w:spacing w:after="60"/>
              <w:jc w:val="right"/>
              <w:rPr>
                <w:rFonts w:cs="Arial"/>
                <w:bCs/>
                <w:color w:val="A6A6A6" w:themeColor="background1" w:themeShade="A6"/>
                <w:szCs w:val="22"/>
              </w:rPr>
            </w:pPr>
            <w:r w:rsidRPr="00052572">
              <w:rPr>
                <w:rFonts w:cs="Arial"/>
                <w:b/>
                <w:bCs/>
                <w:color w:val="A6A6A6"/>
                <w:szCs w:val="22"/>
              </w:rPr>
              <w:t>-4,924</w:t>
            </w:r>
          </w:p>
        </w:tc>
        <w:tc>
          <w:tcPr>
            <w:tcW w:w="330" w:type="pct"/>
            <w:tcBorders>
              <w:top w:val="single" w:sz="4" w:space="0" w:color="auto"/>
              <w:bottom w:val="double" w:sz="4" w:space="0" w:color="auto"/>
            </w:tcBorders>
            <w:shd w:val="clear" w:color="auto" w:fill="D9D9D9" w:themeFill="background1" w:themeFillShade="D9"/>
            <w:vAlign w:val="center"/>
          </w:tcPr>
          <w:p w14:paraId="7EDC10F3" w14:textId="26918273" w:rsidR="00866182" w:rsidRPr="00052572" w:rsidRDefault="00866182" w:rsidP="00052572">
            <w:pPr>
              <w:pStyle w:val="Bodytext"/>
              <w:keepNext/>
              <w:spacing w:after="60"/>
              <w:jc w:val="right"/>
              <w:rPr>
                <w:rFonts w:cs="Arial"/>
                <w:bCs/>
                <w:color w:val="A6A6A6" w:themeColor="background1" w:themeShade="A6"/>
                <w:szCs w:val="22"/>
              </w:rPr>
            </w:pPr>
            <w:r w:rsidRPr="00052572">
              <w:rPr>
                <w:rFonts w:cs="Arial"/>
                <w:b/>
                <w:bCs/>
                <w:color w:val="424141"/>
                <w:szCs w:val="22"/>
              </w:rPr>
              <w:t>22</w:t>
            </w:r>
          </w:p>
        </w:tc>
        <w:tc>
          <w:tcPr>
            <w:tcW w:w="414" w:type="pct"/>
            <w:gridSpan w:val="2"/>
            <w:tcBorders>
              <w:top w:val="single" w:sz="4" w:space="0" w:color="auto"/>
              <w:bottom w:val="double" w:sz="4" w:space="0" w:color="auto"/>
            </w:tcBorders>
            <w:shd w:val="clear" w:color="auto" w:fill="auto"/>
            <w:vAlign w:val="center"/>
          </w:tcPr>
          <w:p w14:paraId="5B834531" w14:textId="37462D3A" w:rsidR="00866182" w:rsidRPr="00052572" w:rsidRDefault="00866182" w:rsidP="00052572">
            <w:pPr>
              <w:pStyle w:val="Bodytext"/>
              <w:keepNext/>
              <w:spacing w:after="60"/>
              <w:jc w:val="right"/>
              <w:rPr>
                <w:rFonts w:cs="Arial"/>
                <w:bCs/>
                <w:color w:val="A6A6A6" w:themeColor="background1" w:themeShade="A6"/>
                <w:szCs w:val="22"/>
              </w:rPr>
            </w:pPr>
            <w:r w:rsidRPr="00052572">
              <w:rPr>
                <w:rFonts w:cs="Arial"/>
                <w:b/>
                <w:bCs/>
                <w:color w:val="A6A6A6"/>
                <w:szCs w:val="22"/>
              </w:rPr>
              <w:t>31</w:t>
            </w:r>
          </w:p>
        </w:tc>
        <w:tc>
          <w:tcPr>
            <w:tcW w:w="330" w:type="pct"/>
            <w:tcBorders>
              <w:top w:val="single" w:sz="4" w:space="0" w:color="auto"/>
              <w:bottom w:val="double" w:sz="4" w:space="0" w:color="auto"/>
            </w:tcBorders>
            <w:shd w:val="clear" w:color="auto" w:fill="D9D9D9" w:themeFill="background1" w:themeFillShade="D9"/>
            <w:vAlign w:val="center"/>
          </w:tcPr>
          <w:p w14:paraId="56026003" w14:textId="1A41CD6F" w:rsidR="00866182" w:rsidRPr="00052572" w:rsidRDefault="00866182" w:rsidP="00052572">
            <w:pPr>
              <w:pStyle w:val="Bodytext"/>
              <w:keepNext/>
              <w:spacing w:after="60"/>
              <w:jc w:val="right"/>
              <w:rPr>
                <w:rFonts w:cs="Arial"/>
                <w:bCs/>
                <w:color w:val="A6A6A6" w:themeColor="background1" w:themeShade="A6"/>
                <w:szCs w:val="22"/>
              </w:rPr>
            </w:pPr>
            <w:r w:rsidRPr="00052572">
              <w:rPr>
                <w:rFonts w:cs="Arial"/>
                <w:b/>
                <w:bCs/>
                <w:color w:val="424141"/>
                <w:szCs w:val="22"/>
              </w:rPr>
              <w:t>-439</w:t>
            </w:r>
          </w:p>
        </w:tc>
        <w:tc>
          <w:tcPr>
            <w:tcW w:w="414" w:type="pct"/>
            <w:gridSpan w:val="2"/>
            <w:tcBorders>
              <w:top w:val="single" w:sz="4" w:space="0" w:color="auto"/>
              <w:bottom w:val="double" w:sz="4" w:space="0" w:color="auto"/>
            </w:tcBorders>
            <w:shd w:val="clear" w:color="auto" w:fill="auto"/>
            <w:vAlign w:val="center"/>
          </w:tcPr>
          <w:p w14:paraId="342A2C8E" w14:textId="6972DA1D" w:rsidR="00866182" w:rsidRPr="00052572" w:rsidRDefault="00866182" w:rsidP="00052572">
            <w:pPr>
              <w:pStyle w:val="Bodytext"/>
              <w:keepNext/>
              <w:spacing w:after="60"/>
              <w:jc w:val="right"/>
              <w:rPr>
                <w:rFonts w:cs="Arial"/>
                <w:bCs/>
                <w:color w:val="A6A6A6" w:themeColor="background1" w:themeShade="A6"/>
                <w:szCs w:val="22"/>
              </w:rPr>
            </w:pPr>
            <w:r w:rsidRPr="00052572">
              <w:rPr>
                <w:rFonts w:cs="Arial"/>
                <w:b/>
                <w:bCs/>
                <w:color w:val="A6A6A6"/>
                <w:szCs w:val="22"/>
              </w:rPr>
              <w:t>993</w:t>
            </w:r>
          </w:p>
        </w:tc>
        <w:tc>
          <w:tcPr>
            <w:tcW w:w="331" w:type="pct"/>
            <w:tcBorders>
              <w:top w:val="single" w:sz="4" w:space="0" w:color="auto"/>
              <w:bottom w:val="double" w:sz="4" w:space="0" w:color="auto"/>
            </w:tcBorders>
            <w:shd w:val="clear" w:color="auto" w:fill="D9D9D9" w:themeFill="background1" w:themeFillShade="D9"/>
            <w:vAlign w:val="center"/>
          </w:tcPr>
          <w:p w14:paraId="50FC18C7" w14:textId="43E43CD4" w:rsidR="00866182" w:rsidRPr="00052572" w:rsidRDefault="00156E4C" w:rsidP="00052572">
            <w:pPr>
              <w:pStyle w:val="Bodytext"/>
              <w:keepNext/>
              <w:spacing w:after="60"/>
              <w:jc w:val="right"/>
              <w:rPr>
                <w:rFonts w:cs="Arial"/>
                <w:bCs/>
                <w:color w:val="A6A6A6" w:themeColor="background1" w:themeShade="A6"/>
                <w:szCs w:val="22"/>
              </w:rPr>
            </w:pPr>
            <w:r>
              <w:rPr>
                <w:rFonts w:cs="Arial"/>
                <w:b/>
                <w:bCs/>
                <w:color w:val="424141"/>
                <w:szCs w:val="22"/>
              </w:rPr>
              <w:t>1,</w:t>
            </w:r>
            <w:r w:rsidR="00D9529F">
              <w:rPr>
                <w:rFonts w:cs="Arial"/>
                <w:b/>
                <w:bCs/>
                <w:color w:val="424141"/>
                <w:szCs w:val="22"/>
              </w:rPr>
              <w:t>701</w:t>
            </w:r>
          </w:p>
        </w:tc>
        <w:tc>
          <w:tcPr>
            <w:tcW w:w="387" w:type="pct"/>
            <w:tcBorders>
              <w:top w:val="single" w:sz="4" w:space="0" w:color="auto"/>
              <w:bottom w:val="double" w:sz="4" w:space="0" w:color="auto"/>
            </w:tcBorders>
            <w:shd w:val="clear" w:color="auto" w:fill="auto"/>
            <w:vAlign w:val="center"/>
          </w:tcPr>
          <w:p w14:paraId="724F7849" w14:textId="0A29CEBB" w:rsidR="00866182" w:rsidRPr="00052572" w:rsidRDefault="00156E4C" w:rsidP="00052572">
            <w:pPr>
              <w:pStyle w:val="Bodytext"/>
              <w:keepNext/>
              <w:spacing w:after="60"/>
              <w:jc w:val="right"/>
              <w:rPr>
                <w:rFonts w:cs="Arial"/>
                <w:bCs/>
                <w:color w:val="A6A6A6" w:themeColor="background1" w:themeShade="A6"/>
                <w:szCs w:val="22"/>
              </w:rPr>
            </w:pPr>
            <w:r>
              <w:rPr>
                <w:rFonts w:cs="Arial"/>
                <w:b/>
                <w:bCs/>
                <w:color w:val="A6A6A6"/>
                <w:szCs w:val="22"/>
              </w:rPr>
              <w:t>4</w:t>
            </w:r>
            <w:r w:rsidR="00866182" w:rsidRPr="00052572">
              <w:rPr>
                <w:rFonts w:cs="Arial"/>
                <w:b/>
                <w:bCs/>
                <w:color w:val="A6A6A6"/>
                <w:szCs w:val="22"/>
              </w:rPr>
              <w:t>,188</w:t>
            </w:r>
          </w:p>
        </w:tc>
      </w:tr>
    </w:tbl>
    <w:p w14:paraId="52856D97" w14:textId="00899FA4" w:rsidR="00D62489" w:rsidRPr="00052572" w:rsidRDefault="00D62489" w:rsidP="00D9313C">
      <w:pPr>
        <w:pStyle w:val="Bodytext"/>
        <w:rPr>
          <w:b/>
          <w:bCs/>
        </w:rPr>
        <w:sectPr w:rsidR="00D62489" w:rsidRPr="00052572" w:rsidSect="00237BC5">
          <w:type w:val="continuous"/>
          <w:pgSz w:w="16840" w:h="11900" w:orient="landscape"/>
          <w:pgMar w:top="1021" w:right="1701" w:bottom="1021" w:left="851" w:header="851" w:footer="851" w:gutter="0"/>
          <w:cols w:space="720"/>
          <w:docGrid w:linePitch="360"/>
        </w:sectPr>
      </w:pPr>
    </w:p>
    <w:p w14:paraId="348A8847" w14:textId="77777777" w:rsidR="00D9313C" w:rsidRPr="006644A8" w:rsidRDefault="00D9313C" w:rsidP="00D9313C">
      <w:pPr>
        <w:pStyle w:val="Bodytext"/>
      </w:pPr>
      <w:r w:rsidRPr="006644A8">
        <w:t xml:space="preserve">Within unrestricted funds, the </w:t>
      </w:r>
      <w:r>
        <w:t xml:space="preserve">charitable funds committee </w:t>
      </w:r>
      <w:r w:rsidRPr="006644A8">
        <w:t xml:space="preserve">de-designated the £300,000 set aside in case the </w:t>
      </w:r>
      <w:r>
        <w:t xml:space="preserve">Burns and </w:t>
      </w:r>
      <w:r w:rsidRPr="006644A8">
        <w:t>Education Centre Appeal fell short of the appeal target because the funds raised are sufficient to enable the planned grant to be made.</w:t>
      </w:r>
    </w:p>
    <w:p w14:paraId="419AEA94" w14:textId="77777777" w:rsidR="00D9313C" w:rsidRPr="006644A8" w:rsidRDefault="00D9313C" w:rsidP="00D9313C">
      <w:pPr>
        <w:pStyle w:val="Bodytext"/>
      </w:pPr>
      <w:r w:rsidRPr="006644A8">
        <w:t>The objects of each of the designated unrestricted funds are as follows:</w:t>
      </w:r>
    </w:p>
    <w:p w14:paraId="6F2600FC" w14:textId="71FDBDB4" w:rsidR="00D9313C" w:rsidRPr="006644A8" w:rsidRDefault="00D9313C" w:rsidP="00F30B16">
      <w:pPr>
        <w:pStyle w:val="Bullet"/>
      </w:pPr>
      <w:r w:rsidRPr="006644A8">
        <w:t xml:space="preserve">The </w:t>
      </w:r>
      <w:r w:rsidRPr="006644A8">
        <w:rPr>
          <w:b/>
        </w:rPr>
        <w:t xml:space="preserve">oncology </w:t>
      </w:r>
      <w:r>
        <w:rPr>
          <w:b/>
        </w:rPr>
        <w:t xml:space="preserve">and </w:t>
      </w:r>
      <w:r w:rsidRPr="006644A8">
        <w:rPr>
          <w:b/>
        </w:rPr>
        <w:t>haematology fund</w:t>
      </w:r>
      <w:r w:rsidRPr="006644A8">
        <w:t xml:space="preserve"> is designated for the welfare and benefit of staff and patients on the relevant wards.</w:t>
      </w:r>
    </w:p>
    <w:p w14:paraId="2000BFDB" w14:textId="77777777" w:rsidR="00D9313C" w:rsidRPr="006644A8" w:rsidRDefault="00D9313C" w:rsidP="00F30B16">
      <w:pPr>
        <w:pStyle w:val="Bullet"/>
      </w:pPr>
      <w:r w:rsidRPr="006644A8">
        <w:t xml:space="preserve">The </w:t>
      </w:r>
      <w:r w:rsidRPr="006644A8">
        <w:rPr>
          <w:b/>
        </w:rPr>
        <w:t xml:space="preserve">leukaemia </w:t>
      </w:r>
      <w:r>
        <w:rPr>
          <w:b/>
        </w:rPr>
        <w:t xml:space="preserve">and </w:t>
      </w:r>
      <w:r w:rsidRPr="006644A8">
        <w:rPr>
          <w:b/>
        </w:rPr>
        <w:t>haematology fund</w:t>
      </w:r>
      <w:r w:rsidRPr="006644A8">
        <w:t xml:space="preserve"> is designated for research in this specific clinical area. </w:t>
      </w:r>
    </w:p>
    <w:p w14:paraId="6CE85C2D" w14:textId="77777777" w:rsidR="00D9313C" w:rsidRPr="006644A8" w:rsidRDefault="00D9313C" w:rsidP="00D9313C">
      <w:pPr>
        <w:pStyle w:val="Bodytext"/>
      </w:pPr>
      <w:r w:rsidRPr="006644A8">
        <w:t xml:space="preserve">Other designated funds relate to assisting patients on other wards and clinical departments within the </w:t>
      </w:r>
      <w:r>
        <w:t>HHFT</w:t>
      </w:r>
      <w:r w:rsidRPr="006644A8">
        <w:t xml:space="preserve"> for which donors have indicated their non-binding wishes when making their generous gifts.</w:t>
      </w:r>
    </w:p>
    <w:p w14:paraId="29252DB3" w14:textId="6E6C2D65" w:rsidR="00D9313C" w:rsidRPr="006644A8" w:rsidRDefault="00D9313C" w:rsidP="00D9313C">
      <w:pPr>
        <w:pStyle w:val="Bodytext"/>
      </w:pPr>
      <w:r w:rsidRPr="006644A8">
        <w:t xml:space="preserve">The </w:t>
      </w:r>
      <w:r w:rsidRPr="006644A8">
        <w:rPr>
          <w:b/>
        </w:rPr>
        <w:t>general fund</w:t>
      </w:r>
      <w:r w:rsidRPr="006644A8">
        <w:t xml:space="preserve"> includes all donations for which a donor has not expressed any preference as to how the funds shall be spent and the unrestricted income accruing to the charity. These funds are applied </w:t>
      </w:r>
      <w:r w:rsidR="00CD5B9C" w:rsidRPr="00913B84">
        <w:rPr>
          <w:color w:val="auto"/>
        </w:rPr>
        <w:t>to serve the population of Healthville by funding facilities, equipment and research and to support associated healthcare and complementary services for patients of the NHS in Healthville</w:t>
      </w:r>
      <w:r w:rsidR="00CD5B9C" w:rsidRPr="00913B84" w:rsidDel="00CD5B9C">
        <w:rPr>
          <w:color w:val="auto"/>
        </w:rPr>
        <w:t xml:space="preserve"> </w:t>
      </w:r>
      <w:r w:rsidRPr="006644A8">
        <w:t>at the absolute discretion of the trustee.</w:t>
      </w:r>
    </w:p>
    <w:p w14:paraId="63CA1737" w14:textId="77777777" w:rsidR="00D62489" w:rsidRDefault="00D62489" w:rsidP="00D9313C">
      <w:pPr>
        <w:pStyle w:val="Heading3"/>
        <w:sectPr w:rsidR="00D62489" w:rsidSect="00237BC5">
          <w:type w:val="continuous"/>
          <w:pgSz w:w="16840" w:h="11900" w:orient="landscape"/>
          <w:pgMar w:top="1021" w:right="1701" w:bottom="1021" w:left="851" w:header="851" w:footer="851" w:gutter="0"/>
          <w:cols w:num="2" w:space="720"/>
          <w:docGrid w:linePitch="360"/>
        </w:sectPr>
      </w:pPr>
      <w:bookmarkStart w:id="69" w:name="_Ref432486148"/>
    </w:p>
    <w:p w14:paraId="3E80E8A9" w14:textId="77777777" w:rsidR="00FF5261" w:rsidRDefault="00FF5261" w:rsidP="00F846B4">
      <w:pPr>
        <w:pStyle w:val="TableTitle"/>
      </w:pPr>
    </w:p>
    <w:p w14:paraId="1256EF8A" w14:textId="0A140E9A" w:rsidR="00D9313C" w:rsidRPr="004B5569" w:rsidRDefault="00D9313C" w:rsidP="00F846B4">
      <w:pPr>
        <w:pStyle w:val="TableTitle"/>
      </w:pPr>
      <w:r>
        <w:lastRenderedPageBreak/>
        <w:t xml:space="preserve">23 </w:t>
      </w:r>
      <w:r w:rsidRPr="004B5569">
        <w:t xml:space="preserve">Total </w:t>
      </w:r>
      <w:r w:rsidRPr="00F846B4">
        <w:t>return</w:t>
      </w:r>
      <w:r w:rsidRPr="004B5569">
        <w:t xml:space="preserve"> on investment</w:t>
      </w:r>
      <w:bookmarkEnd w:id="69"/>
    </w:p>
    <w:tbl>
      <w:tblPr>
        <w:tblStyle w:val="TableGrid"/>
        <w:tblW w:w="5000" w:type="pct"/>
        <w:tblLook w:val="04A0" w:firstRow="1" w:lastRow="0" w:firstColumn="1" w:lastColumn="0" w:noHBand="0" w:noVBand="1"/>
      </w:tblPr>
      <w:tblGrid>
        <w:gridCol w:w="14278"/>
      </w:tblGrid>
      <w:tr w:rsidR="00D9313C" w14:paraId="73C34549" w14:textId="77777777" w:rsidTr="00EC1B15">
        <w:tc>
          <w:tcPr>
            <w:tcW w:w="5000" w:type="pct"/>
          </w:tcPr>
          <w:p w14:paraId="2C304DDC" w14:textId="77777777" w:rsidR="00D9313C" w:rsidRPr="00D86892" w:rsidRDefault="00D9313C" w:rsidP="00EC1B15">
            <w:pPr>
              <w:pStyle w:val="Bodytext"/>
            </w:pPr>
            <w:r w:rsidRPr="00D86892">
              <w:t xml:space="preserve">Paragraph 20.12 of the </w:t>
            </w:r>
            <w:r>
              <w:t>SORP FRS 102</w:t>
            </w:r>
            <w:r w:rsidRPr="00D86892">
              <w:t xml:space="preserve"> sets out the disclosure requirements in relation to investments managed on a total return basis:</w:t>
            </w:r>
          </w:p>
          <w:p w14:paraId="5427CAC3" w14:textId="77777777" w:rsidR="00D9313C" w:rsidRPr="00F30B16" w:rsidRDefault="00D9313C" w:rsidP="00F30B16">
            <w:pPr>
              <w:pStyle w:val="Bullet"/>
            </w:pPr>
            <w:r w:rsidRPr="00F30B16">
              <w:t>the date that the initial value of the trust for investment and the initial value of the unapplied total return was established</w:t>
            </w:r>
          </w:p>
          <w:p w14:paraId="159A6C84" w14:textId="77777777" w:rsidR="00D9313C" w:rsidRPr="00F30B16" w:rsidRDefault="00D9313C" w:rsidP="00F30B16">
            <w:pPr>
              <w:pStyle w:val="Bullet"/>
            </w:pPr>
            <w:r w:rsidRPr="00F30B16">
              <w:t>the policy used to identify the initial amounts of the trust for investment and any unapplied total return and the date this analysis was performed</w:t>
            </w:r>
          </w:p>
          <w:p w14:paraId="6041B6FA" w14:textId="77777777" w:rsidR="00D9313C" w:rsidRPr="00F30B16" w:rsidRDefault="00D9313C" w:rsidP="00F30B16">
            <w:pPr>
              <w:pStyle w:val="Bullet"/>
            </w:pPr>
            <w:r w:rsidRPr="00F30B16">
              <w:t>an explanation of the policies used by the charity’s trustees and the factors considered in determining the amount of the unapplied total return allocated to income (termed the trust for application) and any amounts allocated to the trust for investment in the reporting period</w:t>
            </w:r>
          </w:p>
          <w:p w14:paraId="54158968" w14:textId="77777777" w:rsidR="00D9313C" w:rsidRPr="00F30B16" w:rsidRDefault="00D9313C" w:rsidP="00F30B16">
            <w:pPr>
              <w:pStyle w:val="Bullet"/>
            </w:pPr>
            <w:r w:rsidRPr="00F30B16">
              <w:t>an explanation of the policies used by the charity trustees and the factors considered in determining the amount, if any, of the trust for investment (permanent endowment) allocated to the unapplied total return or any recoupment made from the unapplied total return into the trust for investment in the reporting period</w:t>
            </w:r>
          </w:p>
          <w:p w14:paraId="59454CE5" w14:textId="77777777" w:rsidR="00D9313C" w:rsidRPr="00D86892" w:rsidRDefault="00D9313C" w:rsidP="00F30B16">
            <w:pPr>
              <w:pStyle w:val="Bullet"/>
              <w:rPr>
                <w:iCs/>
              </w:rPr>
            </w:pPr>
            <w:r w:rsidRPr="00F30B16">
              <w:t>the name</w:t>
            </w:r>
            <w:r w:rsidRPr="00D86892">
              <w:t xml:space="preserve"> and professional qualifications of any person who has provided advice to the charity’s trustees as to the amount that can be allocated to income and/ or the trust for investment from the unapplied total return in the reporting period.</w:t>
            </w:r>
          </w:p>
          <w:p w14:paraId="52A3DF88" w14:textId="77777777" w:rsidR="00D9313C" w:rsidRPr="00D86892" w:rsidRDefault="00D9313C" w:rsidP="00EC1B15">
            <w:pPr>
              <w:pStyle w:val="Bodytext"/>
            </w:pPr>
            <w:r w:rsidRPr="00D86892">
              <w:rPr>
                <w:rFonts w:eastAsiaTheme="minorHAnsi"/>
              </w:rPr>
              <w:t>This note provides this information.</w:t>
            </w:r>
            <w:r>
              <w:rPr>
                <w:rFonts w:eastAsiaTheme="minorHAnsi"/>
              </w:rPr>
              <w:t xml:space="preserve"> </w:t>
            </w:r>
            <w:r w:rsidRPr="00D86892">
              <w:rPr>
                <w:rFonts w:eastAsiaTheme="minorHAnsi"/>
              </w:rPr>
              <w:t xml:space="preserve">The note uses table 16 of the </w:t>
            </w:r>
            <w:r>
              <w:rPr>
                <w:rFonts w:eastAsiaTheme="minorHAnsi"/>
              </w:rPr>
              <w:t>SORP FRS 102</w:t>
            </w:r>
            <w:r w:rsidRPr="00D86892">
              <w:rPr>
                <w:rFonts w:eastAsiaTheme="minorHAnsi"/>
              </w:rPr>
              <w:t xml:space="preserve"> but all unnecessary rows have been deleted.</w:t>
            </w:r>
          </w:p>
        </w:tc>
      </w:tr>
    </w:tbl>
    <w:p w14:paraId="2545FC67" w14:textId="77777777" w:rsidR="00D9313C" w:rsidRPr="004B5569" w:rsidRDefault="00D9313C" w:rsidP="00D9313C">
      <w:pPr>
        <w:tabs>
          <w:tab w:val="left" w:pos="180"/>
          <w:tab w:val="left" w:pos="9072"/>
        </w:tabs>
        <w:ind w:right="249"/>
        <w:rPr>
          <w:rFonts w:asciiTheme="minorHAnsi" w:hAnsiTheme="minorHAnsi" w:cstheme="minorHAnsi"/>
          <w:szCs w:val="22"/>
        </w:rPr>
      </w:pPr>
    </w:p>
    <w:p w14:paraId="08F0D111" w14:textId="77777777" w:rsidR="00D9313C" w:rsidRDefault="00D9313C" w:rsidP="00D9313C">
      <w:pPr>
        <w:pStyle w:val="Bodytext"/>
        <w:sectPr w:rsidR="00D9313C" w:rsidSect="00237BC5">
          <w:type w:val="continuous"/>
          <w:pgSz w:w="16840" w:h="11900" w:orient="landscape"/>
          <w:pgMar w:top="1021" w:right="1701" w:bottom="1021" w:left="851" w:header="851" w:footer="851" w:gutter="0"/>
          <w:cols w:space="720"/>
          <w:docGrid w:linePitch="360"/>
        </w:sectPr>
      </w:pPr>
    </w:p>
    <w:p w14:paraId="19911DE5" w14:textId="77777777" w:rsidR="00D9313C" w:rsidRPr="004B5569" w:rsidRDefault="00D9313C" w:rsidP="00D9313C">
      <w:pPr>
        <w:pStyle w:val="Bodytext"/>
      </w:pPr>
      <w:r w:rsidRPr="004B5569">
        <w:t xml:space="preserve">On 1 March 2014, the </w:t>
      </w:r>
      <w:r>
        <w:t xml:space="preserve">HHFT board as corporate </w:t>
      </w:r>
      <w:r w:rsidRPr="004B5569">
        <w:t>trustee made a resolution under section 104A(2) of the Charities Act</w:t>
      </w:r>
      <w:r>
        <w:t xml:space="preserve"> 2011 </w:t>
      </w:r>
      <w:r w:rsidRPr="004B5569">
        <w:t xml:space="preserve">to adopt a total return </w:t>
      </w:r>
      <w:r>
        <w:t xml:space="preserve">on investment </w:t>
      </w:r>
      <w:r w:rsidRPr="004B5569">
        <w:t>approach to the Guptah permanent endowment fund.</w:t>
      </w:r>
      <w:r>
        <w:t xml:space="preserve"> </w:t>
      </w:r>
      <w:r w:rsidRPr="004B5569">
        <w:t xml:space="preserve">On 1 March 2014, the </w:t>
      </w:r>
      <w:r>
        <w:t>board</w:t>
      </w:r>
      <w:r w:rsidRPr="004B5569">
        <w:t xml:space="preserve"> identified the value of the gifts of permanent endowment received since the fund was established to that date.</w:t>
      </w:r>
      <w:r>
        <w:t xml:space="preserve"> </w:t>
      </w:r>
      <w:r w:rsidRPr="004B5569">
        <w:t>This set the baseline value of the gift component of the endowment to which any subsequent gifts of endowment are added. The difference between the total of endowment funds as at 1 March 2014 and the value of the gift component represented the opening balance of unapplied total return.</w:t>
      </w:r>
    </w:p>
    <w:p w14:paraId="6F348DD0" w14:textId="77777777" w:rsidR="00D9313C" w:rsidRPr="00A75CAE" w:rsidRDefault="00D9313C" w:rsidP="00D9313C">
      <w:pPr>
        <w:pStyle w:val="Bodytext"/>
      </w:pPr>
      <w:r w:rsidRPr="004B5569">
        <w:t>The power of total return permits the trustee to inve</w:t>
      </w:r>
      <w:r>
        <w:t xml:space="preserve">st permanently endowed funds to </w:t>
      </w:r>
      <w:r w:rsidRPr="004B5569">
        <w:t xml:space="preserve">maximise total return and to apply an appropriate portion of the unapplied total return to income each year. </w:t>
      </w:r>
    </w:p>
    <w:p w14:paraId="4E316A89" w14:textId="110EA38E" w:rsidR="00D9313C" w:rsidRPr="00A75CAE" w:rsidRDefault="00D9313C" w:rsidP="00D9313C">
      <w:pPr>
        <w:pStyle w:val="Bodytext"/>
      </w:pPr>
      <w:r w:rsidRPr="00A75CAE">
        <w:t>Until the power is exercised to transfer a portion of unapplied total return to income, the unapplied</w:t>
      </w:r>
      <w:r>
        <w:t xml:space="preserve"> </w:t>
      </w:r>
      <w:r w:rsidRPr="00A75CAE">
        <w:t>total return remains invested as part of the permanent endowment.</w:t>
      </w:r>
      <w:r>
        <w:t xml:space="preserve"> </w:t>
      </w:r>
      <w:r w:rsidRPr="00A75CAE">
        <w:t>The power allows the trustee to decide in each year how much of the unapplied total return is</w:t>
      </w:r>
      <w:r>
        <w:t xml:space="preserve"> </w:t>
      </w:r>
      <w:r w:rsidRPr="00A75CAE">
        <w:t>transferred to income funds and so available for expenditure. H</w:t>
      </w:r>
      <w:r>
        <w:t>aving considered their o</w:t>
      </w:r>
      <w:r w:rsidRPr="00A75CAE">
        <w:t>bligations</w:t>
      </w:r>
      <w:r>
        <w:t xml:space="preserve"> </w:t>
      </w:r>
      <w:r w:rsidRPr="00A75CAE">
        <w:t xml:space="preserve">under the duty of even-handedness, the </w:t>
      </w:r>
      <w:r>
        <w:t>charitable funds committee</w:t>
      </w:r>
      <w:r w:rsidRPr="00A75CAE">
        <w:t xml:space="preserve"> </w:t>
      </w:r>
      <w:r>
        <w:t>decided not to make a transfer from</w:t>
      </w:r>
      <w:r w:rsidRPr="00A75CAE">
        <w:t xml:space="preserve"> unapplied total</w:t>
      </w:r>
      <w:r>
        <w:t xml:space="preserve"> </w:t>
      </w:r>
      <w:r w:rsidRPr="00A75CAE">
        <w:t>return to unrestricted income funds</w:t>
      </w:r>
      <w:r>
        <w:t xml:space="preserve"> in 20</w:t>
      </w:r>
      <w:r w:rsidR="00D46B31">
        <w:t>23</w:t>
      </w:r>
      <w:r>
        <w:t>/2</w:t>
      </w:r>
      <w:r w:rsidR="00D46B31">
        <w:t>4</w:t>
      </w:r>
      <w:r w:rsidRPr="00A75CAE">
        <w:t>. In making this decision the</w:t>
      </w:r>
      <w:r>
        <w:t xml:space="preserve">y </w:t>
      </w:r>
      <w:r w:rsidRPr="00A75CAE">
        <w:t>have taken account of</w:t>
      </w:r>
      <w:r>
        <w:t xml:space="preserve"> the</w:t>
      </w:r>
      <w:r w:rsidRPr="00A75CAE">
        <w:t xml:space="preserve"> investment climate, the return on investment for the year and the income needs of</w:t>
      </w:r>
      <w:r>
        <w:t xml:space="preserve"> </w:t>
      </w:r>
      <w:r w:rsidRPr="00A75CAE">
        <w:t>the charity.</w:t>
      </w:r>
    </w:p>
    <w:p w14:paraId="75EC17E2" w14:textId="77777777" w:rsidR="00AE4BD5" w:rsidRDefault="00D9313C" w:rsidP="00D9313C">
      <w:pPr>
        <w:pStyle w:val="Bodytext"/>
        <w:sectPr w:rsidR="00AE4BD5" w:rsidSect="00237BC5">
          <w:type w:val="continuous"/>
          <w:pgSz w:w="16840" w:h="11900" w:orient="landscape"/>
          <w:pgMar w:top="1021" w:right="1701" w:bottom="1021" w:left="851" w:header="851" w:footer="851" w:gutter="0"/>
          <w:cols w:num="2" w:space="720"/>
          <w:docGrid w:linePitch="360"/>
        </w:sectPr>
      </w:pPr>
      <w:r w:rsidRPr="00A75CAE">
        <w:t xml:space="preserve">In deciding on the amount to transfer to income funds, </w:t>
      </w:r>
      <w:r>
        <w:t xml:space="preserve">advice was sought from the OtM’s </w:t>
      </w:r>
      <w:r w:rsidRPr="00A75CAE">
        <w:t xml:space="preserve">investment advisors, </w:t>
      </w:r>
      <w:r>
        <w:rPr>
          <w:bCs/>
        </w:rPr>
        <w:t>C Investment Management Limited</w:t>
      </w:r>
      <w:r w:rsidRPr="00A75CAE">
        <w:t>, as to the likely investment trends and the sustainability</w:t>
      </w:r>
      <w:r>
        <w:t xml:space="preserve"> </w:t>
      </w:r>
      <w:r w:rsidRPr="00A75CAE">
        <w:t>of the investment fund after considering various levels of transfer to incom</w:t>
      </w:r>
      <w:r>
        <w:t>e</w:t>
      </w:r>
    </w:p>
    <w:p w14:paraId="022FA33C" w14:textId="77777777" w:rsidR="00AE4BD5" w:rsidRDefault="00AE4BD5" w:rsidP="00D9313C">
      <w:pPr>
        <w:pStyle w:val="Bodytext"/>
        <w:sectPr w:rsidR="00AE4BD5" w:rsidSect="00237BC5">
          <w:pgSz w:w="16840" w:h="11900" w:orient="landscape"/>
          <w:pgMar w:top="1021" w:right="1701" w:bottom="1021" w:left="851" w:header="851" w:footer="851" w:gutter="0"/>
          <w:cols w:num="2" w:space="720"/>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1563"/>
        <w:gridCol w:w="1700"/>
        <w:gridCol w:w="1643"/>
        <w:gridCol w:w="1523"/>
        <w:gridCol w:w="1523"/>
        <w:gridCol w:w="1515"/>
      </w:tblGrid>
      <w:tr w:rsidR="00D9313C" w:rsidRPr="00166B9B" w14:paraId="5BCCF090" w14:textId="77777777" w:rsidTr="003A1E46">
        <w:tc>
          <w:tcPr>
            <w:tcW w:w="1687" w:type="pct"/>
          </w:tcPr>
          <w:p w14:paraId="2F5D730B" w14:textId="77777777" w:rsidR="00D9313C" w:rsidRPr="00166B9B" w:rsidRDefault="00D9313C" w:rsidP="00EC1B15">
            <w:pPr>
              <w:pStyle w:val="Bodytext"/>
              <w:spacing w:after="60"/>
            </w:pPr>
          </w:p>
        </w:tc>
        <w:tc>
          <w:tcPr>
            <w:tcW w:w="1142" w:type="pct"/>
            <w:gridSpan w:val="2"/>
          </w:tcPr>
          <w:p w14:paraId="2F133621" w14:textId="77777777" w:rsidR="00D9313C" w:rsidRPr="00166B9B" w:rsidRDefault="00D9313C" w:rsidP="00EC1B15">
            <w:pPr>
              <w:pStyle w:val="Bodytext"/>
              <w:spacing w:after="60"/>
              <w:jc w:val="center"/>
              <w:rPr>
                <w:rFonts w:eastAsiaTheme="minorHAnsi"/>
                <w:b/>
                <w:bCs/>
                <w:color w:val="262626"/>
              </w:rPr>
            </w:pPr>
            <w:r w:rsidRPr="00166B9B">
              <w:rPr>
                <w:rFonts w:eastAsiaTheme="minorHAnsi"/>
                <w:b/>
                <w:bCs/>
                <w:color w:val="262626"/>
              </w:rPr>
              <w:t>Trust for</w:t>
            </w:r>
            <w:r>
              <w:rPr>
                <w:rFonts w:eastAsiaTheme="minorHAnsi"/>
                <w:b/>
                <w:bCs/>
                <w:color w:val="262626"/>
              </w:rPr>
              <w:t xml:space="preserve"> </w:t>
            </w:r>
            <w:r w:rsidRPr="00166B9B">
              <w:rPr>
                <w:rFonts w:eastAsiaTheme="minorHAnsi"/>
                <w:b/>
                <w:bCs/>
                <w:color w:val="262626"/>
              </w:rPr>
              <w:t>investment</w:t>
            </w:r>
          </w:p>
        </w:tc>
        <w:tc>
          <w:tcPr>
            <w:tcW w:w="1108" w:type="pct"/>
            <w:gridSpan w:val="2"/>
          </w:tcPr>
          <w:p w14:paraId="0F104E42" w14:textId="77777777" w:rsidR="00D9313C" w:rsidRPr="00166B9B" w:rsidRDefault="00D9313C" w:rsidP="00EC1B15">
            <w:pPr>
              <w:pStyle w:val="Bodytext"/>
              <w:spacing w:after="60"/>
              <w:jc w:val="center"/>
              <w:rPr>
                <w:rFonts w:eastAsiaTheme="minorHAnsi"/>
                <w:b/>
                <w:bCs/>
                <w:color w:val="262626"/>
              </w:rPr>
            </w:pPr>
            <w:r w:rsidRPr="006E49D0">
              <w:rPr>
                <w:rFonts w:eastAsiaTheme="minorHAnsi"/>
                <w:b/>
                <w:bCs/>
                <w:color w:val="262626"/>
              </w:rPr>
              <w:t>Unapplied total retur</w:t>
            </w:r>
            <w:r w:rsidRPr="00D408DC">
              <w:rPr>
                <w:b/>
                <w:bCs/>
              </w:rPr>
              <w:t>n</w:t>
            </w:r>
          </w:p>
        </w:tc>
        <w:tc>
          <w:tcPr>
            <w:tcW w:w="1064" w:type="pct"/>
            <w:gridSpan w:val="2"/>
          </w:tcPr>
          <w:p w14:paraId="7F96EB47" w14:textId="77777777" w:rsidR="00D9313C" w:rsidRPr="00166B9B" w:rsidRDefault="00D9313C" w:rsidP="00EC1B15">
            <w:pPr>
              <w:pStyle w:val="Bodytext"/>
              <w:spacing w:after="60"/>
              <w:jc w:val="center"/>
              <w:rPr>
                <w:rFonts w:eastAsiaTheme="minorHAnsi"/>
                <w:b/>
                <w:bCs/>
                <w:color w:val="262626"/>
              </w:rPr>
            </w:pPr>
            <w:r w:rsidRPr="00166B9B">
              <w:rPr>
                <w:rFonts w:eastAsiaTheme="minorHAnsi"/>
                <w:b/>
                <w:bCs/>
                <w:color w:val="262626"/>
              </w:rPr>
              <w:t>Total</w:t>
            </w:r>
            <w:r>
              <w:rPr>
                <w:rFonts w:eastAsiaTheme="minorHAnsi"/>
                <w:b/>
                <w:bCs/>
                <w:color w:val="262626"/>
              </w:rPr>
              <w:t xml:space="preserve"> e</w:t>
            </w:r>
            <w:r w:rsidRPr="00166B9B">
              <w:rPr>
                <w:rFonts w:eastAsiaTheme="minorHAnsi"/>
                <w:b/>
                <w:bCs/>
                <w:color w:val="262626"/>
              </w:rPr>
              <w:t>ndowment</w:t>
            </w:r>
          </w:p>
        </w:tc>
      </w:tr>
      <w:tr w:rsidR="009B5F60" w:rsidRPr="00166B9B" w14:paraId="6EE3109B" w14:textId="77777777" w:rsidTr="003A1E46">
        <w:tc>
          <w:tcPr>
            <w:tcW w:w="1687" w:type="pct"/>
          </w:tcPr>
          <w:p w14:paraId="6035A232" w14:textId="77777777" w:rsidR="009B5F60" w:rsidRPr="00A1257B" w:rsidRDefault="009B5F60" w:rsidP="009B5F60">
            <w:pPr>
              <w:pStyle w:val="Bodytext"/>
              <w:spacing w:after="60"/>
            </w:pPr>
          </w:p>
        </w:tc>
        <w:tc>
          <w:tcPr>
            <w:tcW w:w="547" w:type="pct"/>
            <w:shd w:val="clear" w:color="auto" w:fill="D9D9D9" w:themeFill="background1" w:themeFillShade="D9"/>
          </w:tcPr>
          <w:p w14:paraId="6178157F" w14:textId="53478A52" w:rsidR="009B5F60" w:rsidRDefault="009B5F60" w:rsidP="009B5F60">
            <w:pPr>
              <w:pStyle w:val="Bodytext"/>
              <w:keepNext/>
              <w:spacing w:after="60"/>
              <w:jc w:val="right"/>
              <w:rPr>
                <w:b/>
              </w:rPr>
            </w:pPr>
            <w:r>
              <w:rPr>
                <w:b/>
              </w:rPr>
              <w:t>202</w:t>
            </w:r>
            <w:r w:rsidR="0073338A">
              <w:rPr>
                <w:b/>
              </w:rPr>
              <w:t>3</w:t>
            </w:r>
            <w:r>
              <w:rPr>
                <w:b/>
              </w:rPr>
              <w:t>/2</w:t>
            </w:r>
            <w:r w:rsidR="0073338A">
              <w:rPr>
                <w:b/>
              </w:rPr>
              <w:t>4</w:t>
            </w:r>
          </w:p>
          <w:p w14:paraId="7AA3DA96" w14:textId="6FEB669C" w:rsidR="009B5F60" w:rsidRPr="00D408DC" w:rsidRDefault="009B5F60" w:rsidP="009B5F60">
            <w:pPr>
              <w:pStyle w:val="Bodytext"/>
              <w:spacing w:after="60"/>
              <w:jc w:val="right"/>
              <w:rPr>
                <w:rFonts w:eastAsiaTheme="minorHAnsi"/>
                <w:b/>
                <w:color w:val="262626"/>
              </w:rPr>
            </w:pPr>
            <w:r>
              <w:rPr>
                <w:b/>
              </w:rPr>
              <w:t>£000</w:t>
            </w:r>
          </w:p>
        </w:tc>
        <w:tc>
          <w:tcPr>
            <w:tcW w:w="595" w:type="pct"/>
          </w:tcPr>
          <w:p w14:paraId="51FE8AFF" w14:textId="0CC45130" w:rsidR="009B5F60" w:rsidRPr="002B08DA" w:rsidRDefault="009B5F60" w:rsidP="009B5F60">
            <w:pPr>
              <w:pStyle w:val="Bodytext"/>
              <w:keepNext/>
              <w:spacing w:after="60"/>
              <w:jc w:val="right"/>
              <w:rPr>
                <w:b/>
                <w:color w:val="A6A6A6" w:themeColor="background1" w:themeShade="A6"/>
              </w:rPr>
            </w:pPr>
            <w:r>
              <w:rPr>
                <w:b/>
                <w:color w:val="A6A6A6" w:themeColor="background1" w:themeShade="A6"/>
              </w:rPr>
              <w:t>202</w:t>
            </w:r>
            <w:r w:rsidR="0073338A">
              <w:rPr>
                <w:b/>
                <w:color w:val="A6A6A6" w:themeColor="background1" w:themeShade="A6"/>
              </w:rPr>
              <w:t>2</w:t>
            </w:r>
            <w:r>
              <w:rPr>
                <w:b/>
                <w:color w:val="A6A6A6" w:themeColor="background1" w:themeShade="A6"/>
              </w:rPr>
              <w:t>/2</w:t>
            </w:r>
            <w:r w:rsidR="0073338A">
              <w:rPr>
                <w:b/>
                <w:color w:val="A6A6A6" w:themeColor="background1" w:themeShade="A6"/>
              </w:rPr>
              <w:t>3</w:t>
            </w:r>
          </w:p>
          <w:p w14:paraId="25098B9E" w14:textId="7EC18687" w:rsidR="009B5F60" w:rsidRPr="00D408DC" w:rsidRDefault="009B5F60" w:rsidP="009B5F60">
            <w:pPr>
              <w:pStyle w:val="Bodytext"/>
              <w:spacing w:after="60"/>
              <w:jc w:val="right"/>
              <w:rPr>
                <w:rFonts w:eastAsiaTheme="minorHAnsi"/>
                <w:b/>
                <w:color w:val="262626"/>
              </w:rPr>
            </w:pPr>
            <w:r w:rsidRPr="002B08DA">
              <w:rPr>
                <w:b/>
                <w:color w:val="A6A6A6" w:themeColor="background1" w:themeShade="A6"/>
              </w:rPr>
              <w:t>£000</w:t>
            </w:r>
          </w:p>
        </w:tc>
        <w:tc>
          <w:tcPr>
            <w:tcW w:w="575" w:type="pct"/>
            <w:shd w:val="clear" w:color="auto" w:fill="D9D9D9" w:themeFill="background1" w:themeFillShade="D9"/>
          </w:tcPr>
          <w:p w14:paraId="080614AB" w14:textId="5C30AA00" w:rsidR="009B5F60" w:rsidRDefault="009B5F60" w:rsidP="009B5F60">
            <w:pPr>
              <w:pStyle w:val="Bodytext"/>
              <w:keepNext/>
              <w:spacing w:after="60"/>
              <w:jc w:val="right"/>
              <w:rPr>
                <w:b/>
              </w:rPr>
            </w:pPr>
            <w:r>
              <w:rPr>
                <w:b/>
              </w:rPr>
              <w:t>202</w:t>
            </w:r>
            <w:r w:rsidR="0073338A">
              <w:rPr>
                <w:b/>
              </w:rPr>
              <w:t>3</w:t>
            </w:r>
            <w:r>
              <w:rPr>
                <w:b/>
              </w:rPr>
              <w:t>/2</w:t>
            </w:r>
            <w:r w:rsidR="0073338A">
              <w:rPr>
                <w:b/>
              </w:rPr>
              <w:t>4</w:t>
            </w:r>
          </w:p>
          <w:p w14:paraId="32C2660C" w14:textId="60D02F51" w:rsidR="009B5F60" w:rsidRPr="00A1257B" w:rsidRDefault="009B5F60" w:rsidP="009B5F60">
            <w:pPr>
              <w:pStyle w:val="Bodytext"/>
              <w:spacing w:after="60"/>
              <w:jc w:val="right"/>
              <w:rPr>
                <w:rFonts w:eastAsiaTheme="minorHAnsi"/>
                <w:bCs/>
                <w:color w:val="262626"/>
              </w:rPr>
            </w:pPr>
            <w:r>
              <w:rPr>
                <w:b/>
              </w:rPr>
              <w:t>£000</w:t>
            </w:r>
          </w:p>
        </w:tc>
        <w:tc>
          <w:tcPr>
            <w:tcW w:w="533" w:type="pct"/>
          </w:tcPr>
          <w:p w14:paraId="5CDAB184" w14:textId="10817237" w:rsidR="009B5F60" w:rsidRPr="002B08DA" w:rsidRDefault="009B5F60" w:rsidP="009B5F60">
            <w:pPr>
              <w:pStyle w:val="Bodytext"/>
              <w:keepNext/>
              <w:spacing w:after="60"/>
              <w:jc w:val="right"/>
              <w:rPr>
                <w:b/>
                <w:color w:val="A6A6A6" w:themeColor="background1" w:themeShade="A6"/>
              </w:rPr>
            </w:pPr>
            <w:r>
              <w:rPr>
                <w:b/>
                <w:color w:val="A6A6A6" w:themeColor="background1" w:themeShade="A6"/>
              </w:rPr>
              <w:t>202</w:t>
            </w:r>
            <w:r w:rsidR="00C4166A">
              <w:rPr>
                <w:b/>
                <w:color w:val="A6A6A6" w:themeColor="background1" w:themeShade="A6"/>
              </w:rPr>
              <w:t>2</w:t>
            </w:r>
            <w:r>
              <w:rPr>
                <w:b/>
                <w:color w:val="A6A6A6" w:themeColor="background1" w:themeShade="A6"/>
              </w:rPr>
              <w:t>/2</w:t>
            </w:r>
            <w:r w:rsidR="00C4166A">
              <w:rPr>
                <w:b/>
                <w:color w:val="A6A6A6" w:themeColor="background1" w:themeShade="A6"/>
              </w:rPr>
              <w:t>3</w:t>
            </w:r>
          </w:p>
          <w:p w14:paraId="15EF5AB8" w14:textId="4473388E" w:rsidR="009B5F60" w:rsidRPr="00A1257B" w:rsidRDefault="009B5F60" w:rsidP="009B5F60">
            <w:pPr>
              <w:pStyle w:val="Bodytext"/>
              <w:spacing w:after="60"/>
              <w:jc w:val="right"/>
              <w:rPr>
                <w:rFonts w:eastAsiaTheme="minorHAnsi"/>
                <w:bCs/>
                <w:color w:val="262626"/>
              </w:rPr>
            </w:pPr>
            <w:r w:rsidRPr="002B08DA">
              <w:rPr>
                <w:b/>
                <w:color w:val="A6A6A6" w:themeColor="background1" w:themeShade="A6"/>
              </w:rPr>
              <w:t>£000</w:t>
            </w:r>
          </w:p>
        </w:tc>
        <w:tc>
          <w:tcPr>
            <w:tcW w:w="533" w:type="pct"/>
            <w:shd w:val="clear" w:color="auto" w:fill="D9D9D9" w:themeFill="background1" w:themeFillShade="D9"/>
          </w:tcPr>
          <w:p w14:paraId="2A2BA8D2" w14:textId="3A221F2C" w:rsidR="009B5F60" w:rsidRDefault="009B5F60" w:rsidP="009B5F60">
            <w:pPr>
              <w:pStyle w:val="Bodytext"/>
              <w:keepNext/>
              <w:spacing w:after="60"/>
              <w:jc w:val="right"/>
              <w:rPr>
                <w:b/>
              </w:rPr>
            </w:pPr>
            <w:r>
              <w:rPr>
                <w:b/>
              </w:rPr>
              <w:t>202</w:t>
            </w:r>
            <w:r w:rsidR="00C4166A">
              <w:rPr>
                <w:b/>
              </w:rPr>
              <w:t>3</w:t>
            </w:r>
            <w:r>
              <w:rPr>
                <w:b/>
              </w:rPr>
              <w:t>/2</w:t>
            </w:r>
            <w:r w:rsidR="00C4166A">
              <w:rPr>
                <w:b/>
              </w:rPr>
              <w:t>4</w:t>
            </w:r>
          </w:p>
          <w:p w14:paraId="09E557CA" w14:textId="7A8A2F83" w:rsidR="009B5F60" w:rsidRPr="00A1257B" w:rsidRDefault="009B5F60" w:rsidP="009B5F60">
            <w:pPr>
              <w:pStyle w:val="Bodytext"/>
              <w:spacing w:after="60"/>
              <w:jc w:val="right"/>
              <w:rPr>
                <w:rFonts w:eastAsiaTheme="minorHAnsi"/>
                <w:bCs/>
                <w:color w:val="262626"/>
              </w:rPr>
            </w:pPr>
            <w:r>
              <w:rPr>
                <w:b/>
              </w:rPr>
              <w:t>£000</w:t>
            </w:r>
          </w:p>
        </w:tc>
        <w:tc>
          <w:tcPr>
            <w:tcW w:w="531" w:type="pct"/>
          </w:tcPr>
          <w:p w14:paraId="4B36AC83" w14:textId="73734DEE" w:rsidR="009B5F60" w:rsidRPr="002B08DA" w:rsidRDefault="009B5F60" w:rsidP="009B5F60">
            <w:pPr>
              <w:pStyle w:val="Bodytext"/>
              <w:keepNext/>
              <w:spacing w:after="60"/>
              <w:jc w:val="right"/>
              <w:rPr>
                <w:b/>
                <w:color w:val="A6A6A6" w:themeColor="background1" w:themeShade="A6"/>
              </w:rPr>
            </w:pPr>
            <w:r>
              <w:rPr>
                <w:b/>
                <w:color w:val="A6A6A6" w:themeColor="background1" w:themeShade="A6"/>
              </w:rPr>
              <w:t>202</w:t>
            </w:r>
            <w:r w:rsidR="00C4166A">
              <w:rPr>
                <w:b/>
                <w:color w:val="A6A6A6" w:themeColor="background1" w:themeShade="A6"/>
              </w:rPr>
              <w:t>2</w:t>
            </w:r>
            <w:r>
              <w:rPr>
                <w:b/>
                <w:color w:val="A6A6A6" w:themeColor="background1" w:themeShade="A6"/>
              </w:rPr>
              <w:t>/2</w:t>
            </w:r>
            <w:r w:rsidR="00C4166A">
              <w:rPr>
                <w:b/>
                <w:color w:val="A6A6A6" w:themeColor="background1" w:themeShade="A6"/>
              </w:rPr>
              <w:t>3</w:t>
            </w:r>
          </w:p>
          <w:p w14:paraId="59E63098" w14:textId="7794402D" w:rsidR="009B5F60" w:rsidRPr="00A1257B" w:rsidRDefault="009B5F60" w:rsidP="009B5F60">
            <w:pPr>
              <w:pStyle w:val="Bodytext"/>
              <w:spacing w:after="60"/>
              <w:jc w:val="right"/>
              <w:rPr>
                <w:rFonts w:eastAsiaTheme="minorHAnsi"/>
                <w:bCs/>
                <w:color w:val="262626"/>
              </w:rPr>
            </w:pPr>
            <w:r w:rsidRPr="002B08DA">
              <w:rPr>
                <w:b/>
                <w:color w:val="A6A6A6" w:themeColor="background1" w:themeShade="A6"/>
              </w:rPr>
              <w:t>£000</w:t>
            </w:r>
          </w:p>
        </w:tc>
      </w:tr>
      <w:tr w:rsidR="00D9313C" w:rsidRPr="00166B9B" w14:paraId="58182676" w14:textId="77777777" w:rsidTr="003A1E46">
        <w:tc>
          <w:tcPr>
            <w:tcW w:w="1687" w:type="pct"/>
            <w:shd w:val="clear" w:color="auto" w:fill="auto"/>
          </w:tcPr>
          <w:p w14:paraId="1800FEE6" w14:textId="06E1E4E6" w:rsidR="00D9313C" w:rsidRPr="00166B9B" w:rsidRDefault="00D9313C" w:rsidP="00EC1B15">
            <w:pPr>
              <w:pStyle w:val="Bodytext"/>
              <w:spacing w:after="60"/>
              <w:rPr>
                <w:b/>
                <w:bCs/>
                <w:iCs/>
              </w:rPr>
            </w:pPr>
            <w:r>
              <w:rPr>
                <w:b/>
                <w:bCs/>
              </w:rPr>
              <w:t>1 April:</w:t>
            </w:r>
          </w:p>
        </w:tc>
        <w:tc>
          <w:tcPr>
            <w:tcW w:w="547" w:type="pct"/>
            <w:shd w:val="clear" w:color="auto" w:fill="D9D9D9" w:themeFill="background1" w:themeFillShade="D9"/>
          </w:tcPr>
          <w:p w14:paraId="793F894E" w14:textId="77777777" w:rsidR="00D9313C" w:rsidRPr="00166B9B" w:rsidRDefault="00D9313C" w:rsidP="00EC1B15">
            <w:pPr>
              <w:pStyle w:val="Bodytext"/>
              <w:spacing w:after="60"/>
              <w:jc w:val="right"/>
            </w:pPr>
          </w:p>
        </w:tc>
        <w:tc>
          <w:tcPr>
            <w:tcW w:w="595" w:type="pct"/>
            <w:shd w:val="clear" w:color="auto" w:fill="auto"/>
          </w:tcPr>
          <w:p w14:paraId="158367AE" w14:textId="77777777" w:rsidR="00D9313C" w:rsidRPr="00166B9B" w:rsidRDefault="00D9313C" w:rsidP="00EC1B15">
            <w:pPr>
              <w:pStyle w:val="Bodytext"/>
              <w:spacing w:after="60"/>
              <w:jc w:val="right"/>
            </w:pPr>
          </w:p>
        </w:tc>
        <w:tc>
          <w:tcPr>
            <w:tcW w:w="575" w:type="pct"/>
            <w:shd w:val="clear" w:color="auto" w:fill="D9D9D9" w:themeFill="background1" w:themeFillShade="D9"/>
          </w:tcPr>
          <w:p w14:paraId="6D2D38E1" w14:textId="77777777" w:rsidR="00D9313C" w:rsidRPr="00166B9B" w:rsidRDefault="00D9313C" w:rsidP="00EC1B15">
            <w:pPr>
              <w:pStyle w:val="Bodytext"/>
              <w:spacing w:after="60"/>
              <w:jc w:val="right"/>
            </w:pPr>
          </w:p>
        </w:tc>
        <w:tc>
          <w:tcPr>
            <w:tcW w:w="533" w:type="pct"/>
            <w:shd w:val="clear" w:color="auto" w:fill="auto"/>
          </w:tcPr>
          <w:p w14:paraId="7AEBF231" w14:textId="77777777" w:rsidR="00D9313C" w:rsidRPr="00166B9B" w:rsidRDefault="00D9313C" w:rsidP="00EC1B15">
            <w:pPr>
              <w:pStyle w:val="Bodytext"/>
              <w:spacing w:after="60"/>
              <w:jc w:val="right"/>
            </w:pPr>
          </w:p>
        </w:tc>
        <w:tc>
          <w:tcPr>
            <w:tcW w:w="533" w:type="pct"/>
            <w:shd w:val="clear" w:color="auto" w:fill="D9D9D9" w:themeFill="background1" w:themeFillShade="D9"/>
          </w:tcPr>
          <w:p w14:paraId="48B735B7" w14:textId="77777777" w:rsidR="00D9313C" w:rsidRPr="00166B9B" w:rsidRDefault="00D9313C" w:rsidP="00EC1B15">
            <w:pPr>
              <w:pStyle w:val="Bodytext"/>
              <w:spacing w:after="60"/>
              <w:jc w:val="right"/>
            </w:pPr>
          </w:p>
        </w:tc>
        <w:tc>
          <w:tcPr>
            <w:tcW w:w="531" w:type="pct"/>
            <w:shd w:val="clear" w:color="auto" w:fill="auto"/>
          </w:tcPr>
          <w:p w14:paraId="37948752" w14:textId="77777777" w:rsidR="00D9313C" w:rsidRPr="00166B9B" w:rsidRDefault="00D9313C" w:rsidP="00EC1B15">
            <w:pPr>
              <w:pStyle w:val="Bodytext"/>
              <w:spacing w:after="60"/>
              <w:jc w:val="right"/>
            </w:pPr>
          </w:p>
        </w:tc>
      </w:tr>
      <w:tr w:rsidR="00E44F8A" w:rsidRPr="00166B9B" w14:paraId="120317B8" w14:textId="77777777" w:rsidTr="003A1E46">
        <w:tc>
          <w:tcPr>
            <w:tcW w:w="1687" w:type="pct"/>
            <w:shd w:val="clear" w:color="auto" w:fill="auto"/>
          </w:tcPr>
          <w:p w14:paraId="31885642" w14:textId="77777777" w:rsidR="00E44F8A" w:rsidRPr="00166B9B" w:rsidRDefault="00E44F8A" w:rsidP="00E44F8A">
            <w:pPr>
              <w:pStyle w:val="Bodytext"/>
              <w:spacing w:after="60"/>
              <w:rPr>
                <w:iCs/>
              </w:rPr>
            </w:pPr>
            <w:r w:rsidRPr="00166B9B">
              <w:t>Gift component of the permanent</w:t>
            </w:r>
            <w:r>
              <w:t xml:space="preserve"> </w:t>
            </w:r>
            <w:r w:rsidRPr="00166B9B">
              <w:t>endowment</w:t>
            </w:r>
          </w:p>
        </w:tc>
        <w:tc>
          <w:tcPr>
            <w:tcW w:w="547" w:type="pct"/>
            <w:shd w:val="clear" w:color="auto" w:fill="D9D9D9" w:themeFill="background1" w:themeFillShade="D9"/>
            <w:vAlign w:val="center"/>
          </w:tcPr>
          <w:p w14:paraId="5661F033" w14:textId="248F670F" w:rsidR="00E44F8A" w:rsidRPr="00166B9B" w:rsidRDefault="00E44F8A" w:rsidP="00E44F8A">
            <w:pPr>
              <w:pStyle w:val="Bodytext"/>
              <w:spacing w:after="60"/>
              <w:jc w:val="right"/>
            </w:pPr>
            <w:r>
              <w:rPr>
                <w:rFonts w:cs="Arial"/>
                <w:color w:val="424141"/>
                <w:szCs w:val="22"/>
              </w:rPr>
              <w:t>400</w:t>
            </w:r>
          </w:p>
        </w:tc>
        <w:tc>
          <w:tcPr>
            <w:tcW w:w="595" w:type="pct"/>
            <w:shd w:val="clear" w:color="auto" w:fill="auto"/>
            <w:vAlign w:val="center"/>
          </w:tcPr>
          <w:p w14:paraId="0648C6A6" w14:textId="1643C6B8" w:rsidR="00E44F8A" w:rsidRPr="00166B9B" w:rsidRDefault="00E44F8A" w:rsidP="00E44F8A">
            <w:pPr>
              <w:pStyle w:val="Bodytext"/>
              <w:spacing w:after="60"/>
              <w:jc w:val="right"/>
            </w:pPr>
            <w:r>
              <w:rPr>
                <w:rFonts w:cs="Arial"/>
                <w:color w:val="A6A6A6"/>
                <w:szCs w:val="22"/>
              </w:rPr>
              <w:t>400</w:t>
            </w:r>
          </w:p>
        </w:tc>
        <w:tc>
          <w:tcPr>
            <w:tcW w:w="575" w:type="pct"/>
            <w:shd w:val="clear" w:color="auto" w:fill="D9D9D9" w:themeFill="background1" w:themeFillShade="D9"/>
            <w:vAlign w:val="center"/>
          </w:tcPr>
          <w:p w14:paraId="30F973EC" w14:textId="412B349F" w:rsidR="00E44F8A" w:rsidRPr="00166B9B" w:rsidRDefault="00E44F8A" w:rsidP="00E44F8A">
            <w:pPr>
              <w:pStyle w:val="Bodytext"/>
              <w:spacing w:after="60"/>
              <w:jc w:val="right"/>
            </w:pPr>
            <w:r>
              <w:rPr>
                <w:rFonts w:cs="Arial"/>
                <w:color w:val="424141"/>
                <w:szCs w:val="22"/>
              </w:rPr>
              <w:t> </w:t>
            </w:r>
          </w:p>
        </w:tc>
        <w:tc>
          <w:tcPr>
            <w:tcW w:w="533" w:type="pct"/>
            <w:shd w:val="clear" w:color="auto" w:fill="auto"/>
            <w:vAlign w:val="center"/>
          </w:tcPr>
          <w:p w14:paraId="6CE0DF40" w14:textId="77777777" w:rsidR="00E44F8A" w:rsidRPr="00166B9B" w:rsidRDefault="00E44F8A" w:rsidP="00E44F8A">
            <w:pPr>
              <w:pStyle w:val="Bodytext"/>
              <w:spacing w:after="60"/>
              <w:jc w:val="right"/>
            </w:pPr>
          </w:p>
        </w:tc>
        <w:tc>
          <w:tcPr>
            <w:tcW w:w="533" w:type="pct"/>
            <w:shd w:val="clear" w:color="auto" w:fill="D9D9D9" w:themeFill="background1" w:themeFillShade="D9"/>
            <w:vAlign w:val="center"/>
          </w:tcPr>
          <w:p w14:paraId="09E19523" w14:textId="42A8D2D2" w:rsidR="00E44F8A" w:rsidRPr="00166B9B" w:rsidRDefault="00E44F8A" w:rsidP="00E44F8A">
            <w:pPr>
              <w:pStyle w:val="Bodytext"/>
              <w:spacing w:after="60"/>
              <w:jc w:val="right"/>
            </w:pPr>
            <w:r>
              <w:rPr>
                <w:rFonts w:cs="Arial"/>
                <w:color w:val="424141"/>
                <w:szCs w:val="22"/>
              </w:rPr>
              <w:t>400</w:t>
            </w:r>
          </w:p>
        </w:tc>
        <w:tc>
          <w:tcPr>
            <w:tcW w:w="531" w:type="pct"/>
            <w:shd w:val="clear" w:color="auto" w:fill="auto"/>
            <w:vAlign w:val="center"/>
          </w:tcPr>
          <w:p w14:paraId="2E230EFF" w14:textId="346A611F" w:rsidR="00E44F8A" w:rsidRPr="00166B9B" w:rsidRDefault="00E44F8A" w:rsidP="00E44F8A">
            <w:pPr>
              <w:pStyle w:val="Bodytext"/>
              <w:spacing w:after="60"/>
              <w:jc w:val="right"/>
            </w:pPr>
            <w:r>
              <w:rPr>
                <w:rFonts w:cs="Arial"/>
                <w:color w:val="A6A6A6"/>
                <w:szCs w:val="22"/>
              </w:rPr>
              <w:t>400</w:t>
            </w:r>
          </w:p>
        </w:tc>
      </w:tr>
      <w:tr w:rsidR="00E44F8A" w:rsidRPr="00166B9B" w14:paraId="3FB07ADF" w14:textId="77777777" w:rsidTr="003A1E46">
        <w:tc>
          <w:tcPr>
            <w:tcW w:w="1687" w:type="pct"/>
            <w:shd w:val="clear" w:color="auto" w:fill="auto"/>
          </w:tcPr>
          <w:p w14:paraId="1BB1A179" w14:textId="77777777" w:rsidR="00E44F8A" w:rsidRPr="00166B9B" w:rsidRDefault="00E44F8A" w:rsidP="00E44F8A">
            <w:pPr>
              <w:pStyle w:val="Bodytext"/>
              <w:spacing w:after="60"/>
            </w:pPr>
            <w:r w:rsidRPr="00166B9B">
              <w:t>Unapplied total return</w:t>
            </w:r>
          </w:p>
        </w:tc>
        <w:tc>
          <w:tcPr>
            <w:tcW w:w="547" w:type="pct"/>
            <w:tcBorders>
              <w:bottom w:val="single" w:sz="4" w:space="0" w:color="auto"/>
            </w:tcBorders>
            <w:shd w:val="clear" w:color="auto" w:fill="D9D9D9" w:themeFill="background1" w:themeFillShade="D9"/>
            <w:vAlign w:val="center"/>
          </w:tcPr>
          <w:p w14:paraId="088C5835" w14:textId="701CA88B" w:rsidR="00E44F8A" w:rsidRPr="00166B9B" w:rsidRDefault="00E44F8A" w:rsidP="00E44F8A">
            <w:pPr>
              <w:pStyle w:val="Bodytext"/>
              <w:spacing w:after="60"/>
              <w:jc w:val="right"/>
            </w:pPr>
            <w:r>
              <w:rPr>
                <w:rFonts w:cs="Arial"/>
                <w:color w:val="424141"/>
                <w:szCs w:val="22"/>
              </w:rPr>
              <w:t> </w:t>
            </w:r>
          </w:p>
        </w:tc>
        <w:tc>
          <w:tcPr>
            <w:tcW w:w="595" w:type="pct"/>
            <w:tcBorders>
              <w:bottom w:val="single" w:sz="4" w:space="0" w:color="auto"/>
            </w:tcBorders>
            <w:shd w:val="clear" w:color="auto" w:fill="auto"/>
            <w:vAlign w:val="center"/>
          </w:tcPr>
          <w:p w14:paraId="0B20940B" w14:textId="167AC4E0" w:rsidR="00E44F8A" w:rsidRDefault="00E44F8A" w:rsidP="00E44F8A">
            <w:pPr>
              <w:pStyle w:val="Bodytext"/>
              <w:spacing w:after="60"/>
              <w:jc w:val="right"/>
            </w:pPr>
            <w:r>
              <w:rPr>
                <w:rFonts w:cs="Arial"/>
                <w:color w:val="424141"/>
                <w:szCs w:val="22"/>
              </w:rPr>
              <w:t> </w:t>
            </w:r>
          </w:p>
        </w:tc>
        <w:tc>
          <w:tcPr>
            <w:tcW w:w="575" w:type="pct"/>
            <w:tcBorders>
              <w:bottom w:val="single" w:sz="4" w:space="0" w:color="auto"/>
            </w:tcBorders>
            <w:shd w:val="clear" w:color="auto" w:fill="D9D9D9" w:themeFill="background1" w:themeFillShade="D9"/>
            <w:vAlign w:val="center"/>
          </w:tcPr>
          <w:p w14:paraId="7BDC129B" w14:textId="5E54530E" w:rsidR="00E44F8A" w:rsidRPr="00166B9B" w:rsidRDefault="00E44F8A" w:rsidP="00E44F8A">
            <w:pPr>
              <w:pStyle w:val="Bodytext"/>
              <w:spacing w:after="60"/>
              <w:jc w:val="right"/>
            </w:pPr>
            <w:r>
              <w:rPr>
                <w:rFonts w:cs="Arial"/>
                <w:color w:val="424141"/>
                <w:szCs w:val="22"/>
              </w:rPr>
              <w:t>563</w:t>
            </w:r>
          </w:p>
        </w:tc>
        <w:tc>
          <w:tcPr>
            <w:tcW w:w="533" w:type="pct"/>
            <w:tcBorders>
              <w:bottom w:val="single" w:sz="4" w:space="0" w:color="auto"/>
            </w:tcBorders>
            <w:shd w:val="clear" w:color="auto" w:fill="auto"/>
            <w:vAlign w:val="center"/>
          </w:tcPr>
          <w:p w14:paraId="44C2AF62" w14:textId="68CF4AB2" w:rsidR="00E44F8A" w:rsidRPr="00166B9B" w:rsidRDefault="00E44F8A" w:rsidP="00E44F8A">
            <w:pPr>
              <w:pStyle w:val="Bodytext"/>
              <w:spacing w:after="60"/>
              <w:jc w:val="right"/>
            </w:pPr>
            <w:r>
              <w:rPr>
                <w:rFonts w:cs="Arial"/>
                <w:color w:val="A6A6A6"/>
                <w:szCs w:val="22"/>
              </w:rPr>
              <w:t>106</w:t>
            </w:r>
          </w:p>
        </w:tc>
        <w:tc>
          <w:tcPr>
            <w:tcW w:w="533" w:type="pct"/>
            <w:tcBorders>
              <w:bottom w:val="single" w:sz="4" w:space="0" w:color="auto"/>
            </w:tcBorders>
            <w:shd w:val="clear" w:color="auto" w:fill="D9D9D9" w:themeFill="background1" w:themeFillShade="D9"/>
            <w:vAlign w:val="center"/>
          </w:tcPr>
          <w:p w14:paraId="7BCF0BCE" w14:textId="62C29783" w:rsidR="00E44F8A" w:rsidRPr="00166B9B" w:rsidRDefault="00E44F8A" w:rsidP="00E44F8A">
            <w:pPr>
              <w:pStyle w:val="Bodytext"/>
              <w:spacing w:after="60"/>
              <w:jc w:val="right"/>
            </w:pPr>
            <w:r>
              <w:rPr>
                <w:rFonts w:cs="Arial"/>
                <w:color w:val="424141"/>
                <w:szCs w:val="22"/>
              </w:rPr>
              <w:t>563</w:t>
            </w:r>
          </w:p>
        </w:tc>
        <w:tc>
          <w:tcPr>
            <w:tcW w:w="531" w:type="pct"/>
            <w:tcBorders>
              <w:bottom w:val="single" w:sz="4" w:space="0" w:color="auto"/>
            </w:tcBorders>
            <w:shd w:val="clear" w:color="auto" w:fill="auto"/>
            <w:vAlign w:val="center"/>
          </w:tcPr>
          <w:p w14:paraId="5104C96F" w14:textId="2A6BD237" w:rsidR="00E44F8A" w:rsidRPr="00166B9B" w:rsidRDefault="00E44F8A" w:rsidP="00E44F8A">
            <w:pPr>
              <w:pStyle w:val="Bodytext"/>
              <w:spacing w:after="60"/>
              <w:jc w:val="right"/>
            </w:pPr>
            <w:r>
              <w:rPr>
                <w:rFonts w:cs="Arial"/>
                <w:color w:val="A6A6A6"/>
                <w:szCs w:val="22"/>
              </w:rPr>
              <w:t>106</w:t>
            </w:r>
          </w:p>
        </w:tc>
      </w:tr>
      <w:tr w:rsidR="00E44F8A" w:rsidRPr="00610587" w14:paraId="308C4BBB" w14:textId="77777777" w:rsidTr="003A1E46">
        <w:tc>
          <w:tcPr>
            <w:tcW w:w="1687" w:type="pct"/>
            <w:shd w:val="clear" w:color="auto" w:fill="auto"/>
          </w:tcPr>
          <w:p w14:paraId="706684CA" w14:textId="77777777" w:rsidR="00E44F8A" w:rsidRPr="00D408DC" w:rsidRDefault="00E44F8A" w:rsidP="00E44F8A">
            <w:pPr>
              <w:pStyle w:val="Bodytext"/>
              <w:spacing w:after="60"/>
              <w:rPr>
                <w:b/>
                <w:bCs/>
                <w:iCs/>
              </w:rPr>
            </w:pPr>
            <w:r w:rsidRPr="00D408DC">
              <w:rPr>
                <w:b/>
                <w:bCs/>
                <w:iCs/>
              </w:rPr>
              <w:t>Total</w:t>
            </w:r>
          </w:p>
        </w:tc>
        <w:tc>
          <w:tcPr>
            <w:tcW w:w="547" w:type="pct"/>
            <w:tcBorders>
              <w:top w:val="single" w:sz="4" w:space="0" w:color="auto"/>
            </w:tcBorders>
            <w:shd w:val="clear" w:color="auto" w:fill="D9D9D9" w:themeFill="background1" w:themeFillShade="D9"/>
            <w:vAlign w:val="center"/>
          </w:tcPr>
          <w:p w14:paraId="28013A09" w14:textId="25E0F5C7" w:rsidR="00E44F8A" w:rsidRPr="00D408DC" w:rsidRDefault="00E44F8A" w:rsidP="00E44F8A">
            <w:pPr>
              <w:pStyle w:val="Bodytext"/>
              <w:spacing w:after="60"/>
              <w:jc w:val="right"/>
              <w:rPr>
                <w:b/>
                <w:bCs/>
                <w:iCs/>
              </w:rPr>
            </w:pPr>
            <w:r>
              <w:rPr>
                <w:rFonts w:cs="Arial"/>
                <w:b/>
                <w:bCs/>
                <w:color w:val="424141"/>
                <w:szCs w:val="22"/>
              </w:rPr>
              <w:t>400</w:t>
            </w:r>
          </w:p>
        </w:tc>
        <w:tc>
          <w:tcPr>
            <w:tcW w:w="595" w:type="pct"/>
            <w:tcBorders>
              <w:top w:val="single" w:sz="4" w:space="0" w:color="auto"/>
            </w:tcBorders>
            <w:shd w:val="clear" w:color="auto" w:fill="auto"/>
            <w:vAlign w:val="center"/>
          </w:tcPr>
          <w:p w14:paraId="521C4076" w14:textId="6BE3CB4C" w:rsidR="00E44F8A" w:rsidRPr="00D408DC" w:rsidRDefault="00E44F8A" w:rsidP="00E44F8A">
            <w:pPr>
              <w:pStyle w:val="Bodytext"/>
              <w:spacing w:after="60"/>
              <w:jc w:val="right"/>
              <w:rPr>
                <w:b/>
                <w:bCs/>
                <w:iCs/>
              </w:rPr>
            </w:pPr>
            <w:r>
              <w:rPr>
                <w:rFonts w:cs="Arial"/>
                <w:b/>
                <w:bCs/>
                <w:color w:val="A6A6A6"/>
                <w:szCs w:val="22"/>
              </w:rPr>
              <w:t>400</w:t>
            </w:r>
          </w:p>
        </w:tc>
        <w:tc>
          <w:tcPr>
            <w:tcW w:w="575" w:type="pct"/>
            <w:tcBorders>
              <w:top w:val="single" w:sz="4" w:space="0" w:color="auto"/>
            </w:tcBorders>
            <w:shd w:val="clear" w:color="auto" w:fill="D9D9D9" w:themeFill="background1" w:themeFillShade="D9"/>
            <w:vAlign w:val="center"/>
          </w:tcPr>
          <w:p w14:paraId="20E1DCDD" w14:textId="68AA205C" w:rsidR="00E44F8A" w:rsidRPr="00D408DC" w:rsidRDefault="00E44F8A" w:rsidP="00E44F8A">
            <w:pPr>
              <w:pStyle w:val="Bodytext"/>
              <w:spacing w:after="60"/>
              <w:jc w:val="right"/>
              <w:rPr>
                <w:b/>
                <w:bCs/>
                <w:iCs/>
              </w:rPr>
            </w:pPr>
            <w:r>
              <w:rPr>
                <w:rFonts w:cs="Arial"/>
                <w:b/>
                <w:bCs/>
                <w:color w:val="424141"/>
                <w:szCs w:val="22"/>
              </w:rPr>
              <w:t>563</w:t>
            </w:r>
          </w:p>
        </w:tc>
        <w:tc>
          <w:tcPr>
            <w:tcW w:w="533" w:type="pct"/>
            <w:tcBorders>
              <w:top w:val="single" w:sz="4" w:space="0" w:color="auto"/>
            </w:tcBorders>
            <w:shd w:val="clear" w:color="auto" w:fill="auto"/>
            <w:vAlign w:val="center"/>
          </w:tcPr>
          <w:p w14:paraId="13E2D6A4" w14:textId="131FE55D" w:rsidR="00E44F8A" w:rsidRPr="00D408DC" w:rsidRDefault="00E44F8A" w:rsidP="00E44F8A">
            <w:pPr>
              <w:pStyle w:val="Bodytext"/>
              <w:spacing w:after="60"/>
              <w:jc w:val="right"/>
              <w:rPr>
                <w:b/>
                <w:bCs/>
                <w:iCs/>
              </w:rPr>
            </w:pPr>
            <w:r>
              <w:rPr>
                <w:rFonts w:cs="Arial"/>
                <w:b/>
                <w:bCs/>
                <w:color w:val="A6A6A6"/>
                <w:szCs w:val="22"/>
              </w:rPr>
              <w:t>106</w:t>
            </w:r>
          </w:p>
        </w:tc>
        <w:tc>
          <w:tcPr>
            <w:tcW w:w="533" w:type="pct"/>
            <w:tcBorders>
              <w:top w:val="single" w:sz="4" w:space="0" w:color="auto"/>
            </w:tcBorders>
            <w:shd w:val="clear" w:color="auto" w:fill="D9D9D9" w:themeFill="background1" w:themeFillShade="D9"/>
            <w:vAlign w:val="center"/>
          </w:tcPr>
          <w:p w14:paraId="00510894" w14:textId="53767B7C" w:rsidR="00E44F8A" w:rsidRPr="00D408DC" w:rsidRDefault="00E44F8A" w:rsidP="00E44F8A">
            <w:pPr>
              <w:pStyle w:val="Bodytext"/>
              <w:spacing w:after="60"/>
              <w:jc w:val="right"/>
              <w:rPr>
                <w:b/>
                <w:bCs/>
                <w:iCs/>
              </w:rPr>
            </w:pPr>
            <w:r>
              <w:rPr>
                <w:rFonts w:cs="Arial"/>
                <w:b/>
                <w:bCs/>
                <w:color w:val="424141"/>
                <w:szCs w:val="22"/>
              </w:rPr>
              <w:t>963</w:t>
            </w:r>
          </w:p>
        </w:tc>
        <w:tc>
          <w:tcPr>
            <w:tcW w:w="531" w:type="pct"/>
            <w:tcBorders>
              <w:top w:val="single" w:sz="4" w:space="0" w:color="auto"/>
            </w:tcBorders>
            <w:shd w:val="clear" w:color="auto" w:fill="auto"/>
            <w:vAlign w:val="center"/>
          </w:tcPr>
          <w:p w14:paraId="3FC2D5AE" w14:textId="6713B001" w:rsidR="00E44F8A" w:rsidRPr="00D408DC" w:rsidRDefault="00E44F8A" w:rsidP="00E44F8A">
            <w:pPr>
              <w:pStyle w:val="Bodytext"/>
              <w:spacing w:after="60"/>
              <w:jc w:val="right"/>
              <w:rPr>
                <w:b/>
                <w:bCs/>
                <w:iCs/>
              </w:rPr>
            </w:pPr>
            <w:r>
              <w:rPr>
                <w:rFonts w:cs="Arial"/>
                <w:b/>
                <w:bCs/>
                <w:color w:val="A6A6A6"/>
                <w:szCs w:val="22"/>
              </w:rPr>
              <w:t>506</w:t>
            </w:r>
          </w:p>
        </w:tc>
      </w:tr>
      <w:tr w:rsidR="00E44F8A" w:rsidRPr="00166B9B" w14:paraId="6629B01A" w14:textId="77777777" w:rsidTr="003A1E46">
        <w:tc>
          <w:tcPr>
            <w:tcW w:w="1687" w:type="pct"/>
            <w:shd w:val="clear" w:color="auto" w:fill="auto"/>
          </w:tcPr>
          <w:p w14:paraId="11420CCB" w14:textId="77777777" w:rsidR="00E44F8A" w:rsidRPr="00166B9B" w:rsidRDefault="00E44F8A" w:rsidP="00E44F8A">
            <w:pPr>
              <w:pStyle w:val="Bodytext"/>
              <w:spacing w:after="60"/>
              <w:rPr>
                <w:b/>
                <w:bCs/>
                <w:iCs/>
              </w:rPr>
            </w:pPr>
            <w:r w:rsidRPr="00166B9B">
              <w:rPr>
                <w:b/>
                <w:bCs/>
              </w:rPr>
              <w:t>Mov</w:t>
            </w:r>
            <w:r>
              <w:rPr>
                <w:b/>
                <w:bCs/>
              </w:rPr>
              <w:t>ements in the reporting period:</w:t>
            </w:r>
          </w:p>
        </w:tc>
        <w:tc>
          <w:tcPr>
            <w:tcW w:w="547" w:type="pct"/>
            <w:shd w:val="clear" w:color="auto" w:fill="D9D9D9" w:themeFill="background1" w:themeFillShade="D9"/>
            <w:vAlign w:val="center"/>
          </w:tcPr>
          <w:p w14:paraId="2DF182A4" w14:textId="7954004F" w:rsidR="00E44F8A" w:rsidRPr="00166B9B" w:rsidRDefault="00E44F8A" w:rsidP="00E44F8A">
            <w:pPr>
              <w:pStyle w:val="Bodytext"/>
              <w:spacing w:after="60"/>
              <w:jc w:val="right"/>
            </w:pPr>
            <w:r>
              <w:rPr>
                <w:rFonts w:cs="Arial"/>
                <w:color w:val="424141"/>
                <w:szCs w:val="22"/>
              </w:rPr>
              <w:t> </w:t>
            </w:r>
          </w:p>
        </w:tc>
        <w:tc>
          <w:tcPr>
            <w:tcW w:w="595" w:type="pct"/>
            <w:shd w:val="clear" w:color="auto" w:fill="auto"/>
            <w:vAlign w:val="center"/>
          </w:tcPr>
          <w:p w14:paraId="252D9E94" w14:textId="77777777" w:rsidR="00E44F8A" w:rsidRPr="00166B9B" w:rsidRDefault="00E44F8A" w:rsidP="00E44F8A">
            <w:pPr>
              <w:pStyle w:val="Bodytext"/>
              <w:spacing w:after="60"/>
              <w:jc w:val="right"/>
            </w:pPr>
          </w:p>
        </w:tc>
        <w:tc>
          <w:tcPr>
            <w:tcW w:w="575" w:type="pct"/>
            <w:shd w:val="clear" w:color="auto" w:fill="D9D9D9" w:themeFill="background1" w:themeFillShade="D9"/>
            <w:vAlign w:val="center"/>
          </w:tcPr>
          <w:p w14:paraId="622954CD" w14:textId="269CD0C2" w:rsidR="00E44F8A" w:rsidRPr="00166B9B" w:rsidRDefault="00E44F8A" w:rsidP="00E44F8A">
            <w:pPr>
              <w:pStyle w:val="Bodytext"/>
              <w:spacing w:after="60"/>
              <w:jc w:val="right"/>
            </w:pPr>
            <w:r>
              <w:rPr>
                <w:rFonts w:cs="Arial"/>
                <w:color w:val="424141"/>
                <w:szCs w:val="22"/>
              </w:rPr>
              <w:t> </w:t>
            </w:r>
          </w:p>
        </w:tc>
        <w:tc>
          <w:tcPr>
            <w:tcW w:w="533" w:type="pct"/>
            <w:shd w:val="clear" w:color="auto" w:fill="auto"/>
            <w:vAlign w:val="center"/>
          </w:tcPr>
          <w:p w14:paraId="66A72FC9" w14:textId="77777777" w:rsidR="00E44F8A" w:rsidRPr="00166B9B" w:rsidRDefault="00E44F8A" w:rsidP="00E44F8A">
            <w:pPr>
              <w:pStyle w:val="Bodytext"/>
              <w:spacing w:after="60"/>
              <w:jc w:val="right"/>
            </w:pPr>
          </w:p>
        </w:tc>
        <w:tc>
          <w:tcPr>
            <w:tcW w:w="533" w:type="pct"/>
            <w:shd w:val="clear" w:color="auto" w:fill="D9D9D9" w:themeFill="background1" w:themeFillShade="D9"/>
            <w:vAlign w:val="center"/>
          </w:tcPr>
          <w:p w14:paraId="36E120C4" w14:textId="69017844" w:rsidR="00E44F8A" w:rsidRPr="00166B9B" w:rsidRDefault="00E44F8A" w:rsidP="00E44F8A">
            <w:pPr>
              <w:pStyle w:val="Bodytext"/>
              <w:spacing w:after="60"/>
              <w:jc w:val="right"/>
            </w:pPr>
            <w:r>
              <w:rPr>
                <w:rFonts w:cs="Arial"/>
                <w:color w:val="424141"/>
                <w:szCs w:val="22"/>
              </w:rPr>
              <w:t> </w:t>
            </w:r>
          </w:p>
        </w:tc>
        <w:tc>
          <w:tcPr>
            <w:tcW w:w="531" w:type="pct"/>
            <w:shd w:val="clear" w:color="auto" w:fill="auto"/>
            <w:vAlign w:val="center"/>
          </w:tcPr>
          <w:p w14:paraId="75B2C482" w14:textId="77777777" w:rsidR="00E44F8A" w:rsidRPr="00166B9B" w:rsidRDefault="00E44F8A" w:rsidP="00E44F8A">
            <w:pPr>
              <w:pStyle w:val="Bodytext"/>
              <w:spacing w:after="60"/>
              <w:jc w:val="right"/>
            </w:pPr>
          </w:p>
        </w:tc>
      </w:tr>
      <w:tr w:rsidR="00E44F8A" w:rsidRPr="00166B9B" w14:paraId="730F66AC" w14:textId="77777777" w:rsidTr="003A1E46">
        <w:tc>
          <w:tcPr>
            <w:tcW w:w="1687" w:type="pct"/>
            <w:shd w:val="clear" w:color="auto" w:fill="auto"/>
          </w:tcPr>
          <w:p w14:paraId="6855BF77" w14:textId="77777777" w:rsidR="00E44F8A" w:rsidRPr="00166B9B" w:rsidRDefault="00E44F8A" w:rsidP="00E44F8A">
            <w:pPr>
              <w:pStyle w:val="Bodytext"/>
              <w:spacing w:after="60"/>
              <w:rPr>
                <w:iCs/>
              </w:rPr>
            </w:pPr>
            <w:r w:rsidRPr="00166B9B">
              <w:t>Investment return: realised and unrealised</w:t>
            </w:r>
            <w:r>
              <w:t xml:space="preserve"> gains and (losses)</w:t>
            </w:r>
          </w:p>
        </w:tc>
        <w:tc>
          <w:tcPr>
            <w:tcW w:w="547" w:type="pct"/>
            <w:shd w:val="clear" w:color="auto" w:fill="D9D9D9" w:themeFill="background1" w:themeFillShade="D9"/>
            <w:vAlign w:val="center"/>
          </w:tcPr>
          <w:p w14:paraId="3C9F3942" w14:textId="786FC814" w:rsidR="00E44F8A" w:rsidRPr="00166B9B" w:rsidRDefault="00E44F8A" w:rsidP="00E44F8A">
            <w:pPr>
              <w:pStyle w:val="Bodytext"/>
              <w:spacing w:after="60"/>
              <w:jc w:val="right"/>
            </w:pPr>
            <w:r>
              <w:rPr>
                <w:rFonts w:cs="Arial"/>
                <w:color w:val="424141"/>
                <w:szCs w:val="22"/>
              </w:rPr>
              <w:t> </w:t>
            </w:r>
          </w:p>
        </w:tc>
        <w:tc>
          <w:tcPr>
            <w:tcW w:w="595" w:type="pct"/>
            <w:shd w:val="clear" w:color="auto" w:fill="auto"/>
            <w:vAlign w:val="center"/>
          </w:tcPr>
          <w:p w14:paraId="43646A93" w14:textId="77777777" w:rsidR="00E44F8A" w:rsidRDefault="00E44F8A" w:rsidP="00E44F8A">
            <w:pPr>
              <w:pStyle w:val="Bodytext"/>
              <w:spacing w:after="60"/>
              <w:jc w:val="right"/>
            </w:pPr>
          </w:p>
        </w:tc>
        <w:tc>
          <w:tcPr>
            <w:tcW w:w="575" w:type="pct"/>
            <w:shd w:val="clear" w:color="auto" w:fill="D9D9D9" w:themeFill="background1" w:themeFillShade="D9"/>
            <w:vAlign w:val="center"/>
          </w:tcPr>
          <w:p w14:paraId="7E595BD2" w14:textId="1CFE064F" w:rsidR="00E44F8A" w:rsidRPr="00166B9B" w:rsidRDefault="00E44F8A" w:rsidP="00E44F8A">
            <w:pPr>
              <w:pStyle w:val="Bodytext"/>
              <w:spacing w:after="60"/>
              <w:jc w:val="right"/>
            </w:pPr>
            <w:r>
              <w:rPr>
                <w:rFonts w:cs="Arial"/>
                <w:color w:val="424141"/>
                <w:szCs w:val="22"/>
              </w:rPr>
              <w:t>-35</w:t>
            </w:r>
          </w:p>
        </w:tc>
        <w:tc>
          <w:tcPr>
            <w:tcW w:w="533" w:type="pct"/>
            <w:shd w:val="clear" w:color="auto" w:fill="auto"/>
            <w:vAlign w:val="center"/>
          </w:tcPr>
          <w:p w14:paraId="45248000" w14:textId="63CCB4CE" w:rsidR="00E44F8A" w:rsidRDefault="00E44F8A" w:rsidP="00E44F8A">
            <w:pPr>
              <w:pStyle w:val="Bodytext"/>
              <w:spacing w:after="60"/>
              <w:jc w:val="right"/>
            </w:pPr>
            <w:r>
              <w:rPr>
                <w:rFonts w:cs="Arial"/>
                <w:color w:val="A6A6A6"/>
                <w:szCs w:val="22"/>
              </w:rPr>
              <w:t>467</w:t>
            </w:r>
          </w:p>
        </w:tc>
        <w:tc>
          <w:tcPr>
            <w:tcW w:w="533" w:type="pct"/>
            <w:shd w:val="clear" w:color="auto" w:fill="D9D9D9" w:themeFill="background1" w:themeFillShade="D9"/>
            <w:vAlign w:val="center"/>
          </w:tcPr>
          <w:p w14:paraId="244F4B74" w14:textId="428B0CC6" w:rsidR="00E44F8A" w:rsidRPr="00166B9B" w:rsidRDefault="00E44F8A" w:rsidP="00E44F8A">
            <w:pPr>
              <w:pStyle w:val="Bodytext"/>
              <w:spacing w:after="60"/>
              <w:jc w:val="right"/>
            </w:pPr>
            <w:r>
              <w:rPr>
                <w:rFonts w:cs="Arial"/>
                <w:color w:val="424141"/>
                <w:szCs w:val="22"/>
              </w:rPr>
              <w:t>-35</w:t>
            </w:r>
          </w:p>
        </w:tc>
        <w:tc>
          <w:tcPr>
            <w:tcW w:w="531" w:type="pct"/>
            <w:shd w:val="clear" w:color="auto" w:fill="auto"/>
            <w:vAlign w:val="center"/>
          </w:tcPr>
          <w:p w14:paraId="110E779C" w14:textId="2601019E" w:rsidR="00E44F8A" w:rsidRDefault="00E44F8A" w:rsidP="00E44F8A">
            <w:pPr>
              <w:pStyle w:val="Bodytext"/>
              <w:spacing w:after="60"/>
              <w:jc w:val="right"/>
            </w:pPr>
            <w:r>
              <w:rPr>
                <w:rFonts w:cs="Arial"/>
                <w:color w:val="A6A6A6"/>
                <w:szCs w:val="22"/>
              </w:rPr>
              <w:t>467</w:t>
            </w:r>
          </w:p>
        </w:tc>
      </w:tr>
      <w:tr w:rsidR="00E44F8A" w:rsidRPr="00166B9B" w14:paraId="359B77D8" w14:textId="77777777" w:rsidTr="003A1E46">
        <w:tc>
          <w:tcPr>
            <w:tcW w:w="1687" w:type="pct"/>
            <w:shd w:val="clear" w:color="auto" w:fill="auto"/>
          </w:tcPr>
          <w:p w14:paraId="30E2CDDF" w14:textId="77777777" w:rsidR="00E44F8A" w:rsidRPr="00166B9B" w:rsidRDefault="00E44F8A" w:rsidP="00E44F8A">
            <w:pPr>
              <w:pStyle w:val="Bodytext"/>
              <w:spacing w:after="60"/>
              <w:rPr>
                <w:iCs/>
              </w:rPr>
            </w:pPr>
            <w:r w:rsidRPr="00166B9B">
              <w:t>Less: Investment management costs</w:t>
            </w:r>
          </w:p>
        </w:tc>
        <w:tc>
          <w:tcPr>
            <w:tcW w:w="547" w:type="pct"/>
            <w:tcBorders>
              <w:bottom w:val="single" w:sz="4" w:space="0" w:color="auto"/>
            </w:tcBorders>
            <w:shd w:val="clear" w:color="auto" w:fill="D9D9D9" w:themeFill="background1" w:themeFillShade="D9"/>
            <w:vAlign w:val="center"/>
          </w:tcPr>
          <w:p w14:paraId="0800A162" w14:textId="0FA7D1F5" w:rsidR="00E44F8A" w:rsidRPr="00166B9B" w:rsidRDefault="00E44F8A" w:rsidP="00E44F8A">
            <w:pPr>
              <w:pStyle w:val="Bodytext"/>
              <w:spacing w:after="60"/>
              <w:jc w:val="right"/>
            </w:pPr>
            <w:r>
              <w:rPr>
                <w:rFonts w:cs="Arial"/>
                <w:color w:val="424141"/>
                <w:szCs w:val="22"/>
              </w:rPr>
              <w:t> </w:t>
            </w:r>
          </w:p>
        </w:tc>
        <w:tc>
          <w:tcPr>
            <w:tcW w:w="595" w:type="pct"/>
            <w:tcBorders>
              <w:bottom w:val="single" w:sz="4" w:space="0" w:color="auto"/>
            </w:tcBorders>
            <w:shd w:val="clear" w:color="auto" w:fill="auto"/>
            <w:vAlign w:val="center"/>
          </w:tcPr>
          <w:p w14:paraId="1B3BD703" w14:textId="342E6963" w:rsidR="00E44F8A" w:rsidRDefault="00E44F8A" w:rsidP="00E44F8A">
            <w:pPr>
              <w:pStyle w:val="Bodytext"/>
              <w:spacing w:after="60"/>
              <w:jc w:val="right"/>
            </w:pPr>
            <w:r>
              <w:rPr>
                <w:rFonts w:cs="Arial"/>
                <w:color w:val="424141"/>
                <w:szCs w:val="22"/>
              </w:rPr>
              <w:t> </w:t>
            </w:r>
          </w:p>
        </w:tc>
        <w:tc>
          <w:tcPr>
            <w:tcW w:w="575" w:type="pct"/>
            <w:tcBorders>
              <w:bottom w:val="single" w:sz="4" w:space="0" w:color="auto"/>
            </w:tcBorders>
            <w:shd w:val="clear" w:color="auto" w:fill="D9D9D9" w:themeFill="background1" w:themeFillShade="D9"/>
            <w:vAlign w:val="center"/>
          </w:tcPr>
          <w:p w14:paraId="61B46096" w14:textId="555A656C" w:rsidR="00E44F8A" w:rsidRPr="00166B9B" w:rsidRDefault="002054FA" w:rsidP="00E44F8A">
            <w:pPr>
              <w:pStyle w:val="Bodytext"/>
              <w:spacing w:after="60"/>
              <w:jc w:val="right"/>
            </w:pPr>
            <w:r>
              <w:rPr>
                <w:rFonts w:cs="Arial"/>
                <w:color w:val="424141"/>
                <w:szCs w:val="22"/>
              </w:rPr>
              <w:t>-9</w:t>
            </w:r>
          </w:p>
        </w:tc>
        <w:tc>
          <w:tcPr>
            <w:tcW w:w="533" w:type="pct"/>
            <w:tcBorders>
              <w:bottom w:val="single" w:sz="4" w:space="0" w:color="auto"/>
            </w:tcBorders>
            <w:shd w:val="clear" w:color="auto" w:fill="auto"/>
            <w:vAlign w:val="center"/>
          </w:tcPr>
          <w:p w14:paraId="5FEA33CE" w14:textId="4465484E" w:rsidR="00E44F8A" w:rsidRDefault="00E44F8A" w:rsidP="00E44F8A">
            <w:pPr>
              <w:pStyle w:val="Bodytext"/>
              <w:spacing w:after="60"/>
              <w:jc w:val="right"/>
            </w:pPr>
            <w:r>
              <w:rPr>
                <w:rFonts w:cs="Arial"/>
                <w:color w:val="A6A6A6"/>
                <w:szCs w:val="22"/>
              </w:rPr>
              <w:t>-10</w:t>
            </w:r>
          </w:p>
        </w:tc>
        <w:tc>
          <w:tcPr>
            <w:tcW w:w="533" w:type="pct"/>
            <w:tcBorders>
              <w:bottom w:val="single" w:sz="4" w:space="0" w:color="auto"/>
            </w:tcBorders>
            <w:shd w:val="clear" w:color="auto" w:fill="D9D9D9" w:themeFill="background1" w:themeFillShade="D9"/>
            <w:vAlign w:val="center"/>
          </w:tcPr>
          <w:p w14:paraId="36D25375" w14:textId="5D7E1BDA" w:rsidR="00E44F8A" w:rsidRPr="00166B9B" w:rsidRDefault="00E44F8A" w:rsidP="00E44F8A">
            <w:pPr>
              <w:pStyle w:val="Bodytext"/>
              <w:spacing w:after="60"/>
              <w:jc w:val="right"/>
            </w:pPr>
            <w:r>
              <w:rPr>
                <w:rFonts w:cs="Arial"/>
                <w:color w:val="424141"/>
                <w:szCs w:val="22"/>
              </w:rPr>
              <w:t>-</w:t>
            </w:r>
            <w:r w:rsidR="005538E4">
              <w:rPr>
                <w:rFonts w:cs="Arial"/>
                <w:color w:val="424141"/>
                <w:szCs w:val="22"/>
              </w:rPr>
              <w:t>9</w:t>
            </w:r>
          </w:p>
        </w:tc>
        <w:tc>
          <w:tcPr>
            <w:tcW w:w="531" w:type="pct"/>
            <w:tcBorders>
              <w:bottom w:val="single" w:sz="4" w:space="0" w:color="auto"/>
            </w:tcBorders>
            <w:shd w:val="clear" w:color="auto" w:fill="auto"/>
            <w:vAlign w:val="center"/>
          </w:tcPr>
          <w:p w14:paraId="3DD87F61" w14:textId="24F0F6C4" w:rsidR="00E44F8A" w:rsidRDefault="00E44F8A" w:rsidP="00E44F8A">
            <w:pPr>
              <w:pStyle w:val="Bodytext"/>
              <w:spacing w:after="60"/>
              <w:jc w:val="right"/>
            </w:pPr>
            <w:r>
              <w:rPr>
                <w:rFonts w:cs="Arial"/>
                <w:color w:val="A6A6A6"/>
                <w:szCs w:val="22"/>
              </w:rPr>
              <w:t>-10</w:t>
            </w:r>
          </w:p>
        </w:tc>
      </w:tr>
      <w:tr w:rsidR="00E44F8A" w:rsidRPr="00166B9B" w14:paraId="51FC696A" w14:textId="77777777" w:rsidTr="003A1E46">
        <w:tc>
          <w:tcPr>
            <w:tcW w:w="1687" w:type="pct"/>
            <w:shd w:val="clear" w:color="auto" w:fill="auto"/>
          </w:tcPr>
          <w:p w14:paraId="28515783" w14:textId="77777777" w:rsidR="00E44F8A" w:rsidRPr="00166B9B" w:rsidRDefault="00E44F8A" w:rsidP="00E44F8A">
            <w:pPr>
              <w:pStyle w:val="Bodytext"/>
              <w:spacing w:after="60"/>
              <w:rPr>
                <w:b/>
                <w:bCs/>
                <w:i/>
                <w:iCs/>
              </w:rPr>
            </w:pPr>
            <w:r w:rsidRPr="00166B9B">
              <w:rPr>
                <w:b/>
                <w:bCs/>
                <w:i/>
              </w:rPr>
              <w:t>Net movements in reporting period</w:t>
            </w:r>
          </w:p>
        </w:tc>
        <w:tc>
          <w:tcPr>
            <w:tcW w:w="547" w:type="pct"/>
            <w:tcBorders>
              <w:top w:val="single" w:sz="4" w:space="0" w:color="auto"/>
            </w:tcBorders>
            <w:shd w:val="clear" w:color="auto" w:fill="D9D9D9" w:themeFill="background1" w:themeFillShade="D9"/>
            <w:vAlign w:val="center"/>
          </w:tcPr>
          <w:p w14:paraId="5396FF5A" w14:textId="27598FA3" w:rsidR="00E44F8A" w:rsidRPr="00166B9B" w:rsidRDefault="00E44F8A" w:rsidP="00E44F8A">
            <w:pPr>
              <w:pStyle w:val="Bodytext"/>
              <w:spacing w:after="60"/>
              <w:jc w:val="right"/>
            </w:pPr>
          </w:p>
        </w:tc>
        <w:tc>
          <w:tcPr>
            <w:tcW w:w="595" w:type="pct"/>
            <w:tcBorders>
              <w:top w:val="single" w:sz="4" w:space="0" w:color="auto"/>
            </w:tcBorders>
            <w:shd w:val="clear" w:color="auto" w:fill="auto"/>
            <w:vAlign w:val="center"/>
          </w:tcPr>
          <w:p w14:paraId="62CEF377" w14:textId="31E8205B" w:rsidR="00E44F8A" w:rsidRDefault="00E44F8A" w:rsidP="00E44F8A">
            <w:pPr>
              <w:pStyle w:val="Bodytext"/>
              <w:spacing w:after="60"/>
              <w:jc w:val="right"/>
            </w:pPr>
          </w:p>
        </w:tc>
        <w:tc>
          <w:tcPr>
            <w:tcW w:w="575" w:type="pct"/>
            <w:tcBorders>
              <w:top w:val="single" w:sz="4" w:space="0" w:color="auto"/>
            </w:tcBorders>
            <w:shd w:val="clear" w:color="auto" w:fill="D9D9D9" w:themeFill="background1" w:themeFillShade="D9"/>
            <w:vAlign w:val="center"/>
          </w:tcPr>
          <w:p w14:paraId="385EF8EB" w14:textId="1F6C6B26" w:rsidR="00E44F8A" w:rsidRPr="00166B9B" w:rsidRDefault="00E44F8A" w:rsidP="00E44F8A">
            <w:pPr>
              <w:pStyle w:val="Bodytext"/>
              <w:spacing w:after="60"/>
              <w:jc w:val="right"/>
            </w:pPr>
            <w:r>
              <w:rPr>
                <w:rFonts w:cs="Arial"/>
                <w:color w:val="424141"/>
                <w:szCs w:val="22"/>
              </w:rPr>
              <w:t>-</w:t>
            </w:r>
            <w:r w:rsidR="002054FA">
              <w:rPr>
                <w:rFonts w:cs="Arial"/>
                <w:color w:val="424141"/>
                <w:szCs w:val="22"/>
              </w:rPr>
              <w:t>44</w:t>
            </w:r>
          </w:p>
        </w:tc>
        <w:tc>
          <w:tcPr>
            <w:tcW w:w="533" w:type="pct"/>
            <w:tcBorders>
              <w:top w:val="single" w:sz="4" w:space="0" w:color="auto"/>
            </w:tcBorders>
            <w:shd w:val="clear" w:color="auto" w:fill="auto"/>
            <w:vAlign w:val="center"/>
          </w:tcPr>
          <w:p w14:paraId="2E801D4C" w14:textId="6A760CEC" w:rsidR="00E44F8A" w:rsidRDefault="00E44F8A" w:rsidP="00E44F8A">
            <w:pPr>
              <w:pStyle w:val="Bodytext"/>
              <w:spacing w:after="60"/>
              <w:jc w:val="right"/>
            </w:pPr>
            <w:r>
              <w:rPr>
                <w:rFonts w:cs="Arial"/>
                <w:color w:val="A6A6A6"/>
                <w:szCs w:val="22"/>
              </w:rPr>
              <w:t>457</w:t>
            </w:r>
          </w:p>
        </w:tc>
        <w:tc>
          <w:tcPr>
            <w:tcW w:w="533" w:type="pct"/>
            <w:tcBorders>
              <w:top w:val="single" w:sz="4" w:space="0" w:color="auto"/>
            </w:tcBorders>
            <w:shd w:val="clear" w:color="auto" w:fill="D9D9D9" w:themeFill="background1" w:themeFillShade="D9"/>
            <w:vAlign w:val="center"/>
          </w:tcPr>
          <w:p w14:paraId="03F0C2DB" w14:textId="41ACA724" w:rsidR="00E44F8A" w:rsidRPr="00166B9B" w:rsidRDefault="00E44F8A" w:rsidP="00E44F8A">
            <w:pPr>
              <w:pStyle w:val="Bodytext"/>
              <w:spacing w:after="60"/>
              <w:jc w:val="right"/>
            </w:pPr>
            <w:r>
              <w:rPr>
                <w:rFonts w:cs="Arial"/>
                <w:color w:val="424141"/>
                <w:szCs w:val="22"/>
              </w:rPr>
              <w:t>-</w:t>
            </w:r>
            <w:r w:rsidR="005538E4">
              <w:rPr>
                <w:rFonts w:cs="Arial"/>
                <w:color w:val="424141"/>
                <w:szCs w:val="22"/>
              </w:rPr>
              <w:t>44</w:t>
            </w:r>
          </w:p>
        </w:tc>
        <w:tc>
          <w:tcPr>
            <w:tcW w:w="531" w:type="pct"/>
            <w:tcBorders>
              <w:top w:val="single" w:sz="4" w:space="0" w:color="auto"/>
            </w:tcBorders>
            <w:shd w:val="clear" w:color="auto" w:fill="auto"/>
            <w:vAlign w:val="center"/>
          </w:tcPr>
          <w:p w14:paraId="467001A8" w14:textId="1371BB3A" w:rsidR="00E44F8A" w:rsidRDefault="00E44F8A" w:rsidP="00E44F8A">
            <w:pPr>
              <w:pStyle w:val="Bodytext"/>
              <w:spacing w:after="60"/>
              <w:jc w:val="right"/>
            </w:pPr>
            <w:r>
              <w:rPr>
                <w:rFonts w:cs="Arial"/>
                <w:color w:val="424141"/>
                <w:szCs w:val="22"/>
              </w:rPr>
              <w:t>457</w:t>
            </w:r>
          </w:p>
        </w:tc>
      </w:tr>
      <w:tr w:rsidR="00E44F8A" w:rsidRPr="00166B9B" w14:paraId="5F560F13" w14:textId="77777777" w:rsidTr="003A1E46">
        <w:tc>
          <w:tcPr>
            <w:tcW w:w="1687" w:type="pct"/>
            <w:shd w:val="clear" w:color="auto" w:fill="auto"/>
          </w:tcPr>
          <w:p w14:paraId="48059BBE" w14:textId="19053B37" w:rsidR="00E44F8A" w:rsidRPr="00166B9B" w:rsidRDefault="00E44F8A" w:rsidP="00E44F8A">
            <w:pPr>
              <w:pStyle w:val="Bodytext"/>
              <w:spacing w:after="60"/>
              <w:rPr>
                <w:b/>
                <w:bCs/>
                <w:i/>
                <w:iCs/>
              </w:rPr>
            </w:pPr>
            <w:r>
              <w:rPr>
                <w:b/>
                <w:bCs/>
              </w:rPr>
              <w:t>31 March</w:t>
            </w:r>
            <w:r w:rsidR="008A7203">
              <w:rPr>
                <w:b/>
                <w:bCs/>
              </w:rPr>
              <w:t xml:space="preserve"> </w:t>
            </w:r>
          </w:p>
        </w:tc>
        <w:tc>
          <w:tcPr>
            <w:tcW w:w="547" w:type="pct"/>
            <w:shd w:val="clear" w:color="auto" w:fill="D9D9D9" w:themeFill="background1" w:themeFillShade="D9"/>
            <w:vAlign w:val="center"/>
          </w:tcPr>
          <w:p w14:paraId="1A34A8C2" w14:textId="0586C691" w:rsidR="00E44F8A" w:rsidRPr="00166B9B" w:rsidRDefault="00E44F8A" w:rsidP="00E44F8A">
            <w:pPr>
              <w:pStyle w:val="Bodytext"/>
              <w:spacing w:after="60"/>
              <w:jc w:val="right"/>
            </w:pPr>
          </w:p>
        </w:tc>
        <w:tc>
          <w:tcPr>
            <w:tcW w:w="595" w:type="pct"/>
            <w:shd w:val="clear" w:color="auto" w:fill="auto"/>
            <w:vAlign w:val="center"/>
          </w:tcPr>
          <w:p w14:paraId="713AE10E" w14:textId="77777777" w:rsidR="00E44F8A" w:rsidRPr="00166B9B" w:rsidRDefault="00E44F8A" w:rsidP="00E44F8A">
            <w:pPr>
              <w:pStyle w:val="Bodytext"/>
              <w:spacing w:after="60"/>
              <w:jc w:val="right"/>
            </w:pPr>
          </w:p>
        </w:tc>
        <w:tc>
          <w:tcPr>
            <w:tcW w:w="575" w:type="pct"/>
            <w:shd w:val="clear" w:color="auto" w:fill="D9D9D9" w:themeFill="background1" w:themeFillShade="D9"/>
            <w:vAlign w:val="center"/>
          </w:tcPr>
          <w:p w14:paraId="7AD8DA55" w14:textId="1E7C570F" w:rsidR="00E44F8A" w:rsidRPr="00166B9B" w:rsidRDefault="00E44F8A" w:rsidP="00E44F8A">
            <w:pPr>
              <w:pStyle w:val="Bodytext"/>
              <w:spacing w:after="60"/>
              <w:jc w:val="right"/>
            </w:pPr>
          </w:p>
        </w:tc>
        <w:tc>
          <w:tcPr>
            <w:tcW w:w="533" w:type="pct"/>
            <w:shd w:val="clear" w:color="auto" w:fill="auto"/>
            <w:vAlign w:val="center"/>
          </w:tcPr>
          <w:p w14:paraId="6C3CDFA5" w14:textId="77777777" w:rsidR="00E44F8A" w:rsidRPr="00166B9B" w:rsidRDefault="00E44F8A" w:rsidP="00E44F8A">
            <w:pPr>
              <w:pStyle w:val="Bodytext"/>
              <w:spacing w:after="60"/>
              <w:jc w:val="right"/>
            </w:pPr>
          </w:p>
        </w:tc>
        <w:tc>
          <w:tcPr>
            <w:tcW w:w="533" w:type="pct"/>
            <w:shd w:val="clear" w:color="auto" w:fill="D9D9D9" w:themeFill="background1" w:themeFillShade="D9"/>
            <w:vAlign w:val="center"/>
          </w:tcPr>
          <w:p w14:paraId="765CA504" w14:textId="23249EA3" w:rsidR="00E44F8A" w:rsidRPr="00166B9B" w:rsidRDefault="00E44F8A" w:rsidP="00E44F8A">
            <w:pPr>
              <w:pStyle w:val="Bodytext"/>
              <w:spacing w:after="60"/>
              <w:jc w:val="right"/>
            </w:pPr>
          </w:p>
        </w:tc>
        <w:tc>
          <w:tcPr>
            <w:tcW w:w="531" w:type="pct"/>
            <w:shd w:val="clear" w:color="auto" w:fill="auto"/>
            <w:vAlign w:val="center"/>
          </w:tcPr>
          <w:p w14:paraId="5B336FD4" w14:textId="77777777" w:rsidR="00E44F8A" w:rsidRPr="00166B9B" w:rsidRDefault="00E44F8A" w:rsidP="00E44F8A">
            <w:pPr>
              <w:pStyle w:val="Bodytext"/>
              <w:spacing w:after="60"/>
              <w:jc w:val="right"/>
            </w:pPr>
          </w:p>
        </w:tc>
      </w:tr>
      <w:tr w:rsidR="00E44F8A" w:rsidRPr="00166B9B" w14:paraId="221E0C96" w14:textId="77777777" w:rsidTr="00700602">
        <w:tc>
          <w:tcPr>
            <w:tcW w:w="1687" w:type="pct"/>
            <w:shd w:val="clear" w:color="auto" w:fill="auto"/>
          </w:tcPr>
          <w:p w14:paraId="038D3DCC" w14:textId="77777777" w:rsidR="00E44F8A" w:rsidRPr="00166B9B" w:rsidRDefault="00E44F8A" w:rsidP="00E44F8A">
            <w:pPr>
              <w:pStyle w:val="Bodytext"/>
              <w:spacing w:after="60"/>
              <w:rPr>
                <w:iCs/>
              </w:rPr>
            </w:pPr>
            <w:r w:rsidRPr="00166B9B">
              <w:t>Gift component of the permanent</w:t>
            </w:r>
            <w:r>
              <w:t xml:space="preserve"> endowment</w:t>
            </w:r>
          </w:p>
        </w:tc>
        <w:tc>
          <w:tcPr>
            <w:tcW w:w="547" w:type="pct"/>
            <w:shd w:val="clear" w:color="auto" w:fill="D9D9D9" w:themeFill="background1" w:themeFillShade="D9"/>
            <w:vAlign w:val="center"/>
          </w:tcPr>
          <w:p w14:paraId="5C88722E" w14:textId="47BE25BD" w:rsidR="00E44F8A" w:rsidRPr="00166B9B" w:rsidRDefault="00E44F8A" w:rsidP="00E44F8A">
            <w:pPr>
              <w:pStyle w:val="Bodytext"/>
              <w:spacing w:after="60"/>
              <w:jc w:val="right"/>
            </w:pPr>
            <w:r>
              <w:rPr>
                <w:rFonts w:cs="Arial"/>
                <w:color w:val="424141"/>
                <w:szCs w:val="22"/>
              </w:rPr>
              <w:t>400</w:t>
            </w:r>
          </w:p>
        </w:tc>
        <w:tc>
          <w:tcPr>
            <w:tcW w:w="595" w:type="pct"/>
            <w:shd w:val="clear" w:color="auto" w:fill="auto"/>
            <w:vAlign w:val="center"/>
          </w:tcPr>
          <w:p w14:paraId="79913BF4" w14:textId="64789D58" w:rsidR="00E44F8A" w:rsidRPr="00166B9B" w:rsidRDefault="00E44F8A" w:rsidP="00E44F8A">
            <w:pPr>
              <w:pStyle w:val="Bodytext"/>
              <w:spacing w:after="60"/>
              <w:jc w:val="right"/>
            </w:pPr>
            <w:r>
              <w:rPr>
                <w:rFonts w:cs="Arial"/>
                <w:color w:val="A6A6A6"/>
                <w:szCs w:val="22"/>
              </w:rPr>
              <w:t>400</w:t>
            </w:r>
          </w:p>
        </w:tc>
        <w:tc>
          <w:tcPr>
            <w:tcW w:w="575" w:type="pct"/>
            <w:shd w:val="clear" w:color="auto" w:fill="D9D9D9" w:themeFill="background1" w:themeFillShade="D9"/>
            <w:vAlign w:val="center"/>
          </w:tcPr>
          <w:p w14:paraId="53B5F966" w14:textId="4EE691EE" w:rsidR="00E44F8A" w:rsidRPr="00166B9B" w:rsidRDefault="00E44F8A" w:rsidP="00E44F8A">
            <w:pPr>
              <w:pStyle w:val="Bodytext"/>
              <w:spacing w:after="60"/>
              <w:jc w:val="right"/>
            </w:pPr>
          </w:p>
        </w:tc>
        <w:tc>
          <w:tcPr>
            <w:tcW w:w="533" w:type="pct"/>
            <w:shd w:val="clear" w:color="auto" w:fill="auto"/>
            <w:vAlign w:val="center"/>
          </w:tcPr>
          <w:p w14:paraId="072D9E57" w14:textId="77777777" w:rsidR="00E44F8A" w:rsidRDefault="00E44F8A" w:rsidP="00E44F8A">
            <w:pPr>
              <w:pStyle w:val="Bodytext"/>
              <w:spacing w:after="60"/>
              <w:jc w:val="right"/>
            </w:pPr>
          </w:p>
        </w:tc>
        <w:tc>
          <w:tcPr>
            <w:tcW w:w="533" w:type="pct"/>
            <w:shd w:val="clear" w:color="auto" w:fill="D9D9D9" w:themeFill="background1" w:themeFillShade="D9"/>
            <w:vAlign w:val="center"/>
          </w:tcPr>
          <w:p w14:paraId="7C2032BD" w14:textId="580A26A3" w:rsidR="00E44F8A" w:rsidRPr="00166B9B" w:rsidRDefault="00E44F8A" w:rsidP="00E44F8A">
            <w:pPr>
              <w:pStyle w:val="Bodytext"/>
              <w:spacing w:after="60"/>
              <w:jc w:val="right"/>
            </w:pPr>
            <w:r>
              <w:rPr>
                <w:rFonts w:cs="Arial"/>
                <w:color w:val="424141"/>
                <w:szCs w:val="22"/>
              </w:rPr>
              <w:t>400</w:t>
            </w:r>
          </w:p>
        </w:tc>
        <w:tc>
          <w:tcPr>
            <w:tcW w:w="531" w:type="pct"/>
            <w:shd w:val="clear" w:color="auto" w:fill="auto"/>
            <w:vAlign w:val="center"/>
          </w:tcPr>
          <w:p w14:paraId="7A477345" w14:textId="7851C9F2" w:rsidR="00E44F8A" w:rsidRDefault="00E44F8A" w:rsidP="00E44F8A">
            <w:pPr>
              <w:pStyle w:val="Bodytext"/>
              <w:spacing w:after="60"/>
              <w:jc w:val="right"/>
            </w:pPr>
            <w:r>
              <w:rPr>
                <w:rFonts w:cs="Arial"/>
                <w:color w:val="A6A6A6"/>
                <w:szCs w:val="22"/>
              </w:rPr>
              <w:t>400</w:t>
            </w:r>
          </w:p>
        </w:tc>
      </w:tr>
      <w:tr w:rsidR="00E44F8A" w:rsidRPr="00166B9B" w14:paraId="13BB6045" w14:textId="77777777" w:rsidTr="00301336">
        <w:tc>
          <w:tcPr>
            <w:tcW w:w="1687" w:type="pct"/>
            <w:shd w:val="clear" w:color="auto" w:fill="auto"/>
          </w:tcPr>
          <w:p w14:paraId="75D5AD55" w14:textId="77777777" w:rsidR="00E44F8A" w:rsidRPr="00166B9B" w:rsidRDefault="00E44F8A" w:rsidP="00E44F8A">
            <w:pPr>
              <w:pStyle w:val="Bodytext"/>
              <w:spacing w:after="60"/>
              <w:rPr>
                <w:iCs/>
              </w:rPr>
            </w:pPr>
            <w:r w:rsidRPr="00166B9B">
              <w:t>Unapplied total return</w:t>
            </w:r>
          </w:p>
        </w:tc>
        <w:tc>
          <w:tcPr>
            <w:tcW w:w="547" w:type="pct"/>
            <w:tcBorders>
              <w:bottom w:val="single" w:sz="4" w:space="0" w:color="auto"/>
            </w:tcBorders>
            <w:shd w:val="clear" w:color="auto" w:fill="D9D9D9" w:themeFill="background1" w:themeFillShade="D9"/>
            <w:vAlign w:val="center"/>
          </w:tcPr>
          <w:p w14:paraId="216783BA" w14:textId="74BD3555" w:rsidR="00E44F8A" w:rsidRPr="00166B9B" w:rsidRDefault="00E44F8A" w:rsidP="00E44F8A">
            <w:pPr>
              <w:pStyle w:val="Bodytext"/>
              <w:spacing w:after="60"/>
              <w:jc w:val="right"/>
            </w:pPr>
            <w:r>
              <w:rPr>
                <w:rFonts w:cs="Arial"/>
                <w:color w:val="424141"/>
                <w:szCs w:val="22"/>
              </w:rPr>
              <w:t> </w:t>
            </w:r>
          </w:p>
        </w:tc>
        <w:tc>
          <w:tcPr>
            <w:tcW w:w="595" w:type="pct"/>
            <w:tcBorders>
              <w:bottom w:val="single" w:sz="4" w:space="0" w:color="auto"/>
            </w:tcBorders>
            <w:shd w:val="clear" w:color="auto" w:fill="auto"/>
            <w:vAlign w:val="center"/>
          </w:tcPr>
          <w:p w14:paraId="1B353523" w14:textId="19B3F7CA" w:rsidR="00E44F8A" w:rsidRDefault="00E44F8A" w:rsidP="00E44F8A">
            <w:pPr>
              <w:pStyle w:val="Bodytext"/>
              <w:spacing w:after="60"/>
              <w:jc w:val="right"/>
            </w:pPr>
            <w:r>
              <w:rPr>
                <w:rFonts w:cs="Arial"/>
                <w:color w:val="424141"/>
                <w:szCs w:val="22"/>
              </w:rPr>
              <w:t> </w:t>
            </w:r>
          </w:p>
        </w:tc>
        <w:tc>
          <w:tcPr>
            <w:tcW w:w="575" w:type="pct"/>
            <w:tcBorders>
              <w:bottom w:val="single" w:sz="4" w:space="0" w:color="auto"/>
            </w:tcBorders>
            <w:shd w:val="clear" w:color="auto" w:fill="D9D9D9" w:themeFill="background1" w:themeFillShade="D9"/>
            <w:vAlign w:val="center"/>
          </w:tcPr>
          <w:p w14:paraId="63444CE4" w14:textId="489965C8" w:rsidR="00E44F8A" w:rsidRPr="00166B9B" w:rsidRDefault="00E44F8A" w:rsidP="00E44F8A">
            <w:pPr>
              <w:pStyle w:val="Bodytext"/>
              <w:spacing w:after="60"/>
              <w:jc w:val="right"/>
            </w:pPr>
            <w:r>
              <w:rPr>
                <w:rFonts w:cs="Arial"/>
                <w:color w:val="424141"/>
                <w:szCs w:val="22"/>
              </w:rPr>
              <w:t>51</w:t>
            </w:r>
            <w:r w:rsidR="002054FA">
              <w:rPr>
                <w:rFonts w:cs="Arial"/>
                <w:color w:val="424141"/>
                <w:szCs w:val="22"/>
              </w:rPr>
              <w:t>9</w:t>
            </w:r>
          </w:p>
        </w:tc>
        <w:tc>
          <w:tcPr>
            <w:tcW w:w="533" w:type="pct"/>
            <w:tcBorders>
              <w:bottom w:val="single" w:sz="4" w:space="0" w:color="auto"/>
            </w:tcBorders>
            <w:shd w:val="clear" w:color="auto" w:fill="auto"/>
            <w:vAlign w:val="center"/>
          </w:tcPr>
          <w:p w14:paraId="4E46A41D" w14:textId="2326D60D" w:rsidR="00E44F8A" w:rsidRDefault="00E44F8A" w:rsidP="00E44F8A">
            <w:pPr>
              <w:pStyle w:val="Bodytext"/>
              <w:spacing w:after="60"/>
              <w:jc w:val="right"/>
            </w:pPr>
            <w:r>
              <w:rPr>
                <w:rFonts w:cs="Arial"/>
                <w:color w:val="A6A6A6"/>
                <w:szCs w:val="22"/>
              </w:rPr>
              <w:t>563</w:t>
            </w:r>
          </w:p>
        </w:tc>
        <w:tc>
          <w:tcPr>
            <w:tcW w:w="533" w:type="pct"/>
            <w:tcBorders>
              <w:bottom w:val="single" w:sz="4" w:space="0" w:color="auto"/>
            </w:tcBorders>
            <w:shd w:val="clear" w:color="auto" w:fill="D9D9D9" w:themeFill="background1" w:themeFillShade="D9"/>
            <w:vAlign w:val="center"/>
          </w:tcPr>
          <w:p w14:paraId="0712CBD9" w14:textId="43ED7050" w:rsidR="00E44F8A" w:rsidRPr="00166B9B" w:rsidRDefault="00E44F8A" w:rsidP="00E44F8A">
            <w:pPr>
              <w:pStyle w:val="Bodytext"/>
              <w:spacing w:after="60"/>
              <w:jc w:val="right"/>
            </w:pPr>
            <w:r>
              <w:rPr>
                <w:rFonts w:cs="Arial"/>
                <w:color w:val="424141"/>
                <w:szCs w:val="22"/>
              </w:rPr>
              <w:t>51</w:t>
            </w:r>
            <w:r w:rsidR="002E2631">
              <w:rPr>
                <w:rFonts w:cs="Arial"/>
                <w:color w:val="424141"/>
                <w:szCs w:val="22"/>
              </w:rPr>
              <w:t>9</w:t>
            </w:r>
          </w:p>
        </w:tc>
        <w:tc>
          <w:tcPr>
            <w:tcW w:w="531" w:type="pct"/>
            <w:tcBorders>
              <w:bottom w:val="single" w:sz="4" w:space="0" w:color="auto"/>
            </w:tcBorders>
            <w:shd w:val="clear" w:color="auto" w:fill="auto"/>
            <w:vAlign w:val="center"/>
          </w:tcPr>
          <w:p w14:paraId="7722F91A" w14:textId="23808D8A" w:rsidR="00E44F8A" w:rsidRDefault="00E44F8A" w:rsidP="00E44F8A">
            <w:pPr>
              <w:pStyle w:val="Bodytext"/>
              <w:spacing w:after="60"/>
              <w:jc w:val="right"/>
            </w:pPr>
            <w:r>
              <w:rPr>
                <w:rFonts w:cs="Arial"/>
                <w:color w:val="A6A6A6"/>
                <w:szCs w:val="22"/>
              </w:rPr>
              <w:t>563</w:t>
            </w:r>
          </w:p>
        </w:tc>
      </w:tr>
      <w:tr w:rsidR="00E44F8A" w:rsidRPr="00610587" w14:paraId="42678382" w14:textId="77777777" w:rsidTr="00301336">
        <w:tc>
          <w:tcPr>
            <w:tcW w:w="1687" w:type="pct"/>
            <w:shd w:val="clear" w:color="auto" w:fill="auto"/>
          </w:tcPr>
          <w:p w14:paraId="1668FA6E" w14:textId="77777777" w:rsidR="00E44F8A" w:rsidRPr="00D408DC" w:rsidRDefault="00E44F8A" w:rsidP="00E44F8A">
            <w:pPr>
              <w:pStyle w:val="Bodytext"/>
              <w:spacing w:after="60"/>
              <w:rPr>
                <w:b/>
                <w:bCs/>
                <w:iCs/>
              </w:rPr>
            </w:pPr>
            <w:r w:rsidRPr="00D408DC">
              <w:rPr>
                <w:b/>
                <w:bCs/>
                <w:iCs/>
              </w:rPr>
              <w:t>Total</w:t>
            </w:r>
          </w:p>
        </w:tc>
        <w:tc>
          <w:tcPr>
            <w:tcW w:w="547" w:type="pct"/>
            <w:tcBorders>
              <w:top w:val="single" w:sz="4" w:space="0" w:color="auto"/>
              <w:bottom w:val="double" w:sz="4" w:space="0" w:color="auto"/>
            </w:tcBorders>
            <w:shd w:val="clear" w:color="auto" w:fill="D9D9D9" w:themeFill="background1" w:themeFillShade="D9"/>
            <w:vAlign w:val="center"/>
          </w:tcPr>
          <w:p w14:paraId="545C0CC0" w14:textId="681F0868" w:rsidR="00E44F8A" w:rsidRPr="00D408DC" w:rsidRDefault="00E44F8A" w:rsidP="00E44F8A">
            <w:pPr>
              <w:pStyle w:val="Bodytext"/>
              <w:spacing w:after="60"/>
              <w:jc w:val="right"/>
              <w:rPr>
                <w:b/>
                <w:bCs/>
                <w:iCs/>
              </w:rPr>
            </w:pPr>
            <w:r>
              <w:rPr>
                <w:rFonts w:cs="Arial"/>
                <w:b/>
                <w:bCs/>
                <w:color w:val="424141"/>
                <w:szCs w:val="22"/>
              </w:rPr>
              <w:t>400</w:t>
            </w:r>
          </w:p>
        </w:tc>
        <w:tc>
          <w:tcPr>
            <w:tcW w:w="595" w:type="pct"/>
            <w:tcBorders>
              <w:top w:val="single" w:sz="4" w:space="0" w:color="auto"/>
              <w:bottom w:val="double" w:sz="4" w:space="0" w:color="auto"/>
            </w:tcBorders>
            <w:shd w:val="clear" w:color="auto" w:fill="auto"/>
            <w:vAlign w:val="center"/>
          </w:tcPr>
          <w:p w14:paraId="6A6203D4" w14:textId="52BBCC72" w:rsidR="00E44F8A" w:rsidRPr="00D408DC" w:rsidRDefault="00E44F8A" w:rsidP="00E44F8A">
            <w:pPr>
              <w:pStyle w:val="Bodytext"/>
              <w:spacing w:after="60"/>
              <w:jc w:val="right"/>
              <w:rPr>
                <w:b/>
                <w:bCs/>
                <w:iCs/>
              </w:rPr>
            </w:pPr>
            <w:r>
              <w:rPr>
                <w:rFonts w:cs="Arial"/>
                <w:b/>
                <w:bCs/>
                <w:color w:val="A6A6A6"/>
                <w:szCs w:val="22"/>
              </w:rPr>
              <w:t>400</w:t>
            </w:r>
          </w:p>
        </w:tc>
        <w:tc>
          <w:tcPr>
            <w:tcW w:w="575" w:type="pct"/>
            <w:tcBorders>
              <w:top w:val="single" w:sz="4" w:space="0" w:color="auto"/>
              <w:bottom w:val="double" w:sz="4" w:space="0" w:color="auto"/>
            </w:tcBorders>
            <w:shd w:val="clear" w:color="auto" w:fill="D9D9D9" w:themeFill="background1" w:themeFillShade="D9"/>
            <w:vAlign w:val="center"/>
          </w:tcPr>
          <w:p w14:paraId="4D39D34D" w14:textId="2B989F02" w:rsidR="00E44F8A" w:rsidRPr="00D408DC" w:rsidRDefault="002054FA" w:rsidP="00E44F8A">
            <w:pPr>
              <w:pStyle w:val="Bodytext"/>
              <w:spacing w:after="60"/>
              <w:jc w:val="right"/>
              <w:rPr>
                <w:b/>
                <w:bCs/>
                <w:iCs/>
              </w:rPr>
            </w:pPr>
            <w:r>
              <w:rPr>
                <w:rFonts w:cs="Arial"/>
                <w:b/>
                <w:bCs/>
                <w:color w:val="424141"/>
                <w:szCs w:val="22"/>
              </w:rPr>
              <w:t>519</w:t>
            </w:r>
          </w:p>
        </w:tc>
        <w:tc>
          <w:tcPr>
            <w:tcW w:w="533" w:type="pct"/>
            <w:tcBorders>
              <w:top w:val="single" w:sz="4" w:space="0" w:color="auto"/>
              <w:bottom w:val="double" w:sz="4" w:space="0" w:color="auto"/>
            </w:tcBorders>
            <w:shd w:val="clear" w:color="auto" w:fill="auto"/>
            <w:vAlign w:val="center"/>
          </w:tcPr>
          <w:p w14:paraId="3E6C1168" w14:textId="4FD6E798" w:rsidR="00E44F8A" w:rsidRPr="00D408DC" w:rsidRDefault="00E44F8A" w:rsidP="00E44F8A">
            <w:pPr>
              <w:pStyle w:val="Bodytext"/>
              <w:spacing w:after="60"/>
              <w:jc w:val="right"/>
              <w:rPr>
                <w:b/>
                <w:bCs/>
                <w:iCs/>
              </w:rPr>
            </w:pPr>
            <w:r>
              <w:rPr>
                <w:rFonts w:cs="Arial"/>
                <w:b/>
                <w:bCs/>
                <w:color w:val="A6A6A6"/>
                <w:szCs w:val="22"/>
              </w:rPr>
              <w:t>563</w:t>
            </w:r>
          </w:p>
        </w:tc>
        <w:tc>
          <w:tcPr>
            <w:tcW w:w="533" w:type="pct"/>
            <w:tcBorders>
              <w:top w:val="single" w:sz="4" w:space="0" w:color="auto"/>
              <w:bottom w:val="double" w:sz="4" w:space="0" w:color="auto"/>
            </w:tcBorders>
            <w:shd w:val="clear" w:color="auto" w:fill="D9D9D9" w:themeFill="background1" w:themeFillShade="D9"/>
            <w:vAlign w:val="center"/>
          </w:tcPr>
          <w:p w14:paraId="52E493DA" w14:textId="22DF6CF3" w:rsidR="00E44F8A" w:rsidRPr="00D408DC" w:rsidRDefault="00E44F8A" w:rsidP="00E44F8A">
            <w:pPr>
              <w:pStyle w:val="Bodytext"/>
              <w:spacing w:after="60"/>
              <w:jc w:val="right"/>
              <w:rPr>
                <w:b/>
                <w:bCs/>
                <w:iCs/>
              </w:rPr>
            </w:pPr>
            <w:r>
              <w:rPr>
                <w:rFonts w:cs="Arial"/>
                <w:b/>
                <w:bCs/>
                <w:color w:val="424141"/>
                <w:szCs w:val="22"/>
              </w:rPr>
              <w:t>91</w:t>
            </w:r>
            <w:r w:rsidR="002E2631">
              <w:rPr>
                <w:rFonts w:cs="Arial"/>
                <w:b/>
                <w:bCs/>
                <w:color w:val="424141"/>
                <w:szCs w:val="22"/>
              </w:rPr>
              <w:t>9</w:t>
            </w:r>
          </w:p>
        </w:tc>
        <w:tc>
          <w:tcPr>
            <w:tcW w:w="531" w:type="pct"/>
            <w:tcBorders>
              <w:top w:val="single" w:sz="4" w:space="0" w:color="auto"/>
              <w:bottom w:val="double" w:sz="4" w:space="0" w:color="auto"/>
            </w:tcBorders>
            <w:shd w:val="clear" w:color="auto" w:fill="auto"/>
            <w:vAlign w:val="center"/>
          </w:tcPr>
          <w:p w14:paraId="26090091" w14:textId="6FD5B36E" w:rsidR="00E44F8A" w:rsidRPr="00D408DC" w:rsidRDefault="00E44F8A" w:rsidP="00E44F8A">
            <w:pPr>
              <w:pStyle w:val="Bodytext"/>
              <w:spacing w:after="60"/>
              <w:jc w:val="right"/>
              <w:rPr>
                <w:b/>
                <w:bCs/>
                <w:iCs/>
              </w:rPr>
            </w:pPr>
            <w:r>
              <w:rPr>
                <w:rFonts w:cs="Arial"/>
                <w:b/>
                <w:bCs/>
                <w:color w:val="A6A6A6"/>
                <w:szCs w:val="22"/>
              </w:rPr>
              <w:t>963</w:t>
            </w:r>
          </w:p>
        </w:tc>
      </w:tr>
    </w:tbl>
    <w:p w14:paraId="533B1700" w14:textId="77777777" w:rsidR="00181081" w:rsidRDefault="00181081" w:rsidP="00D04D91">
      <w:pPr>
        <w:pStyle w:val="Bodytext"/>
        <w:rPr>
          <w:lang w:val="en-US"/>
        </w:rPr>
        <w:sectPr w:rsidR="00181081" w:rsidSect="00237BC5">
          <w:type w:val="continuous"/>
          <w:pgSz w:w="16840" w:h="11900" w:orient="landscape"/>
          <w:pgMar w:top="1021" w:right="1701" w:bottom="1021" w:left="851" w:header="851" w:footer="851" w:gutter="0"/>
          <w:cols w:space="720"/>
          <w:titlePg/>
          <w:docGrid w:linePitch="360"/>
        </w:sectPr>
      </w:pPr>
    </w:p>
    <w:p w14:paraId="30DAE088" w14:textId="00056BAD" w:rsidR="00F9738C" w:rsidRDefault="00F9738C">
      <w:pPr>
        <w:rPr>
          <w:color w:val="939290"/>
          <w:sz w:val="28"/>
          <w:szCs w:val="28"/>
        </w:rPr>
      </w:pPr>
    </w:p>
    <w:p w14:paraId="4C34B780" w14:textId="77777777" w:rsidR="009D771B" w:rsidRPr="00D11EB6" w:rsidRDefault="009D771B" w:rsidP="009D771B">
      <w:pPr>
        <w:pStyle w:val="Heading20pt"/>
      </w:pPr>
      <w:r w:rsidRPr="00D11EB6">
        <w:t>About the HFMA</w:t>
      </w:r>
    </w:p>
    <w:p w14:paraId="1D7096F9" w14:textId="77777777" w:rsidR="009D771B" w:rsidRPr="00D11EB6" w:rsidRDefault="009D771B" w:rsidP="009D771B">
      <w:pPr>
        <w:pStyle w:val="Bodytext"/>
      </w:pPr>
      <w:r w:rsidRPr="00D11EB6">
        <w:t xml:space="preserve">The Healthcare Financial Management Association (HFMA) is the professional body for finance staff in healthcare. For </w:t>
      </w:r>
      <w:r>
        <w:t>over</w:t>
      </w:r>
      <w:r w:rsidRPr="00D11EB6">
        <w:t xml:space="preserve"> 70 years, it has provided independent and objective advice to its members and the wider healthcare community. It is a charitable organisation that promotes best practice and innovation in financial management and governance across the UK health economy through its local and national networks.</w:t>
      </w:r>
    </w:p>
    <w:p w14:paraId="035C9066" w14:textId="77777777" w:rsidR="009D771B" w:rsidRPr="00D11EB6" w:rsidRDefault="009D771B" w:rsidP="009D771B">
      <w:pPr>
        <w:pStyle w:val="Bodytext"/>
      </w:pPr>
      <w:r w:rsidRPr="00D11EB6">
        <w:t>The association also analyses and responds to national policy and aims to exert influence in shaping the wider healthcare agenda. It has particular interest in promoting the highest professional standards in financial management and governance and is keen to work with other organisations to promote approaches that really are ‘fit for purpose’ and effective.</w:t>
      </w:r>
    </w:p>
    <w:p w14:paraId="111C468A" w14:textId="77777777" w:rsidR="009D771B" w:rsidRPr="00D11EB6" w:rsidRDefault="009D771B" w:rsidP="009D771B">
      <w:pPr>
        <w:pStyle w:val="Bodytext"/>
      </w:pPr>
      <w:r w:rsidRPr="00D11EB6">
        <w:t>The HFMA offers a range of qualifications in healthcare business and finance at undergraduate and postgraduate level and can provide a route to an MBA in healthcare finance. The qualifications are delivered through HFMA’s Academy which was launched in 2017 and has already established strong learner and alumni networks.</w:t>
      </w:r>
    </w:p>
    <w:p w14:paraId="04CAD96E" w14:textId="6CB88AC7" w:rsidR="009D771B" w:rsidRPr="00D11EB6" w:rsidRDefault="009D771B" w:rsidP="009D771B">
      <w:pPr>
        <w:pStyle w:val="Bodytext"/>
      </w:pPr>
      <w:r w:rsidRPr="00D11EB6">
        <w:t>© Healthcare Financial Management Association 20</w:t>
      </w:r>
      <w:r w:rsidR="00CE74EC">
        <w:t>2</w:t>
      </w:r>
      <w:r w:rsidR="00C4166A">
        <w:t>4</w:t>
      </w:r>
      <w:r w:rsidRPr="00D11EB6">
        <w:t>. All rights reserved.</w:t>
      </w:r>
    </w:p>
    <w:p w14:paraId="7503F466" w14:textId="77777777" w:rsidR="009D771B" w:rsidRPr="00D11EB6" w:rsidRDefault="009D771B" w:rsidP="009D771B">
      <w:pPr>
        <w:pStyle w:val="Bodytext"/>
      </w:pPr>
      <w:r w:rsidRPr="00D11EB6">
        <w:t>While every care had been taken in the preparation of this briefing, the HFMA cannot in any circumstances accept responsibility for errors or omissions, and is not responsible for any loss occasioned to any person or organisation acting or refraining from action as a result of any material in it.</w:t>
      </w:r>
    </w:p>
    <w:p w14:paraId="33C3EA09" w14:textId="77777777" w:rsidR="009D771B" w:rsidRPr="00D11EB6" w:rsidRDefault="009D771B" w:rsidP="009D771B">
      <w:pPr>
        <w:pStyle w:val="Heading1"/>
      </w:pPr>
      <w:r w:rsidRPr="00D11EB6">
        <w:t>HFMA</w:t>
      </w:r>
    </w:p>
    <w:p w14:paraId="0CBBE172" w14:textId="77777777" w:rsidR="00FE751A" w:rsidRPr="00D11EB6" w:rsidRDefault="00FE751A" w:rsidP="00FE751A">
      <w:pPr>
        <w:pStyle w:val="Bodytext"/>
      </w:pPr>
      <w:r>
        <w:t>4 Broad Plain</w:t>
      </w:r>
      <w:r w:rsidRPr="00D11EB6">
        <w:t>, Bristol BS2 0</w:t>
      </w:r>
      <w:r>
        <w:t>JP</w:t>
      </w:r>
    </w:p>
    <w:p w14:paraId="693DC665" w14:textId="77777777" w:rsidR="009D771B" w:rsidRPr="00D11EB6" w:rsidRDefault="009D771B" w:rsidP="009D771B">
      <w:pPr>
        <w:pStyle w:val="Bodytext"/>
      </w:pPr>
      <w:r w:rsidRPr="00D11EB6">
        <w:t>T 0117 929 4789</w:t>
      </w:r>
    </w:p>
    <w:p w14:paraId="01F0F553" w14:textId="215F8583" w:rsidR="009D771B" w:rsidRPr="00FE751A" w:rsidRDefault="009D771B" w:rsidP="009D771B">
      <w:pPr>
        <w:pStyle w:val="Bodytext"/>
      </w:pPr>
      <w:r w:rsidRPr="00D11EB6">
        <w:t xml:space="preserve">E </w:t>
      </w:r>
      <w:hyperlink r:id="rId36" w:history="1">
        <w:r w:rsidR="00FE751A" w:rsidRPr="00FE751A">
          <w:rPr>
            <w:rStyle w:val="Hyperlink"/>
            <w:u w:val="none"/>
          </w:rPr>
          <w:t>info@hfma.org.uk</w:t>
        </w:r>
      </w:hyperlink>
      <w:r w:rsidR="00FE751A" w:rsidRPr="00FE751A">
        <w:t xml:space="preserve"> </w:t>
      </w:r>
    </w:p>
    <w:p w14:paraId="14002275" w14:textId="77777777" w:rsidR="009D771B" w:rsidRPr="00D11EB6" w:rsidRDefault="009D771B" w:rsidP="009D771B">
      <w:pPr>
        <w:pStyle w:val="Bodytext"/>
      </w:pPr>
    </w:p>
    <w:p w14:paraId="6436A9E9" w14:textId="77777777" w:rsidR="009D771B" w:rsidRPr="00D11EB6" w:rsidRDefault="009D771B" w:rsidP="009D771B">
      <w:pPr>
        <w:pStyle w:val="Bodytext"/>
      </w:pPr>
      <w:r w:rsidRPr="00D11EB6">
        <w:t>Healthcare Financial Management Association (HFMA) is a registered charity in England and Wales, no 1114463 and Scotland, no SCO41994.</w:t>
      </w:r>
    </w:p>
    <w:p w14:paraId="20214476" w14:textId="77777777" w:rsidR="009D771B" w:rsidRPr="00D11EB6" w:rsidRDefault="009D771B" w:rsidP="009D771B">
      <w:pPr>
        <w:pStyle w:val="Bodytext"/>
      </w:pPr>
      <w:r w:rsidRPr="00D11EB6">
        <w:t>HFMA is also a limited company registered in England and Wales, no 5787972. Registered office: 110 Rochester Row, Victoria, London SW1P 1JP</w:t>
      </w:r>
    </w:p>
    <w:p w14:paraId="374C1D2A" w14:textId="77777777" w:rsidR="009D771B" w:rsidRPr="00D11EB6" w:rsidRDefault="009D771B" w:rsidP="009D771B">
      <w:pPr>
        <w:pStyle w:val="Bodytext"/>
      </w:pPr>
    </w:p>
    <w:p w14:paraId="7E0793DE" w14:textId="6891A3D1" w:rsidR="009D771B" w:rsidRPr="00FE751A" w:rsidRDefault="00000000" w:rsidP="009D771B">
      <w:pPr>
        <w:pStyle w:val="Bodytext"/>
      </w:pPr>
      <w:hyperlink r:id="rId37" w:history="1">
        <w:r w:rsidR="00FE751A" w:rsidRPr="00FE751A">
          <w:rPr>
            <w:rStyle w:val="Hyperlink"/>
            <w:u w:val="none"/>
          </w:rPr>
          <w:t>www.hfma.org.uk</w:t>
        </w:r>
      </w:hyperlink>
      <w:r w:rsidR="00FE751A" w:rsidRPr="00FE751A">
        <w:t xml:space="preserve"> </w:t>
      </w:r>
    </w:p>
    <w:p w14:paraId="4F013927" w14:textId="07D33213" w:rsidR="00012F13" w:rsidRDefault="00012F13" w:rsidP="00603758">
      <w:pPr>
        <w:pStyle w:val="Strapline24pt"/>
        <w:rPr>
          <w:sz w:val="28"/>
          <w:szCs w:val="28"/>
        </w:rPr>
      </w:pPr>
    </w:p>
    <w:sectPr w:rsidR="00012F13" w:rsidSect="00237BC5">
      <w:headerReference w:type="first" r:id="rId38"/>
      <w:footerReference w:type="first" r:id="rId39"/>
      <w:pgSz w:w="11900" w:h="16840"/>
      <w:pgMar w:top="1134" w:right="1021" w:bottom="720" w:left="1021" w:header="720" w:footer="7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38F8C9" w14:textId="77777777" w:rsidR="00237BC5" w:rsidRDefault="00237BC5" w:rsidP="00332E60">
      <w:r>
        <w:separator/>
      </w:r>
    </w:p>
    <w:p w14:paraId="72AD0FA8" w14:textId="77777777" w:rsidR="00237BC5" w:rsidRDefault="00237BC5"/>
  </w:endnote>
  <w:endnote w:type="continuationSeparator" w:id="0">
    <w:p w14:paraId="20E69782" w14:textId="77777777" w:rsidR="00237BC5" w:rsidRDefault="00237BC5" w:rsidP="00332E60">
      <w:r>
        <w:continuationSeparator/>
      </w:r>
    </w:p>
    <w:p w14:paraId="494F2C78" w14:textId="77777777" w:rsidR="00237BC5" w:rsidRDefault="00237BC5"/>
  </w:endnote>
  <w:endnote w:type="continuationNotice" w:id="1">
    <w:p w14:paraId="5FF8FC78" w14:textId="77777777" w:rsidR="00237BC5" w:rsidRDefault="00237B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Arial-BoldMT">
    <w:altName w:val="Arial"/>
    <w:charset w:val="00"/>
    <w:family w:val="auto"/>
    <w:pitch w:val="variable"/>
    <w:sig w:usb0="E0002AFF" w:usb1="C0007843" w:usb2="00000009" w:usb3="00000000" w:csb0="000001FF" w:csb1="00000000"/>
  </w:font>
  <w:font w:name="MinionPro-Regular">
    <w:altName w:val="Calibri"/>
    <w:charset w:val="00"/>
    <w:family w:val="roman"/>
    <w:pitch w:val="variable"/>
    <w:sig w:usb0="60000287" w:usb1="00000001" w:usb2="00000000" w:usb3="00000000" w:csb0="0000019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Ink Free">
    <w:panose1 w:val="03080402000500000000"/>
    <w:charset w:val="00"/>
    <w:family w:val="script"/>
    <w:pitch w:val="variable"/>
    <w:sig w:usb0="2000068F" w:usb1="4000000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697628" w14:textId="77777777" w:rsidR="00EC1B15" w:rsidRPr="002F2963" w:rsidRDefault="00EC1B15" w:rsidP="00735983">
    <w:pPr>
      <w:pStyle w:val="Footer"/>
      <w:framePr w:wrap="none" w:vAnchor="text" w:hAnchor="margin" w:xAlign="right" w:y="1"/>
      <w:rPr>
        <w:rStyle w:val="PageNumber"/>
        <w:b/>
        <w:sz w:val="16"/>
        <w:szCs w:val="16"/>
      </w:rPr>
    </w:pPr>
    <w:r w:rsidRPr="002F2963">
      <w:rPr>
        <w:rStyle w:val="PageNumber"/>
        <w:b/>
        <w:sz w:val="16"/>
        <w:szCs w:val="16"/>
      </w:rPr>
      <w:fldChar w:fldCharType="begin"/>
    </w:r>
    <w:r w:rsidRPr="002F2963">
      <w:rPr>
        <w:rStyle w:val="PageNumber"/>
        <w:b/>
        <w:sz w:val="16"/>
        <w:szCs w:val="16"/>
      </w:rPr>
      <w:instrText xml:space="preserve">PAGE  </w:instrText>
    </w:r>
    <w:r w:rsidRPr="002F2963">
      <w:rPr>
        <w:rStyle w:val="PageNumber"/>
        <w:b/>
        <w:sz w:val="16"/>
        <w:szCs w:val="16"/>
      </w:rPr>
      <w:fldChar w:fldCharType="separate"/>
    </w:r>
    <w:r>
      <w:rPr>
        <w:rStyle w:val="PageNumber"/>
        <w:b/>
        <w:noProof/>
        <w:sz w:val="16"/>
        <w:szCs w:val="16"/>
      </w:rPr>
      <w:t>2</w:t>
    </w:r>
    <w:r w:rsidRPr="002F2963">
      <w:rPr>
        <w:rStyle w:val="PageNumber"/>
        <w:b/>
        <w:sz w:val="16"/>
        <w:szCs w:val="16"/>
      </w:rPr>
      <w:fldChar w:fldCharType="end"/>
    </w:r>
  </w:p>
  <w:tbl>
    <w:tblPr>
      <w:tblpPr w:leftFromText="181" w:rightFromText="181" w:vertAnchor="page" w:horzAnchor="page" w:tblpX="1046" w:tblpY="16025"/>
      <w:tblW w:w="10065" w:type="dxa"/>
      <w:tblBorders>
        <w:top w:val="single" w:sz="6" w:space="0" w:color="FF6600"/>
      </w:tblBorders>
      <w:tblLook w:val="04A0" w:firstRow="1" w:lastRow="0" w:firstColumn="1" w:lastColumn="0" w:noHBand="0" w:noVBand="1"/>
    </w:tblPr>
    <w:tblGrid>
      <w:gridCol w:w="5935"/>
      <w:gridCol w:w="4130"/>
    </w:tblGrid>
    <w:tr w:rsidR="00EC1B15" w:rsidRPr="001D08D2" w14:paraId="276A2C58" w14:textId="77777777" w:rsidTr="00EC1B15">
      <w:trPr>
        <w:trHeight w:val="391"/>
      </w:trPr>
      <w:tc>
        <w:tcPr>
          <w:tcW w:w="5935" w:type="dxa"/>
          <w:shd w:val="clear" w:color="auto" w:fill="auto"/>
          <w:vAlign w:val="bottom"/>
        </w:tcPr>
        <w:p w14:paraId="7AC0E5B9" w14:textId="0F1E36D9" w:rsidR="00EC1B15" w:rsidRPr="001D08D2" w:rsidRDefault="00EC1B15" w:rsidP="002F2963">
          <w:pPr>
            <w:pStyle w:val="Footer"/>
            <w:ind w:right="360"/>
          </w:pPr>
          <w:r w:rsidRPr="002F2963">
            <w:rPr>
              <w:rFonts w:cs="Arial"/>
              <w:b/>
              <w:bCs/>
              <w:color w:val="F5821E"/>
              <w:sz w:val="16"/>
              <w:szCs w:val="16"/>
              <w:lang w:val="en-GB" w:eastAsia="en-GB"/>
            </w:rPr>
            <w:t xml:space="preserve">HFMA identifier name here </w:t>
          </w:r>
          <w:r w:rsidRPr="002F2963">
            <w:rPr>
              <w:rFonts w:cs="Arial"/>
              <w:color w:val="57585A"/>
              <w:sz w:val="16"/>
              <w:szCs w:val="16"/>
              <w:lang w:val="en-GB" w:eastAsia="en-GB"/>
            </w:rPr>
            <w:t>Document title here</w:t>
          </w:r>
        </w:p>
      </w:tc>
      <w:tc>
        <w:tcPr>
          <w:tcW w:w="4130" w:type="dxa"/>
          <w:shd w:val="clear" w:color="auto" w:fill="auto"/>
          <w:vAlign w:val="bottom"/>
        </w:tcPr>
        <w:p w14:paraId="5539D9ED" w14:textId="173C6C2B" w:rsidR="00EC1B15" w:rsidRPr="001D08D2" w:rsidRDefault="00EC1B15" w:rsidP="006B4F83">
          <w:pPr>
            <w:pStyle w:val="Footer"/>
            <w:rPr>
              <w:color w:val="424141"/>
            </w:rPr>
          </w:pPr>
        </w:p>
      </w:tc>
    </w:tr>
  </w:tbl>
  <w:p w14:paraId="2115654B" w14:textId="77777777" w:rsidR="00EC1B15" w:rsidRDefault="00EC1B15">
    <w:pPr>
      <w:pStyle w:val="Footer"/>
    </w:pPr>
  </w:p>
  <w:p w14:paraId="765D4C5D" w14:textId="77777777" w:rsidR="00EC1B15" w:rsidRDefault="00EC1B1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2ADAB4" w14:textId="77777777" w:rsidR="00BB3C24" w:rsidRPr="00144FFC" w:rsidRDefault="00BB3C24" w:rsidP="00021532">
    <w:pPr>
      <w:pStyle w:val="Footer"/>
      <w:framePr w:wrap="none" w:vAnchor="text" w:hAnchor="page" w:x="15640" w:y="1309"/>
      <w:jc w:val="center"/>
      <w:rPr>
        <w:rStyle w:val="PageNumber"/>
        <w:color w:val="44546A" w:themeColor="text2"/>
        <w:sz w:val="16"/>
        <w:szCs w:val="16"/>
      </w:rPr>
    </w:pPr>
    <w:r w:rsidRPr="00144FFC">
      <w:rPr>
        <w:rStyle w:val="PageNumber"/>
        <w:color w:val="44546A" w:themeColor="text2"/>
        <w:sz w:val="16"/>
        <w:szCs w:val="16"/>
      </w:rPr>
      <w:fldChar w:fldCharType="begin"/>
    </w:r>
    <w:r w:rsidRPr="00144FFC">
      <w:rPr>
        <w:rStyle w:val="PageNumber"/>
        <w:color w:val="44546A" w:themeColor="text2"/>
        <w:sz w:val="16"/>
        <w:szCs w:val="16"/>
      </w:rPr>
      <w:instrText xml:space="preserve">PAGE  </w:instrText>
    </w:r>
    <w:r w:rsidRPr="00144FFC">
      <w:rPr>
        <w:rStyle w:val="PageNumber"/>
        <w:color w:val="44546A" w:themeColor="text2"/>
        <w:sz w:val="16"/>
        <w:szCs w:val="16"/>
      </w:rPr>
      <w:fldChar w:fldCharType="separate"/>
    </w:r>
    <w:r>
      <w:rPr>
        <w:rStyle w:val="PageNumber"/>
        <w:color w:val="44546A" w:themeColor="text2"/>
        <w:sz w:val="16"/>
        <w:szCs w:val="16"/>
      </w:rPr>
      <w:t>52</w:t>
    </w:r>
    <w:r w:rsidRPr="00144FFC">
      <w:rPr>
        <w:rStyle w:val="PageNumber"/>
        <w:color w:val="44546A" w:themeColor="text2"/>
        <w:sz w:val="16"/>
        <w:szCs w:val="16"/>
      </w:rPr>
      <w:fldChar w:fldCharType="end"/>
    </w:r>
  </w:p>
  <w:p w14:paraId="03150768" w14:textId="77777777" w:rsidR="00BB3C24" w:rsidRDefault="00BB3C24" w:rsidP="00BB3C24">
    <w:pPr>
      <w:pStyle w:val="Footer"/>
      <w:framePr w:hSpace="181" w:wrap="around" w:vAnchor="page" w:hAnchor="page" w:x="1046" w:y="16025"/>
      <w:ind w:right="360"/>
      <w:rPr>
        <w:rStyle w:val="PageNumber"/>
      </w:rPr>
    </w:pPr>
  </w:p>
  <w:tbl>
    <w:tblPr>
      <w:tblpPr w:leftFromText="181" w:rightFromText="181" w:vertAnchor="page" w:horzAnchor="page" w:tblpX="762" w:tblpY="16025"/>
      <w:tblW w:w="15165" w:type="dxa"/>
      <w:tblBorders>
        <w:top w:val="single" w:sz="4" w:space="0" w:color="64AFE1" w:themeColor="accent2"/>
      </w:tblBorders>
      <w:tblLook w:val="04A0" w:firstRow="1" w:lastRow="0" w:firstColumn="1" w:lastColumn="0" w:noHBand="0" w:noVBand="1"/>
    </w:tblPr>
    <w:tblGrid>
      <w:gridCol w:w="6219"/>
      <w:gridCol w:w="8946"/>
    </w:tblGrid>
    <w:tr w:rsidR="00BB3C24" w:rsidRPr="00B02B5B" w14:paraId="22C9B159" w14:textId="77777777">
      <w:trPr>
        <w:trHeight w:val="391"/>
      </w:trPr>
      <w:tc>
        <w:tcPr>
          <w:tcW w:w="6219" w:type="dxa"/>
          <w:shd w:val="clear" w:color="auto" w:fill="auto"/>
          <w:vAlign w:val="bottom"/>
        </w:tcPr>
        <w:p w14:paraId="58C9D65B" w14:textId="019CCA69" w:rsidR="00BB3C24" w:rsidRDefault="00BB3C24" w:rsidP="00BB3C24">
          <w:pPr>
            <w:pStyle w:val="Footer"/>
            <w:spacing w:before="240"/>
            <w:ind w:right="360"/>
            <w:rPr>
              <w:rStyle w:val="A3"/>
              <w:b w:val="0"/>
              <w:color w:val="44546A" w:themeColor="text2"/>
            </w:rPr>
          </w:pPr>
          <w:r w:rsidRPr="00B500A4">
            <w:rPr>
              <w:rStyle w:val="A3"/>
              <w:color w:val="64AFE1" w:themeColor="accent2"/>
            </w:rPr>
            <w:t>HFMA</w:t>
          </w:r>
          <w:r>
            <w:rPr>
              <w:rStyle w:val="A3"/>
              <w:b w:val="0"/>
              <w:color w:val="44546A" w:themeColor="text2"/>
            </w:rPr>
            <w:t xml:space="preserve"> </w:t>
          </w:r>
          <w:r w:rsidRPr="00146806">
            <w:rPr>
              <w:rStyle w:val="A3"/>
              <w:bCs w:val="0"/>
              <w:color w:val="44546A" w:themeColor="text2"/>
            </w:rPr>
            <w:t>N</w:t>
          </w:r>
          <w:r>
            <w:rPr>
              <w:rStyle w:val="A3"/>
              <w:color w:val="44546A" w:themeColor="text2"/>
            </w:rPr>
            <w:t xml:space="preserve">HS charitable funds example annual report and accounts </w:t>
          </w:r>
          <w:r w:rsidR="007A62D1">
            <w:rPr>
              <w:rStyle w:val="A3"/>
              <w:color w:val="44546A" w:themeColor="text2"/>
            </w:rPr>
            <w:t>2023/24</w:t>
          </w:r>
        </w:p>
        <w:p w14:paraId="44F29AA3" w14:textId="77777777" w:rsidR="00BB3C24" w:rsidRPr="001D08D2" w:rsidRDefault="00BB3C24" w:rsidP="00BB3C24">
          <w:pPr>
            <w:pStyle w:val="Footer"/>
            <w:ind w:right="360"/>
          </w:pPr>
        </w:p>
      </w:tc>
      <w:tc>
        <w:tcPr>
          <w:tcW w:w="8946" w:type="dxa"/>
          <w:shd w:val="clear" w:color="auto" w:fill="auto"/>
          <w:vAlign w:val="bottom"/>
        </w:tcPr>
        <w:p w14:paraId="2A232EDE" w14:textId="77777777" w:rsidR="00BB3C24" w:rsidRPr="00B02B5B" w:rsidRDefault="00BB3C24" w:rsidP="00BB3C24">
          <w:pPr>
            <w:pStyle w:val="Footer"/>
            <w:jc w:val="center"/>
            <w:rPr>
              <w:b/>
              <w:color w:val="424141"/>
              <w:sz w:val="14"/>
              <w:szCs w:val="14"/>
            </w:rPr>
          </w:pPr>
        </w:p>
      </w:tc>
    </w:tr>
  </w:tbl>
  <w:p w14:paraId="1511C93B" w14:textId="77777777" w:rsidR="00EC1B15" w:rsidRPr="00D00CC9" w:rsidRDefault="00EC1B15" w:rsidP="003E08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F72E28" w14:textId="234A5769" w:rsidR="00EC1B15" w:rsidRDefault="00EC1B15" w:rsidP="00DD7A8A">
    <w:pPr>
      <w:pStyle w:val="Footer"/>
    </w:pPr>
    <w:r>
      <w:rPr>
        <w:noProof/>
      </w:rPr>
      <w:drawing>
        <wp:anchor distT="0" distB="0" distL="114300" distR="114300" simplePos="0" relativeHeight="251658245" behindDoc="0" locked="0" layoutInCell="1" allowOverlap="1" wp14:anchorId="64550BC1" wp14:editId="2DB0DF2E">
          <wp:simplePos x="0" y="0"/>
          <wp:positionH relativeFrom="margin">
            <wp:posOffset>4361815</wp:posOffset>
          </wp:positionH>
          <wp:positionV relativeFrom="margin">
            <wp:posOffset>8823960</wp:posOffset>
          </wp:positionV>
          <wp:extent cx="2065426" cy="619125"/>
          <wp:effectExtent l="0" t="0" r="0" b="0"/>
          <wp:wrapSquare wrapText="bothSides"/>
          <wp:docPr id="1411415092" name="Picture 141141509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5426" cy="619125"/>
                  </a:xfrm>
                  <a:prstGeom prst="rect">
                    <a:avLst/>
                  </a:prstGeom>
                  <a:noFill/>
                  <a:ln>
                    <a:noFill/>
                  </a:ln>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E186A7" w14:textId="77777777" w:rsidR="00EC1B15" w:rsidRPr="00144FFC" w:rsidRDefault="00EC1B15" w:rsidP="00021532">
    <w:pPr>
      <w:pStyle w:val="Footer"/>
      <w:framePr w:wrap="none" w:vAnchor="text" w:hAnchor="page" w:x="15684" w:y="1213"/>
      <w:jc w:val="center"/>
      <w:rPr>
        <w:rStyle w:val="PageNumber"/>
        <w:color w:val="44546A" w:themeColor="text2"/>
        <w:sz w:val="16"/>
        <w:szCs w:val="16"/>
      </w:rPr>
    </w:pPr>
    <w:r w:rsidRPr="00144FFC">
      <w:rPr>
        <w:rStyle w:val="PageNumber"/>
        <w:color w:val="44546A" w:themeColor="text2"/>
        <w:sz w:val="16"/>
        <w:szCs w:val="16"/>
      </w:rPr>
      <w:fldChar w:fldCharType="begin"/>
    </w:r>
    <w:r w:rsidRPr="00144FFC">
      <w:rPr>
        <w:rStyle w:val="PageNumber"/>
        <w:color w:val="44546A" w:themeColor="text2"/>
        <w:sz w:val="16"/>
        <w:szCs w:val="16"/>
      </w:rPr>
      <w:instrText xml:space="preserve">PAGE  </w:instrText>
    </w:r>
    <w:r w:rsidRPr="00144FFC">
      <w:rPr>
        <w:rStyle w:val="PageNumber"/>
        <w:color w:val="44546A" w:themeColor="text2"/>
        <w:sz w:val="16"/>
        <w:szCs w:val="16"/>
      </w:rPr>
      <w:fldChar w:fldCharType="separate"/>
    </w:r>
    <w:r>
      <w:rPr>
        <w:rStyle w:val="PageNumber"/>
        <w:color w:val="44546A" w:themeColor="text2"/>
        <w:sz w:val="16"/>
        <w:szCs w:val="16"/>
      </w:rPr>
      <w:t>2</w:t>
    </w:r>
    <w:r w:rsidRPr="00144FFC">
      <w:rPr>
        <w:rStyle w:val="PageNumber"/>
        <w:color w:val="44546A" w:themeColor="text2"/>
        <w:sz w:val="16"/>
        <w:szCs w:val="16"/>
      </w:rPr>
      <w:fldChar w:fldCharType="end"/>
    </w:r>
  </w:p>
  <w:p w14:paraId="10F79494" w14:textId="77777777" w:rsidR="00EC1B15" w:rsidRDefault="00EC1B15" w:rsidP="005C4992">
    <w:pPr>
      <w:pStyle w:val="Footer"/>
      <w:framePr w:hSpace="181" w:wrap="around" w:vAnchor="page" w:hAnchor="page" w:x="1046" w:y="16025"/>
      <w:ind w:right="360"/>
      <w:rPr>
        <w:rStyle w:val="PageNumber"/>
      </w:rPr>
    </w:pPr>
  </w:p>
  <w:tbl>
    <w:tblPr>
      <w:tblpPr w:leftFromText="181" w:rightFromText="181" w:vertAnchor="page" w:horzAnchor="page" w:tblpX="762" w:tblpY="16025"/>
      <w:tblW w:w="15165" w:type="dxa"/>
      <w:tblBorders>
        <w:top w:val="single" w:sz="4" w:space="0" w:color="64AFE1" w:themeColor="accent2"/>
      </w:tblBorders>
      <w:tblLook w:val="04A0" w:firstRow="1" w:lastRow="0" w:firstColumn="1" w:lastColumn="0" w:noHBand="0" w:noVBand="1"/>
    </w:tblPr>
    <w:tblGrid>
      <w:gridCol w:w="6219"/>
      <w:gridCol w:w="8946"/>
    </w:tblGrid>
    <w:tr w:rsidR="00EC1B15" w:rsidRPr="00B02B5B" w14:paraId="6EEA19B7" w14:textId="77777777" w:rsidTr="00B500A4">
      <w:trPr>
        <w:trHeight w:val="391"/>
      </w:trPr>
      <w:tc>
        <w:tcPr>
          <w:tcW w:w="6219" w:type="dxa"/>
          <w:shd w:val="clear" w:color="auto" w:fill="auto"/>
          <w:vAlign w:val="bottom"/>
        </w:tcPr>
        <w:p w14:paraId="050BB86D" w14:textId="2DACC300" w:rsidR="00EC1B15" w:rsidRDefault="00EC1B15" w:rsidP="005C4992">
          <w:pPr>
            <w:pStyle w:val="Footer"/>
            <w:spacing w:before="240"/>
            <w:ind w:right="360"/>
            <w:rPr>
              <w:rStyle w:val="A3"/>
              <w:b w:val="0"/>
              <w:color w:val="44546A" w:themeColor="text2"/>
            </w:rPr>
          </w:pPr>
          <w:r w:rsidRPr="00B500A4">
            <w:rPr>
              <w:rStyle w:val="A3"/>
              <w:color w:val="64AFE1" w:themeColor="accent2"/>
            </w:rPr>
            <w:t>HFMA</w:t>
          </w:r>
          <w:r>
            <w:rPr>
              <w:rStyle w:val="A3"/>
              <w:b w:val="0"/>
              <w:color w:val="44546A" w:themeColor="text2"/>
            </w:rPr>
            <w:t xml:space="preserve"> N</w:t>
          </w:r>
          <w:r>
            <w:rPr>
              <w:rStyle w:val="A3"/>
              <w:color w:val="44546A" w:themeColor="text2"/>
            </w:rPr>
            <w:t>HS charitable funds example annual report and accounts 202</w:t>
          </w:r>
          <w:r w:rsidR="00301368">
            <w:rPr>
              <w:rStyle w:val="A3"/>
              <w:color w:val="44546A" w:themeColor="text2"/>
            </w:rPr>
            <w:t>3</w:t>
          </w:r>
          <w:r w:rsidR="00730153">
            <w:rPr>
              <w:rStyle w:val="A3"/>
              <w:color w:val="44546A" w:themeColor="text2"/>
            </w:rPr>
            <w:t>/24</w:t>
          </w:r>
        </w:p>
        <w:p w14:paraId="2EFA4779" w14:textId="77777777" w:rsidR="00EC1B15" w:rsidRDefault="00EC1B15" w:rsidP="005C4992">
          <w:pPr>
            <w:pStyle w:val="Footer"/>
            <w:ind w:right="360"/>
          </w:pPr>
        </w:p>
        <w:p w14:paraId="2DAEEC17" w14:textId="76762F1C" w:rsidR="00EC1B15" w:rsidRPr="001D08D2" w:rsidRDefault="00EC1B15" w:rsidP="005C4992">
          <w:pPr>
            <w:pStyle w:val="Footer"/>
            <w:ind w:right="360"/>
          </w:pPr>
        </w:p>
      </w:tc>
      <w:tc>
        <w:tcPr>
          <w:tcW w:w="8946" w:type="dxa"/>
          <w:shd w:val="clear" w:color="auto" w:fill="auto"/>
          <w:vAlign w:val="bottom"/>
        </w:tcPr>
        <w:p w14:paraId="2AA3F491" w14:textId="77777777" w:rsidR="00EC1B15" w:rsidRPr="00B02B5B" w:rsidRDefault="00EC1B15" w:rsidP="005C4992">
          <w:pPr>
            <w:pStyle w:val="Footer"/>
            <w:jc w:val="center"/>
            <w:rPr>
              <w:b/>
              <w:color w:val="424141"/>
              <w:sz w:val="14"/>
              <w:szCs w:val="14"/>
            </w:rPr>
          </w:pPr>
        </w:p>
      </w:tc>
    </w:tr>
  </w:tbl>
  <w:p w14:paraId="25E986C8" w14:textId="6063F9E2" w:rsidR="00EC1B15" w:rsidRDefault="00EC1B15" w:rsidP="00507F8B">
    <w:pPr>
      <w:pStyle w:val="Footer"/>
      <w:tabs>
        <w:tab w:val="clear" w:pos="4513"/>
        <w:tab w:val="clear" w:pos="9026"/>
        <w:tab w:val="left" w:pos="3165"/>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pPr w:leftFromText="181" w:rightFromText="181" w:vertAnchor="page" w:horzAnchor="page" w:tblpX="1046" w:tblpY="16025"/>
      <w:tblW w:w="14175" w:type="dxa"/>
      <w:tblBorders>
        <w:top w:val="single" w:sz="4" w:space="0" w:color="44546A" w:themeColor="text2"/>
      </w:tblBorders>
      <w:tblCellMar>
        <w:left w:w="0" w:type="dxa"/>
        <w:right w:w="0" w:type="dxa"/>
      </w:tblCellMar>
      <w:tblLook w:val="04A0" w:firstRow="1" w:lastRow="0" w:firstColumn="1" w:lastColumn="0" w:noHBand="0" w:noVBand="1"/>
    </w:tblPr>
    <w:tblGrid>
      <w:gridCol w:w="7938"/>
      <w:gridCol w:w="6237"/>
    </w:tblGrid>
    <w:tr w:rsidR="00EC1B15" w:rsidRPr="001D08D2" w14:paraId="50D3F173" w14:textId="77777777" w:rsidTr="00EC1B15">
      <w:trPr>
        <w:trHeight w:val="411"/>
      </w:trPr>
      <w:tc>
        <w:tcPr>
          <w:tcW w:w="7938" w:type="dxa"/>
          <w:shd w:val="clear" w:color="auto" w:fill="auto"/>
          <w:vAlign w:val="center"/>
        </w:tcPr>
        <w:p w14:paraId="250604E9" w14:textId="77777777" w:rsidR="00EC1B15" w:rsidRDefault="00EC1B15" w:rsidP="00EC1B15">
          <w:pPr>
            <w:pStyle w:val="Footer1"/>
            <w:framePr w:hSpace="0" w:wrap="auto" w:vAnchor="margin" w:hAnchor="text" w:xAlign="left" w:yAlign="inline"/>
            <w:rPr>
              <w:sz w:val="10"/>
            </w:rPr>
          </w:pPr>
          <w:r w:rsidRPr="00BC6AF2">
            <w:rPr>
              <w:noProof/>
              <w:color w:val="FFFFFF" w:themeColor="background1"/>
              <w:lang w:val="en-GB" w:eastAsia="en-GB"/>
            </w:rPr>
            <w:drawing>
              <wp:anchor distT="0" distB="0" distL="114300" distR="114300" simplePos="0" relativeHeight="251658244" behindDoc="0" locked="0" layoutInCell="1" allowOverlap="1" wp14:anchorId="636CA762" wp14:editId="5A5E570E">
                <wp:simplePos x="0" y="0"/>
                <wp:positionH relativeFrom="column">
                  <wp:posOffset>3175</wp:posOffset>
                </wp:positionH>
                <wp:positionV relativeFrom="paragraph">
                  <wp:posOffset>48260</wp:posOffset>
                </wp:positionV>
                <wp:extent cx="219075" cy="219075"/>
                <wp:effectExtent l="0" t="0" r="9525" b="952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14:sizeRelH relativeFrom="page">
                  <wp14:pctWidth>0</wp14:pctWidth>
                </wp14:sizeRelH>
                <wp14:sizeRelV relativeFrom="page">
                  <wp14:pctHeight>0</wp14:pctHeight>
                </wp14:sizeRelV>
              </wp:anchor>
            </w:drawing>
          </w:r>
          <w:r w:rsidRPr="003D2D8B">
            <w:rPr>
              <w:sz w:val="10"/>
            </w:rPr>
            <w:t xml:space="preserve"> </w:t>
          </w:r>
        </w:p>
        <w:p w14:paraId="72F71783" w14:textId="77777777" w:rsidR="00EC1B15" w:rsidRPr="00030507" w:rsidRDefault="00EC1B15" w:rsidP="00EC1B15">
          <w:pPr>
            <w:pStyle w:val="Footer1"/>
            <w:framePr w:hSpace="0" w:wrap="auto" w:vAnchor="margin" w:hAnchor="text" w:xAlign="left" w:yAlign="inline"/>
            <w:rPr>
              <w:sz w:val="4"/>
            </w:rPr>
          </w:pPr>
        </w:p>
        <w:p w14:paraId="0C4DF7A0" w14:textId="77777777" w:rsidR="00EC1B15" w:rsidRPr="006A1210" w:rsidRDefault="00EC1B15" w:rsidP="00EC1B15">
          <w:pPr>
            <w:pStyle w:val="Footer1"/>
            <w:framePr w:hSpace="0" w:wrap="auto" w:vAnchor="margin" w:hAnchor="text" w:xAlign="left" w:yAlign="inline"/>
            <w:rPr>
              <w:b w:val="0"/>
              <w:color w:val="1C1C1C"/>
            </w:rPr>
          </w:pPr>
          <w:r>
            <w:t>HFMA briefing</w:t>
          </w:r>
        </w:p>
      </w:tc>
      <w:tc>
        <w:tcPr>
          <w:tcW w:w="6237" w:type="dxa"/>
          <w:shd w:val="clear" w:color="auto" w:fill="auto"/>
          <w:vAlign w:val="bottom"/>
        </w:tcPr>
        <w:p w14:paraId="2621727E" w14:textId="77777777" w:rsidR="00EC1B15" w:rsidRDefault="00EC1B15" w:rsidP="00EC1B15">
          <w:pPr>
            <w:pStyle w:val="Footer"/>
            <w:jc w:val="right"/>
            <w:rPr>
              <w:b/>
              <w:color w:val="1C1C1C"/>
              <w:sz w:val="16"/>
              <w:szCs w:val="16"/>
            </w:rPr>
          </w:pPr>
        </w:p>
        <w:p w14:paraId="6C321C8B" w14:textId="77777777" w:rsidR="00EC1B15" w:rsidRPr="00BF6132" w:rsidRDefault="00EC1B15" w:rsidP="00EC1B15">
          <w:pPr>
            <w:pStyle w:val="Footer"/>
            <w:jc w:val="right"/>
            <w:rPr>
              <w:rStyle w:val="PageNumber"/>
              <w:sz w:val="16"/>
              <w:szCs w:val="16"/>
            </w:rPr>
          </w:pPr>
          <w:r w:rsidRPr="00BF6132">
            <w:rPr>
              <w:rStyle w:val="PageNumber"/>
              <w:sz w:val="16"/>
              <w:szCs w:val="16"/>
            </w:rPr>
            <w:fldChar w:fldCharType="begin"/>
          </w:r>
          <w:r w:rsidRPr="00BF6132">
            <w:rPr>
              <w:rStyle w:val="PageNumber"/>
              <w:sz w:val="16"/>
              <w:szCs w:val="16"/>
            </w:rPr>
            <w:instrText xml:space="preserve">PAGE  </w:instrText>
          </w:r>
          <w:r w:rsidRPr="00BF6132">
            <w:rPr>
              <w:rStyle w:val="PageNumber"/>
              <w:sz w:val="16"/>
              <w:szCs w:val="16"/>
            </w:rPr>
            <w:fldChar w:fldCharType="separate"/>
          </w:r>
          <w:r>
            <w:rPr>
              <w:rStyle w:val="PageNumber"/>
              <w:sz w:val="16"/>
              <w:szCs w:val="16"/>
            </w:rPr>
            <w:t>2</w:t>
          </w:r>
          <w:r w:rsidRPr="00BF6132">
            <w:rPr>
              <w:rStyle w:val="PageNumber"/>
              <w:sz w:val="16"/>
              <w:szCs w:val="16"/>
            </w:rPr>
            <w:fldChar w:fldCharType="end"/>
          </w:r>
        </w:p>
        <w:p w14:paraId="597DF95B" w14:textId="77777777" w:rsidR="00EC1B15" w:rsidRPr="00450327" w:rsidRDefault="00EC1B15" w:rsidP="00EC1B15">
          <w:pPr>
            <w:pStyle w:val="Footer"/>
            <w:jc w:val="right"/>
            <w:rPr>
              <w:b/>
              <w:color w:val="1C1C1C"/>
              <w:sz w:val="16"/>
              <w:szCs w:val="16"/>
            </w:rPr>
          </w:pPr>
        </w:p>
      </w:tc>
    </w:tr>
  </w:tbl>
  <w:p w14:paraId="6DE29700" w14:textId="77777777" w:rsidR="00EC1B15" w:rsidRPr="00D608A4" w:rsidRDefault="00EC1B15" w:rsidP="00EC1B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779A45" w14:textId="77777777" w:rsidR="00EC1B15" w:rsidRPr="00144FFC" w:rsidRDefault="00EC1B15" w:rsidP="00262930">
    <w:pPr>
      <w:pStyle w:val="Footer"/>
      <w:framePr w:wrap="none" w:vAnchor="text" w:hAnchor="page" w:x="10942" w:y="355"/>
      <w:rPr>
        <w:rStyle w:val="PageNumber"/>
        <w:color w:val="44546A" w:themeColor="text2"/>
        <w:sz w:val="16"/>
        <w:szCs w:val="16"/>
      </w:rPr>
    </w:pPr>
    <w:r w:rsidRPr="00144FFC">
      <w:rPr>
        <w:rStyle w:val="PageNumber"/>
        <w:color w:val="44546A" w:themeColor="text2"/>
        <w:sz w:val="16"/>
        <w:szCs w:val="16"/>
      </w:rPr>
      <w:fldChar w:fldCharType="begin"/>
    </w:r>
    <w:r w:rsidRPr="00144FFC">
      <w:rPr>
        <w:rStyle w:val="PageNumber"/>
        <w:color w:val="44546A" w:themeColor="text2"/>
        <w:sz w:val="16"/>
        <w:szCs w:val="16"/>
      </w:rPr>
      <w:instrText xml:space="preserve">PAGE  </w:instrText>
    </w:r>
    <w:r w:rsidRPr="00144FFC">
      <w:rPr>
        <w:rStyle w:val="PageNumber"/>
        <w:color w:val="44546A" w:themeColor="text2"/>
        <w:sz w:val="16"/>
        <w:szCs w:val="16"/>
      </w:rPr>
      <w:fldChar w:fldCharType="separate"/>
    </w:r>
    <w:r>
      <w:rPr>
        <w:rStyle w:val="PageNumber"/>
        <w:color w:val="44546A" w:themeColor="text2"/>
        <w:sz w:val="16"/>
        <w:szCs w:val="16"/>
      </w:rPr>
      <w:t>2</w:t>
    </w:r>
    <w:r w:rsidRPr="00144FFC">
      <w:rPr>
        <w:rStyle w:val="PageNumber"/>
        <w:color w:val="44546A" w:themeColor="text2"/>
        <w:sz w:val="16"/>
        <w:szCs w:val="16"/>
      </w:rPr>
      <w:fldChar w:fldCharType="end"/>
    </w:r>
  </w:p>
  <w:p w14:paraId="4D663C75" w14:textId="77777777" w:rsidR="00EC1B15" w:rsidRDefault="00EC1B15" w:rsidP="00262930">
    <w:pPr>
      <w:pStyle w:val="Footer"/>
      <w:framePr w:hSpace="181" w:wrap="around" w:vAnchor="page" w:hAnchor="page" w:x="1046" w:y="16025"/>
      <w:ind w:right="360"/>
      <w:rPr>
        <w:rStyle w:val="PageNumber"/>
      </w:rPr>
    </w:pPr>
  </w:p>
  <w:tbl>
    <w:tblPr>
      <w:tblpPr w:leftFromText="181" w:rightFromText="181" w:vertAnchor="page" w:horzAnchor="page" w:tblpX="1046" w:tblpY="16025"/>
      <w:tblW w:w="10065" w:type="dxa"/>
      <w:tblBorders>
        <w:top w:val="single" w:sz="4" w:space="0" w:color="64AFE1" w:themeColor="accent2"/>
      </w:tblBorders>
      <w:tblLook w:val="04A0" w:firstRow="1" w:lastRow="0" w:firstColumn="1" w:lastColumn="0" w:noHBand="0" w:noVBand="1"/>
    </w:tblPr>
    <w:tblGrid>
      <w:gridCol w:w="6237"/>
      <w:gridCol w:w="3828"/>
    </w:tblGrid>
    <w:tr w:rsidR="00EC1B15" w:rsidRPr="001D08D2" w14:paraId="2E4FFF47" w14:textId="77777777" w:rsidTr="00021532">
      <w:trPr>
        <w:trHeight w:val="391"/>
      </w:trPr>
      <w:tc>
        <w:tcPr>
          <w:tcW w:w="6237" w:type="dxa"/>
          <w:shd w:val="clear" w:color="auto" w:fill="auto"/>
          <w:vAlign w:val="bottom"/>
        </w:tcPr>
        <w:p w14:paraId="2FC85F1A" w14:textId="1CDC93B6" w:rsidR="00EC1B15" w:rsidRDefault="00EC1B15" w:rsidP="009B5F60">
          <w:pPr>
            <w:pStyle w:val="Footer"/>
            <w:spacing w:before="240"/>
            <w:ind w:right="360"/>
            <w:rPr>
              <w:rStyle w:val="A3"/>
              <w:b w:val="0"/>
              <w:color w:val="44546A" w:themeColor="text2"/>
            </w:rPr>
          </w:pPr>
          <w:r w:rsidRPr="00B500A4">
            <w:rPr>
              <w:rStyle w:val="A3"/>
              <w:color w:val="64AFE1" w:themeColor="accent2"/>
            </w:rPr>
            <w:t>HFMA</w:t>
          </w:r>
          <w:r>
            <w:rPr>
              <w:rStyle w:val="A3"/>
              <w:b w:val="0"/>
              <w:color w:val="44546A" w:themeColor="text2"/>
            </w:rPr>
            <w:t xml:space="preserve"> N</w:t>
          </w:r>
          <w:r>
            <w:rPr>
              <w:rStyle w:val="A3"/>
              <w:color w:val="44546A" w:themeColor="text2"/>
            </w:rPr>
            <w:t>HS charitable funds example annual report and accounts 202</w:t>
          </w:r>
          <w:r w:rsidR="004B6F72">
            <w:rPr>
              <w:rStyle w:val="A3"/>
              <w:color w:val="44546A" w:themeColor="text2"/>
            </w:rPr>
            <w:t>3</w:t>
          </w:r>
          <w:r>
            <w:rPr>
              <w:rStyle w:val="A3"/>
              <w:color w:val="44546A" w:themeColor="text2"/>
            </w:rPr>
            <w:t>/2</w:t>
          </w:r>
          <w:r w:rsidR="004B6F72">
            <w:rPr>
              <w:rStyle w:val="A3"/>
              <w:color w:val="44546A" w:themeColor="text2"/>
            </w:rPr>
            <w:t>4</w:t>
          </w:r>
        </w:p>
        <w:p w14:paraId="662A23DA" w14:textId="3CB4421B" w:rsidR="00EC1B15" w:rsidRPr="001D08D2" w:rsidRDefault="00EC1B15" w:rsidP="00262930">
          <w:pPr>
            <w:pStyle w:val="Footer"/>
            <w:ind w:right="360"/>
          </w:pPr>
        </w:p>
      </w:tc>
      <w:tc>
        <w:tcPr>
          <w:tcW w:w="3828" w:type="dxa"/>
          <w:shd w:val="clear" w:color="auto" w:fill="auto"/>
          <w:vAlign w:val="bottom"/>
        </w:tcPr>
        <w:p w14:paraId="79AE49BE" w14:textId="77777777" w:rsidR="00EC1B15" w:rsidRPr="002B538A" w:rsidRDefault="00EC1B15" w:rsidP="00262930">
          <w:pPr>
            <w:pStyle w:val="Footer"/>
            <w:jc w:val="center"/>
            <w:rPr>
              <w:b/>
              <w:color w:val="424141"/>
              <w:sz w:val="16"/>
              <w:szCs w:val="16"/>
            </w:rPr>
          </w:pPr>
        </w:p>
      </w:tc>
    </w:tr>
  </w:tbl>
  <w:p w14:paraId="4E010702" w14:textId="77777777" w:rsidR="00EC1B15" w:rsidRDefault="00EC1B15" w:rsidP="00262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5D0642" w14:textId="77777777" w:rsidR="00237BC5" w:rsidRDefault="00237BC5">
      <w:r>
        <w:separator/>
      </w:r>
    </w:p>
  </w:footnote>
  <w:footnote w:type="continuationSeparator" w:id="0">
    <w:p w14:paraId="05CFFDD5" w14:textId="77777777" w:rsidR="00237BC5" w:rsidRDefault="00237BC5" w:rsidP="00332E60">
      <w:r>
        <w:continuationSeparator/>
      </w:r>
    </w:p>
    <w:p w14:paraId="17498F0D" w14:textId="77777777" w:rsidR="00237BC5" w:rsidRDefault="00237BC5"/>
  </w:footnote>
  <w:footnote w:type="continuationNotice" w:id="1">
    <w:p w14:paraId="65A99C53" w14:textId="77777777" w:rsidR="00237BC5" w:rsidRDefault="00237BC5"/>
  </w:footnote>
  <w:footnote w:id="2">
    <w:p w14:paraId="259A6F15" w14:textId="57C1A5F9" w:rsidR="00EC1B15" w:rsidRPr="00EC3564" w:rsidRDefault="00EC1B15">
      <w:pPr>
        <w:pStyle w:val="FootnoteText"/>
        <w:rPr>
          <w:lang w:val="en-GB"/>
        </w:rPr>
      </w:pPr>
      <w:r>
        <w:rPr>
          <w:rStyle w:val="FootnoteReference"/>
        </w:rPr>
        <w:footnoteRef/>
      </w:r>
      <w:r>
        <w:t xml:space="preserve"> </w:t>
      </w:r>
      <w:r w:rsidRPr="00AE7A16">
        <w:rPr>
          <w:color w:val="auto"/>
          <w:lang w:val="en-GB"/>
        </w:rPr>
        <w:t xml:space="preserve">Charity Commission for England and Wales, </w:t>
      </w:r>
      <w:hyperlink r:id="rId1" w:history="1">
        <w:r w:rsidRPr="00AE7A16">
          <w:rPr>
            <w:rStyle w:val="Hyperlink"/>
            <w:i/>
            <w:iCs/>
          </w:rPr>
          <w:t>Charity reporting and accounting: the essentials November 2016 (CC15d)</w:t>
        </w:r>
      </w:hyperlink>
      <w:r w:rsidRPr="00AE7A16">
        <w:rPr>
          <w:i/>
          <w:iCs/>
        </w:rPr>
        <w:t>,</w:t>
      </w:r>
      <w:r>
        <w:t xml:space="preserve"> </w:t>
      </w:r>
      <w:r w:rsidRPr="00AE7A16">
        <w:rPr>
          <w:color w:val="auto"/>
        </w:rPr>
        <w:t xml:space="preserve">updated </w:t>
      </w:r>
      <w:r w:rsidR="00D864C2">
        <w:rPr>
          <w:color w:val="auto"/>
        </w:rPr>
        <w:t>June 2023</w:t>
      </w:r>
    </w:p>
  </w:footnote>
  <w:footnote w:id="3">
    <w:p w14:paraId="1DD29B29" w14:textId="47391480" w:rsidR="00EC1B15" w:rsidRPr="0078343B" w:rsidRDefault="00EC1B15" w:rsidP="00CD376B">
      <w:pPr>
        <w:pStyle w:val="FootnoteText"/>
        <w:rPr>
          <w:lang w:val="en-GB"/>
        </w:rPr>
      </w:pPr>
      <w:r>
        <w:rPr>
          <w:rStyle w:val="FootnoteReference"/>
        </w:rPr>
        <w:footnoteRef/>
      </w:r>
      <w:r>
        <w:t xml:space="preserve"> </w:t>
      </w:r>
      <w:r w:rsidRPr="00952788">
        <w:rPr>
          <w:color w:val="auto"/>
          <w:lang w:val="en-GB"/>
        </w:rPr>
        <w:t xml:space="preserve">Charity Commission for England and Wales, Charity Commission for Northern Ireland and OSCR, </w:t>
      </w:r>
      <w:hyperlink r:id="rId2" w:history="1">
        <w:r w:rsidRPr="00831C71">
          <w:rPr>
            <w:rStyle w:val="Hyperlink"/>
            <w:i/>
            <w:iCs/>
          </w:rPr>
          <w:t>Charities SORP (FRS 102)</w:t>
        </w:r>
      </w:hyperlink>
      <w:r w:rsidRPr="00AF1FE3">
        <w:t xml:space="preserve">, </w:t>
      </w:r>
      <w:r w:rsidRPr="00952788">
        <w:rPr>
          <w:color w:val="auto"/>
        </w:rPr>
        <w:t>October 2019</w:t>
      </w:r>
    </w:p>
  </w:footnote>
  <w:footnote w:id="4">
    <w:p w14:paraId="30A20167" w14:textId="77777777" w:rsidR="00EC1B15" w:rsidRPr="00952788" w:rsidRDefault="00EC1B15" w:rsidP="00E847BF">
      <w:pPr>
        <w:pStyle w:val="FootnoteText"/>
        <w:rPr>
          <w:color w:val="auto"/>
          <w:lang w:val="en-GB"/>
        </w:rPr>
      </w:pPr>
      <w:r>
        <w:rPr>
          <w:rStyle w:val="FootnoteReference"/>
        </w:rPr>
        <w:footnoteRef/>
      </w:r>
      <w:r>
        <w:t xml:space="preserve"> </w:t>
      </w:r>
      <w:r w:rsidRPr="00952788">
        <w:rPr>
          <w:color w:val="auto"/>
          <w:lang w:val="en-GB"/>
        </w:rPr>
        <w:t>FRS,</w:t>
      </w:r>
      <w:r>
        <w:rPr>
          <w:lang w:val="en-GB"/>
        </w:rPr>
        <w:t xml:space="preserve"> </w:t>
      </w:r>
      <w:hyperlink r:id="rId3" w:history="1">
        <w:r w:rsidRPr="00A04572">
          <w:rPr>
            <w:rStyle w:val="Hyperlink"/>
            <w:i/>
            <w:iCs/>
          </w:rPr>
          <w:t>FRS 102 the financial reporting standard applicable in the UK and Republic of Ireland</w:t>
        </w:r>
      </w:hyperlink>
      <w:r>
        <w:t xml:space="preserve">, </w:t>
      </w:r>
      <w:r w:rsidRPr="00952788">
        <w:rPr>
          <w:color w:val="auto"/>
        </w:rPr>
        <w:t>accessed 21 March 2022</w:t>
      </w:r>
    </w:p>
  </w:footnote>
  <w:footnote w:id="5">
    <w:p w14:paraId="1889DA75" w14:textId="1F636B25" w:rsidR="00EC1B15" w:rsidRPr="009C4043" w:rsidRDefault="00EC1B15" w:rsidP="00BB5C81">
      <w:pPr>
        <w:pStyle w:val="FootnoteText"/>
        <w:rPr>
          <w:lang w:val="en-GB"/>
        </w:rPr>
      </w:pPr>
      <w:r>
        <w:rPr>
          <w:rStyle w:val="FootnoteReference"/>
        </w:rPr>
        <w:footnoteRef/>
      </w:r>
      <w:r>
        <w:t xml:space="preserve"> </w:t>
      </w:r>
      <w:r w:rsidRPr="00952788">
        <w:rPr>
          <w:color w:val="auto"/>
          <w:lang w:val="en-GB"/>
        </w:rPr>
        <w:t xml:space="preserve">Charity Commission for England and Wales, Charity Commission for Northern Ireland and OSCR, </w:t>
      </w:r>
      <w:hyperlink r:id="rId4" w:history="1">
        <w:r w:rsidRPr="00BF4903">
          <w:rPr>
            <w:rStyle w:val="Hyperlink"/>
            <w:i/>
            <w:iCs/>
            <w:lang w:val="en-GB"/>
          </w:rPr>
          <w:t>Application guidance for charity accounting</w:t>
        </w:r>
      </w:hyperlink>
      <w:r w:rsidRPr="00952788">
        <w:rPr>
          <w:color w:val="auto"/>
          <w:lang w:val="en-GB"/>
        </w:rPr>
        <w:t>, accessed 21 March 2022</w:t>
      </w:r>
    </w:p>
  </w:footnote>
  <w:footnote w:id="6">
    <w:p w14:paraId="0A756654" w14:textId="2CF16648" w:rsidR="003260E0" w:rsidRPr="00EB3171" w:rsidRDefault="003260E0" w:rsidP="003260E0">
      <w:pPr>
        <w:pStyle w:val="FootnoteText"/>
        <w:rPr>
          <w:lang w:val="en-GB"/>
        </w:rPr>
      </w:pPr>
      <w:r>
        <w:rPr>
          <w:rStyle w:val="FootnoteReference"/>
        </w:rPr>
        <w:footnoteRef/>
      </w:r>
      <w:r>
        <w:t xml:space="preserve"> </w:t>
      </w:r>
      <w:r w:rsidRPr="00BE2E4B">
        <w:rPr>
          <w:color w:val="auto"/>
          <w:lang w:val="en-GB"/>
        </w:rPr>
        <w:t>FR</w:t>
      </w:r>
      <w:r w:rsidR="002C4776">
        <w:rPr>
          <w:color w:val="auto"/>
          <w:lang w:val="en-GB"/>
        </w:rPr>
        <w:t>C</w:t>
      </w:r>
      <w:r w:rsidRPr="00BE2E4B">
        <w:rPr>
          <w:color w:val="auto"/>
          <w:lang w:val="en-GB"/>
        </w:rPr>
        <w:t>,</w:t>
      </w:r>
      <w:r>
        <w:rPr>
          <w:lang w:val="en-GB"/>
        </w:rPr>
        <w:t xml:space="preserve"> </w:t>
      </w:r>
      <w:hyperlink r:id="rId5" w:history="1">
        <w:r w:rsidRPr="00EB3171">
          <w:rPr>
            <w:rStyle w:val="Hyperlink"/>
            <w:i/>
            <w:iCs/>
          </w:rPr>
          <w:t>FRC revises UK and Ireland accounting standards</w:t>
        </w:r>
      </w:hyperlink>
      <w:r>
        <w:rPr>
          <w:lang w:val="en-GB"/>
        </w:rPr>
        <w:t>, accessed March 2024</w:t>
      </w:r>
    </w:p>
  </w:footnote>
  <w:footnote w:id="7">
    <w:p w14:paraId="54E35AD6" w14:textId="4076E2D3" w:rsidR="003260E0" w:rsidRPr="00EB3171" w:rsidRDefault="003260E0" w:rsidP="003260E0">
      <w:pPr>
        <w:pStyle w:val="FootnoteText"/>
        <w:rPr>
          <w:lang w:val="en-GB"/>
        </w:rPr>
      </w:pPr>
      <w:r>
        <w:rPr>
          <w:rStyle w:val="FootnoteReference"/>
        </w:rPr>
        <w:footnoteRef/>
      </w:r>
      <w:r>
        <w:t xml:space="preserve"> </w:t>
      </w:r>
      <w:r w:rsidR="00305DE9" w:rsidRPr="00952788">
        <w:rPr>
          <w:color w:val="auto"/>
          <w:lang w:val="en-GB"/>
        </w:rPr>
        <w:t>Charity Commission for England and Wales, Charity Commission for Northern Ireland and OSCR</w:t>
      </w:r>
      <w:r>
        <w:rPr>
          <w:lang w:val="en-GB"/>
        </w:rPr>
        <w:t xml:space="preserve">, </w:t>
      </w:r>
      <w:hyperlink r:id="rId6" w:history="1">
        <w:r w:rsidR="00305DE9" w:rsidRPr="00566C51">
          <w:rPr>
            <w:rStyle w:val="Hyperlink"/>
            <w:i/>
            <w:iCs/>
          </w:rPr>
          <w:t>SORP homepage</w:t>
        </w:r>
      </w:hyperlink>
      <w:r>
        <w:rPr>
          <w:lang w:val="en-GB"/>
        </w:rPr>
        <w:t xml:space="preserve">, </w:t>
      </w:r>
      <w:r w:rsidRPr="00304A45">
        <w:rPr>
          <w:color w:val="auto"/>
          <w:lang w:val="en-GB"/>
        </w:rPr>
        <w:t>accessed April 2024</w:t>
      </w:r>
    </w:p>
  </w:footnote>
  <w:footnote w:id="8">
    <w:p w14:paraId="5160F955" w14:textId="5345CE52" w:rsidR="00EC1B15" w:rsidRPr="003030F2" w:rsidRDefault="00EC1B15" w:rsidP="00D47D47">
      <w:pPr>
        <w:pStyle w:val="FootnoteText"/>
        <w:rPr>
          <w:rFonts w:cs="Arial"/>
        </w:rPr>
      </w:pPr>
      <w:r w:rsidRPr="00E03AA1">
        <w:rPr>
          <w:rStyle w:val="FootnoteReference"/>
          <w:rFonts w:cs="Arial"/>
          <w:sz w:val="18"/>
          <w:szCs w:val="18"/>
        </w:rPr>
        <w:footnoteRef/>
      </w:r>
      <w:r w:rsidRPr="00E03AA1">
        <w:rPr>
          <w:rFonts w:cs="Arial"/>
          <w:sz w:val="18"/>
          <w:szCs w:val="18"/>
        </w:rPr>
        <w:t xml:space="preserve"> </w:t>
      </w:r>
      <w:r w:rsidRPr="00C6765E">
        <w:rPr>
          <w:rFonts w:cs="Arial"/>
          <w:color w:val="auto"/>
          <w:sz w:val="18"/>
          <w:szCs w:val="18"/>
        </w:rPr>
        <w:t>T</w:t>
      </w:r>
      <w:r w:rsidRPr="00C6765E">
        <w:rPr>
          <w:rFonts w:cs="Arial"/>
          <w:color w:val="auto"/>
        </w:rPr>
        <w:t xml:space="preserve">he definition of a larger charity is to those with gross income greater than £500,000 per annum – this is set out in </w:t>
      </w:r>
      <w:r w:rsidRPr="00C6765E">
        <w:rPr>
          <w:rFonts w:cs="Arial"/>
          <w:i/>
          <w:iCs/>
          <w:color w:val="auto"/>
        </w:rPr>
        <w:t>Appendix 1: Glossary of terms</w:t>
      </w:r>
      <w:r w:rsidRPr="00C6765E">
        <w:rPr>
          <w:rFonts w:cs="Arial"/>
          <w:color w:val="auto"/>
        </w:rPr>
        <w:t xml:space="preserve"> of SORP FRS 102. </w:t>
      </w:r>
    </w:p>
  </w:footnote>
  <w:footnote w:id="9">
    <w:p w14:paraId="71752F3F" w14:textId="060D0000" w:rsidR="00EC1B15" w:rsidRPr="003030F2" w:rsidRDefault="00EC1B15" w:rsidP="006C0F85">
      <w:pPr>
        <w:pStyle w:val="FootnoteText"/>
        <w:rPr>
          <w:lang w:val="en-GB"/>
        </w:rPr>
      </w:pPr>
      <w:r>
        <w:rPr>
          <w:rStyle w:val="FootnoteReference"/>
        </w:rPr>
        <w:footnoteRef/>
      </w:r>
      <w:r>
        <w:t xml:space="preserve"> </w:t>
      </w:r>
      <w:r w:rsidRPr="000F4DE7">
        <w:t>Curre</w:t>
      </w:r>
      <w:r w:rsidRPr="00751464">
        <w:t xml:space="preserve">ntly, charities with </w:t>
      </w:r>
      <w:r w:rsidRPr="00CA28B2">
        <w:t>gross i</w:t>
      </w:r>
      <w:r w:rsidRPr="00F05B53">
        <w:t xml:space="preserve">ncome of </w:t>
      </w:r>
      <w:r>
        <w:t>more than £250,000 per annum are required to prepare accruals accounts. Those who do not reach that threshold can prepare receipts and payments accounts.</w:t>
      </w:r>
    </w:p>
  </w:footnote>
  <w:footnote w:id="10">
    <w:p w14:paraId="2BD86B00" w14:textId="0914EF63" w:rsidR="00EC1B15" w:rsidRPr="00D408DC" w:rsidRDefault="00EC1B15" w:rsidP="000B1774">
      <w:pPr>
        <w:pStyle w:val="FootnoteText"/>
        <w:rPr>
          <w:lang w:val="en-GB"/>
        </w:rPr>
      </w:pPr>
      <w:r>
        <w:rPr>
          <w:rStyle w:val="FootnoteReference"/>
        </w:rPr>
        <w:footnoteRef/>
      </w:r>
      <w:r>
        <w:t xml:space="preserve"> For guidance in Scotland and Northern Ireland see OSCR, </w:t>
      </w:r>
      <w:hyperlink r:id="rId7" w:history="1">
        <w:r w:rsidRPr="00D408DC">
          <w:rPr>
            <w:rStyle w:val="Hyperlink"/>
            <w:i/>
            <w:iCs/>
          </w:rPr>
          <w:t>Public benefit</w:t>
        </w:r>
      </w:hyperlink>
      <w:r>
        <w:t xml:space="preserve">, updated August 2018 for the guidance in Scotland and Charity Commission for Northern Ireland, </w:t>
      </w:r>
      <w:hyperlink r:id="rId8" w:history="1">
        <w:r w:rsidRPr="00D408DC">
          <w:rPr>
            <w:rStyle w:val="Hyperlink"/>
            <w:i/>
            <w:iCs/>
          </w:rPr>
          <w:t>The trustees annual report and public benefit reporting</w:t>
        </w:r>
      </w:hyperlink>
      <w:r>
        <w:t>, June 2019</w:t>
      </w:r>
    </w:p>
  </w:footnote>
  <w:footnote w:id="11">
    <w:p w14:paraId="288DAFB3" w14:textId="03306416" w:rsidR="00EC1B15" w:rsidRPr="00D408DC" w:rsidRDefault="00EC1B15" w:rsidP="000B1774">
      <w:pPr>
        <w:pStyle w:val="FootnoteText"/>
        <w:rPr>
          <w:lang w:val="en-GB"/>
        </w:rPr>
      </w:pPr>
      <w:r>
        <w:rPr>
          <w:rStyle w:val="FootnoteReference"/>
        </w:rPr>
        <w:footnoteRef/>
      </w:r>
      <w:r>
        <w:t xml:space="preserve"> </w:t>
      </w:r>
      <w:r>
        <w:rPr>
          <w:lang w:val="en-GB"/>
        </w:rPr>
        <w:t xml:space="preserve">Charity Commission for England and Wales, </w:t>
      </w:r>
      <w:hyperlink r:id="rId9" w:history="1">
        <w:r w:rsidRPr="00D408DC">
          <w:rPr>
            <w:rStyle w:val="Hyperlink"/>
            <w:i/>
            <w:iCs/>
            <w:lang w:val="en-GB"/>
          </w:rPr>
          <w:t>Charitable purposes and public benefit</w:t>
        </w:r>
      </w:hyperlink>
      <w:r>
        <w:rPr>
          <w:lang w:val="en-GB"/>
        </w:rPr>
        <w:t>, accessed 4 March 2020</w:t>
      </w:r>
    </w:p>
  </w:footnote>
  <w:footnote w:id="12">
    <w:p w14:paraId="5E9A318E" w14:textId="41D70CBE" w:rsidR="00EC1B15" w:rsidRPr="003030F2" w:rsidRDefault="00EC1B15" w:rsidP="000B1774">
      <w:pPr>
        <w:pStyle w:val="FootnoteText"/>
        <w:rPr>
          <w:lang w:val="en-GB"/>
        </w:rPr>
      </w:pPr>
      <w:r>
        <w:rPr>
          <w:rStyle w:val="FootnoteReference"/>
        </w:rPr>
        <w:footnoteRef/>
      </w:r>
      <w:r>
        <w:t xml:space="preserve"> </w:t>
      </w:r>
      <w:r w:rsidRPr="00B676BF">
        <w:rPr>
          <w:lang w:val="en-GB"/>
        </w:rPr>
        <w:t>Charity Commission</w:t>
      </w:r>
      <w:r w:rsidR="00DC3AF8">
        <w:rPr>
          <w:lang w:val="en-GB"/>
        </w:rPr>
        <w:t xml:space="preserve"> for England and Wales</w:t>
      </w:r>
      <w:r>
        <w:rPr>
          <w:lang w:val="en-GB"/>
        </w:rPr>
        <w:t>,</w:t>
      </w:r>
      <w:r w:rsidRPr="00B676BF">
        <w:rPr>
          <w:lang w:val="en-GB"/>
        </w:rPr>
        <w:t xml:space="preserve"> </w:t>
      </w:r>
      <w:hyperlink r:id="rId10" w:history="1">
        <w:r>
          <w:rPr>
            <w:rStyle w:val="Hyperlink"/>
            <w:i/>
            <w:lang w:val="en-GB"/>
          </w:rPr>
          <w:t>Public benefit reporting by charities</w:t>
        </w:r>
      </w:hyperlink>
      <w:r>
        <w:rPr>
          <w:i/>
          <w:lang w:val="en-GB"/>
        </w:rPr>
        <w:t xml:space="preserve">, </w:t>
      </w:r>
      <w:r>
        <w:rPr>
          <w:iCs/>
          <w:lang w:val="en-GB"/>
        </w:rPr>
        <w:t xml:space="preserve">December </w:t>
      </w:r>
      <w:r>
        <w:rPr>
          <w:lang w:val="en-GB"/>
        </w:rPr>
        <w:t>2018</w:t>
      </w:r>
    </w:p>
  </w:footnote>
  <w:footnote w:id="13">
    <w:p w14:paraId="14180A35" w14:textId="77777777" w:rsidR="00C676ED" w:rsidRPr="00D408DC" w:rsidRDefault="00C676ED" w:rsidP="00C676ED">
      <w:pPr>
        <w:pStyle w:val="FootnoteText"/>
        <w:rPr>
          <w:lang w:val="en-GB"/>
        </w:rPr>
      </w:pPr>
      <w:r>
        <w:rPr>
          <w:rStyle w:val="FootnoteReference"/>
        </w:rPr>
        <w:footnoteRef/>
      </w:r>
      <w:r>
        <w:t xml:space="preserve"> </w:t>
      </w:r>
      <w:r>
        <w:rPr>
          <w:lang w:val="en-GB"/>
        </w:rPr>
        <w:t xml:space="preserve">This is a statutory requirement set out in s162A of the </w:t>
      </w:r>
      <w:hyperlink r:id="rId11" w:history="1">
        <w:r w:rsidRPr="00D408DC">
          <w:rPr>
            <w:rStyle w:val="Hyperlink"/>
            <w:i/>
            <w:iCs/>
            <w:lang w:val="en-GB"/>
          </w:rPr>
          <w:t>Charities Act 2011</w:t>
        </w:r>
      </w:hyperlink>
      <w:r>
        <w:rPr>
          <w:lang w:val="en-GB"/>
        </w:rPr>
        <w:t xml:space="preserve"> as inserted by the </w:t>
      </w:r>
      <w:hyperlink r:id="rId12" w:history="1">
        <w:r w:rsidRPr="00D408DC">
          <w:rPr>
            <w:rStyle w:val="Hyperlink"/>
            <w:i/>
            <w:iCs/>
            <w:lang w:val="en-GB"/>
          </w:rPr>
          <w:t>Charities (Protection and Social Investment) Act 2016</w:t>
        </w:r>
      </w:hyperlink>
    </w:p>
  </w:footnote>
  <w:footnote w:id="14">
    <w:p w14:paraId="4F1F9AF9" w14:textId="77777777" w:rsidR="00C676ED" w:rsidRPr="00D408DC" w:rsidRDefault="00C676ED" w:rsidP="00C676ED">
      <w:pPr>
        <w:pStyle w:val="FootnoteText"/>
        <w:rPr>
          <w:lang w:val="en-GB"/>
        </w:rPr>
      </w:pPr>
      <w:r>
        <w:rPr>
          <w:rStyle w:val="FootnoteReference"/>
        </w:rPr>
        <w:footnoteRef/>
      </w:r>
      <w:r>
        <w:t xml:space="preserve"> </w:t>
      </w:r>
      <w:r>
        <w:rPr>
          <w:lang w:val="en-GB"/>
        </w:rPr>
        <w:t xml:space="preserve">The Fundraising Regulator, </w:t>
      </w:r>
      <w:hyperlink r:id="rId13" w:history="1">
        <w:r>
          <w:rPr>
            <w:rStyle w:val="Hyperlink"/>
            <w:i/>
            <w:iCs/>
            <w:lang w:val="en-GB"/>
          </w:rPr>
          <w:t>The Charities (Protection and Social Investment) Act 2016: Fundraising reporting requirements guidance</w:t>
        </w:r>
      </w:hyperlink>
      <w:r>
        <w:rPr>
          <w:lang w:val="en-GB"/>
        </w:rPr>
        <w:t>, January 2023</w:t>
      </w:r>
    </w:p>
  </w:footnote>
  <w:footnote w:id="15">
    <w:p w14:paraId="34309710" w14:textId="256EC87F" w:rsidR="00EC1B15" w:rsidRPr="003030F2" w:rsidRDefault="00EC1B15" w:rsidP="000B1774">
      <w:pPr>
        <w:pStyle w:val="FootnoteText"/>
        <w:rPr>
          <w:lang w:val="en-GB"/>
        </w:rPr>
      </w:pPr>
      <w:r>
        <w:rPr>
          <w:rStyle w:val="FootnoteReference"/>
        </w:rPr>
        <w:footnoteRef/>
      </w:r>
      <w:r>
        <w:t xml:space="preserve"> </w:t>
      </w:r>
      <w:r>
        <w:rPr>
          <w:lang w:val="en-GB"/>
        </w:rPr>
        <w:t>Charity Commission</w:t>
      </w:r>
      <w:r w:rsidR="00C16EE8">
        <w:rPr>
          <w:lang w:val="en-GB"/>
        </w:rPr>
        <w:t xml:space="preserve"> for England and Wales</w:t>
      </w:r>
      <w:r>
        <w:rPr>
          <w:lang w:val="en-GB"/>
        </w:rPr>
        <w:t xml:space="preserve">, </w:t>
      </w:r>
      <w:hyperlink r:id="rId14" w:history="1">
        <w:r w:rsidRPr="003030F2">
          <w:rPr>
            <w:rStyle w:val="Hyperlink"/>
            <w:i/>
            <w:lang w:val="en-GB"/>
          </w:rPr>
          <w:t>Charity reporting and accounting: the essentials</w:t>
        </w:r>
      </w:hyperlink>
      <w:r>
        <w:rPr>
          <w:lang w:val="en-GB"/>
        </w:rPr>
        <w:t>, updated 2021</w:t>
      </w:r>
    </w:p>
  </w:footnote>
  <w:footnote w:id="16">
    <w:p w14:paraId="47201435" w14:textId="1C82D020" w:rsidR="00EC1B15" w:rsidRDefault="00EC1B15" w:rsidP="000B1774">
      <w:pPr>
        <w:pStyle w:val="FootnoteText"/>
      </w:pPr>
      <w:r>
        <w:rPr>
          <w:rStyle w:val="FootnoteReference"/>
        </w:rPr>
        <w:footnoteRef/>
      </w:r>
      <w:r>
        <w:t xml:space="preserve"> Charity Commission</w:t>
      </w:r>
      <w:r w:rsidR="00C16EE8">
        <w:t xml:space="preserve"> for England and Wales</w:t>
      </w:r>
      <w:r>
        <w:t xml:space="preserve">, </w:t>
      </w:r>
      <w:hyperlink r:id="rId15" w:history="1">
        <w:r w:rsidRPr="004F2DC3">
          <w:rPr>
            <w:rStyle w:val="Hyperlink"/>
            <w:bCs/>
            <w:i/>
          </w:rPr>
          <w:t>Charity fundraising: a guide to trustee duties</w:t>
        </w:r>
      </w:hyperlink>
      <w:r>
        <w:rPr>
          <w:i/>
        </w:rPr>
        <w:t xml:space="preserve">, </w:t>
      </w:r>
      <w:r>
        <w:rPr>
          <w:iCs/>
        </w:rPr>
        <w:t xml:space="preserve">updated </w:t>
      </w:r>
      <w:r>
        <w:t xml:space="preserve">2022 </w:t>
      </w:r>
    </w:p>
  </w:footnote>
  <w:footnote w:id="17">
    <w:p w14:paraId="7BA83265" w14:textId="662AEE9B" w:rsidR="00EC1B15" w:rsidRPr="00D408DC" w:rsidRDefault="00EC1B15" w:rsidP="000B1774">
      <w:pPr>
        <w:pStyle w:val="FootnoteText"/>
        <w:rPr>
          <w:lang w:val="en-GB"/>
        </w:rPr>
      </w:pPr>
      <w:r>
        <w:rPr>
          <w:rStyle w:val="FootnoteReference"/>
        </w:rPr>
        <w:footnoteRef/>
      </w:r>
      <w:r>
        <w:t xml:space="preserve"> </w:t>
      </w:r>
      <w:r>
        <w:rPr>
          <w:lang w:val="en-GB"/>
        </w:rPr>
        <w:t xml:space="preserve">The Fundraising Regulator, </w:t>
      </w:r>
      <w:hyperlink r:id="rId16" w:history="1">
        <w:r w:rsidRPr="00D408DC">
          <w:rPr>
            <w:rStyle w:val="Hyperlink"/>
            <w:i/>
            <w:iCs/>
            <w:lang w:val="en-GB"/>
          </w:rPr>
          <w:t>Code of Fundraising Practice</w:t>
        </w:r>
      </w:hyperlink>
      <w:r>
        <w:rPr>
          <w:lang w:val="en-GB"/>
        </w:rPr>
        <w:t>, October 2019</w:t>
      </w:r>
    </w:p>
  </w:footnote>
  <w:footnote w:id="18">
    <w:p w14:paraId="7EA2476C" w14:textId="2CB2DFF6" w:rsidR="00EC1B15" w:rsidRDefault="00EC1B15" w:rsidP="000B1774">
      <w:pPr>
        <w:pStyle w:val="FootnoteText"/>
        <w:ind w:left="284" w:hanging="284"/>
      </w:pPr>
      <w:r>
        <w:rPr>
          <w:rStyle w:val="FootnoteReference"/>
        </w:rPr>
        <w:footnoteRef/>
      </w:r>
      <w:r>
        <w:t xml:space="preserve"> </w:t>
      </w:r>
      <w:r>
        <w:tab/>
      </w:r>
      <w:r w:rsidRPr="004F2DC3">
        <w:t>This is the total of ‘donations and legacies’ (£</w:t>
      </w:r>
      <w:r>
        <w:t>1,8</w:t>
      </w:r>
      <w:r w:rsidR="00E57916">
        <w:t>0</w:t>
      </w:r>
      <w:r>
        <w:t>1</w:t>
      </w:r>
      <w:r w:rsidRPr="004F2DC3">
        <w:t>,000) and ‘other trading activities’ (£</w:t>
      </w:r>
      <w:r>
        <w:t>561</w:t>
      </w:r>
      <w:r w:rsidRPr="004F2DC3">
        <w:t xml:space="preserve">,000) as disclosed on the </w:t>
      </w:r>
      <w:r w:rsidR="00342FDC">
        <w:t>s</w:t>
      </w:r>
      <w:r w:rsidRPr="004F2DC3">
        <w:t xml:space="preserve">tatement of </w:t>
      </w:r>
      <w:r w:rsidR="00342FDC">
        <w:t>f</w:t>
      </w:r>
      <w:r w:rsidRPr="004F2DC3">
        <w:t xml:space="preserve">inancial </w:t>
      </w:r>
      <w:r w:rsidR="00342FDC">
        <w:t>a</w:t>
      </w:r>
      <w:r w:rsidRPr="004F2DC3">
        <w:t>ctivities on page 28</w:t>
      </w:r>
      <w:r w:rsidRPr="003A5DD9">
        <w:rPr>
          <w:sz w:val="18"/>
          <w:szCs w:val="18"/>
        </w:rPr>
        <w:t>.</w:t>
      </w:r>
    </w:p>
  </w:footnote>
  <w:footnote w:id="19">
    <w:p w14:paraId="329AE874" w14:textId="2DDAB86E" w:rsidR="00EC1B15" w:rsidRDefault="00EC1B15" w:rsidP="000B1774">
      <w:pPr>
        <w:pStyle w:val="FootnoteText"/>
        <w:ind w:left="284" w:hanging="284"/>
      </w:pPr>
      <w:r>
        <w:rPr>
          <w:rStyle w:val="FootnoteReference"/>
        </w:rPr>
        <w:footnoteRef/>
      </w:r>
      <w:r>
        <w:t xml:space="preserve"> </w:t>
      </w:r>
      <w:r>
        <w:tab/>
      </w:r>
      <w:r w:rsidRPr="004F2DC3">
        <w:rPr>
          <w:rFonts w:cs="Arial"/>
        </w:rPr>
        <w:t xml:space="preserve">This benchmarking data is available to all members of the </w:t>
      </w:r>
      <w:r>
        <w:rPr>
          <w:rFonts w:cs="Arial"/>
        </w:rPr>
        <w:t>NHS Charities Togethe</w:t>
      </w:r>
      <w:r w:rsidRPr="006A31B0">
        <w:rPr>
          <w:rFonts w:cs="Arial"/>
        </w:rPr>
        <w:t xml:space="preserve">r </w:t>
      </w:r>
      <w:hyperlink r:id="rId17" w:history="1">
        <w:r w:rsidR="002C5E70">
          <w:rPr>
            <w:rStyle w:val="Hyperlink"/>
            <w:i/>
            <w:iCs/>
          </w:rPr>
          <w:t>NHS Charities Together</w:t>
        </w:r>
      </w:hyperlink>
    </w:p>
  </w:footnote>
  <w:footnote w:id="20">
    <w:p w14:paraId="4D92662B" w14:textId="3D989E5F" w:rsidR="009F5E62" w:rsidRPr="00021532" w:rsidRDefault="009F5E62">
      <w:pPr>
        <w:pStyle w:val="FootnoteText"/>
        <w:rPr>
          <w:lang w:val="en-GB"/>
        </w:rPr>
      </w:pPr>
      <w:r>
        <w:rPr>
          <w:rStyle w:val="FootnoteReference"/>
        </w:rPr>
        <w:footnoteRef/>
      </w:r>
      <w:r>
        <w:t xml:space="preserve"> </w:t>
      </w:r>
      <w:r w:rsidR="005B2512">
        <w:rPr>
          <w:lang w:val="en-GB"/>
        </w:rPr>
        <w:t xml:space="preserve">Office for National Statistics, </w:t>
      </w:r>
      <w:hyperlink r:id="rId18" w:history="1">
        <w:r w:rsidR="00E25321" w:rsidRPr="00021532">
          <w:rPr>
            <w:rStyle w:val="Hyperlink"/>
            <w:i/>
            <w:iCs/>
          </w:rPr>
          <w:t>Mapping income deprivation at a local authority level</w:t>
        </w:r>
      </w:hyperlink>
      <w:r w:rsidR="00E25321">
        <w:rPr>
          <w:lang w:val="en-GB"/>
        </w:rPr>
        <w:t>, May 2021</w:t>
      </w:r>
    </w:p>
  </w:footnote>
  <w:footnote w:id="21">
    <w:p w14:paraId="7BD48B78" w14:textId="52986B8A" w:rsidR="00EC1B15" w:rsidRPr="00D408DC" w:rsidRDefault="00EC1B15" w:rsidP="000B1774">
      <w:pPr>
        <w:pStyle w:val="FootnoteText"/>
        <w:rPr>
          <w:lang w:val="en-GB"/>
        </w:rPr>
      </w:pPr>
      <w:r>
        <w:rPr>
          <w:rStyle w:val="FootnoteReference"/>
        </w:rPr>
        <w:footnoteRef/>
      </w:r>
      <w:r>
        <w:t xml:space="preserve"> </w:t>
      </w:r>
      <w:r>
        <w:rPr>
          <w:lang w:val="en-GB"/>
        </w:rPr>
        <w:t xml:space="preserve">Charity Commission for England and Wales, </w:t>
      </w:r>
      <w:hyperlink r:id="rId19" w:history="1">
        <w:r w:rsidRPr="00D408DC">
          <w:rPr>
            <w:rStyle w:val="Hyperlink"/>
            <w:i/>
            <w:iCs/>
          </w:rPr>
          <w:t>Charity reserves policies: demonstrating and building resilience</w:t>
        </w:r>
      </w:hyperlink>
      <w:r>
        <w:rPr>
          <w:i/>
          <w:iCs/>
        </w:rPr>
        <w:t>,</w:t>
      </w:r>
      <w:r>
        <w:t xml:space="preserve"> November 2018</w:t>
      </w:r>
    </w:p>
  </w:footnote>
  <w:footnote w:id="22">
    <w:p w14:paraId="23F778ED" w14:textId="3B092C88" w:rsidR="00EC1B15" w:rsidRDefault="00EC1B15" w:rsidP="000B1774">
      <w:pPr>
        <w:pStyle w:val="FootnoteText"/>
      </w:pPr>
      <w:r>
        <w:rPr>
          <w:rStyle w:val="FootnoteReference"/>
        </w:rPr>
        <w:footnoteRef/>
      </w:r>
      <w:r>
        <w:t xml:space="preserve"> </w:t>
      </w:r>
      <w:r w:rsidRPr="00E4054B">
        <w:t>Department o</w:t>
      </w:r>
      <w:r w:rsidRPr="00FA52D8">
        <w:t xml:space="preserve">f Health, </w:t>
      </w:r>
      <w:hyperlink r:id="rId20" w:history="1">
        <w:r w:rsidRPr="003030F2">
          <w:rPr>
            <w:rStyle w:val="Hyperlink"/>
            <w:i/>
          </w:rPr>
          <w:t xml:space="preserve">NHS </w:t>
        </w:r>
        <w:r>
          <w:rPr>
            <w:rStyle w:val="Hyperlink"/>
            <w:i/>
          </w:rPr>
          <w:t>f</w:t>
        </w:r>
        <w:r w:rsidRPr="003030F2">
          <w:rPr>
            <w:rStyle w:val="Hyperlink"/>
            <w:i/>
          </w:rPr>
          <w:t xml:space="preserve">unds </w:t>
        </w:r>
        <w:r>
          <w:rPr>
            <w:rStyle w:val="Hyperlink"/>
            <w:i/>
          </w:rPr>
          <w:t>h</w:t>
        </w:r>
        <w:r w:rsidRPr="003030F2">
          <w:rPr>
            <w:rStyle w:val="Hyperlink"/>
            <w:i/>
          </w:rPr>
          <w:t xml:space="preserve">eld on </w:t>
        </w:r>
        <w:r>
          <w:rPr>
            <w:rStyle w:val="Hyperlink"/>
            <w:i/>
          </w:rPr>
          <w:t>t</w:t>
        </w:r>
        <w:r w:rsidRPr="003030F2">
          <w:rPr>
            <w:rStyle w:val="Hyperlink"/>
            <w:i/>
          </w:rPr>
          <w:t xml:space="preserve">rust </w:t>
        </w:r>
        <w:r>
          <w:rPr>
            <w:rStyle w:val="Hyperlink"/>
            <w:i/>
          </w:rPr>
          <w:t>g</w:t>
        </w:r>
        <w:r w:rsidRPr="003030F2">
          <w:rPr>
            <w:rStyle w:val="Hyperlink"/>
            <w:i/>
          </w:rPr>
          <w:t>uidance on the acceptance, management and transfer of charitable funds for NHS bodies</w:t>
        </w:r>
      </w:hyperlink>
      <w:r w:rsidRPr="00E4054B">
        <w:t>, 201</w:t>
      </w:r>
      <w:r w:rsidR="00D00021">
        <w:t>7</w:t>
      </w:r>
      <w:r w:rsidRPr="00E4054B">
        <w:t xml:space="preserve"> </w:t>
      </w:r>
      <w:r>
        <w:t>(</w:t>
      </w:r>
      <w:r w:rsidRPr="00645E79">
        <w:t>paragraphs 8 to 11</w:t>
      </w:r>
      <w:r w:rsidRPr="003030F2">
        <w:t>)</w:t>
      </w:r>
      <w:r w:rsidRPr="00FA52D8">
        <w:t xml:space="preserve"> </w:t>
      </w:r>
      <w:r w:rsidRPr="003030F2">
        <w:t xml:space="preserve">and Department of Health and </w:t>
      </w:r>
      <w:r w:rsidRPr="00FA52D8">
        <w:t xml:space="preserve">the Association of NHS Charities </w:t>
      </w:r>
      <w:hyperlink r:id="rId21" w:history="1">
        <w:r w:rsidRPr="003030F2">
          <w:rPr>
            <w:rStyle w:val="Hyperlink"/>
            <w:i/>
          </w:rPr>
          <w:t>NHS charities</w:t>
        </w:r>
        <w:r>
          <w:rPr>
            <w:rStyle w:val="Hyperlink"/>
            <w:i/>
          </w:rPr>
          <w:t xml:space="preserve"> c</w:t>
        </w:r>
        <w:r w:rsidRPr="003030F2">
          <w:rPr>
            <w:rStyle w:val="Hyperlink"/>
            <w:i/>
          </w:rPr>
          <w:t>onversion to independent status - outline guidance</w:t>
        </w:r>
      </w:hyperlink>
      <w:r w:rsidRPr="00E4054B">
        <w:t xml:space="preserve">, 2015 </w:t>
      </w:r>
    </w:p>
  </w:footnote>
  <w:footnote w:id="23">
    <w:p w14:paraId="67E6D929" w14:textId="77777777" w:rsidR="00EC1B15" w:rsidRPr="003030F2" w:rsidRDefault="00EC1B15" w:rsidP="000B1774">
      <w:pPr>
        <w:pStyle w:val="FootnoteText"/>
        <w:rPr>
          <w:lang w:val="en-GB"/>
        </w:rPr>
      </w:pPr>
      <w:r>
        <w:rPr>
          <w:rStyle w:val="FootnoteReference"/>
        </w:rPr>
        <w:footnoteRef/>
      </w:r>
      <w:r>
        <w:t xml:space="preserve"> </w:t>
      </w:r>
      <w:r>
        <w:rPr>
          <w:lang w:val="en-GB"/>
        </w:rPr>
        <w:t>Members of the charitable funds committee are not trustees in their own right but act on behalf of the corporate trustee.</w:t>
      </w:r>
    </w:p>
  </w:footnote>
  <w:footnote w:id="24">
    <w:p w14:paraId="182CDAFC" w14:textId="20C0AA9E" w:rsidR="00EC1B15" w:rsidRPr="003030F2" w:rsidRDefault="00EC1B15" w:rsidP="00D9313C">
      <w:pPr>
        <w:pStyle w:val="FootnoteText"/>
        <w:rPr>
          <w:lang w:val="en-GB"/>
        </w:rPr>
      </w:pPr>
      <w:r>
        <w:rPr>
          <w:rStyle w:val="FootnoteReference"/>
        </w:rPr>
        <w:footnoteRef/>
      </w:r>
      <w:r w:rsidRPr="00F62B63">
        <w:t xml:space="preserve"> </w:t>
      </w:r>
      <w:r w:rsidRPr="003030F2">
        <w:t>Charity Commission</w:t>
      </w:r>
      <w:r w:rsidR="00184318">
        <w:t xml:space="preserve"> for England and Wales</w:t>
      </w:r>
      <w:r w:rsidRPr="003030F2">
        <w:t xml:space="preserve">, </w:t>
      </w:r>
      <w:hyperlink r:id="rId22" w:history="1">
        <w:r w:rsidR="00521368">
          <w:rPr>
            <w:rStyle w:val="Hyperlink"/>
            <w:i/>
            <w:lang w:val="en"/>
          </w:rPr>
          <w:t>Charity reporting and accounting: the essentials (November 2016)</w:t>
        </w:r>
      </w:hyperlink>
      <w:r>
        <w:rPr>
          <w:lang w:val="en"/>
        </w:rPr>
        <w:t xml:space="preserve">, </w:t>
      </w:r>
      <w:r w:rsidR="00184318">
        <w:rPr>
          <w:lang w:val="en"/>
        </w:rPr>
        <w:t xml:space="preserve">updated </w:t>
      </w:r>
      <w:r w:rsidR="00521368">
        <w:rPr>
          <w:lang w:val="en"/>
        </w:rPr>
        <w:t>2023</w:t>
      </w:r>
      <w:r w:rsidR="00184318">
        <w:t xml:space="preserve"> </w:t>
      </w:r>
    </w:p>
  </w:footnote>
  <w:footnote w:id="25">
    <w:p w14:paraId="0BD9B756" w14:textId="08E8D846" w:rsidR="00EC1B15" w:rsidRPr="00506C6B" w:rsidRDefault="00EC1B15" w:rsidP="00D9313C">
      <w:pPr>
        <w:pStyle w:val="FootnoteText"/>
        <w:rPr>
          <w:lang w:val="en-GB"/>
        </w:rPr>
      </w:pPr>
      <w:r>
        <w:rPr>
          <w:rStyle w:val="FootnoteReference"/>
        </w:rPr>
        <w:footnoteRef/>
      </w:r>
      <w:r>
        <w:t xml:space="preserve"> FRC, </w:t>
      </w:r>
      <w:hyperlink r:id="rId23" w:history="1">
        <w:r w:rsidRPr="0066737E">
          <w:rPr>
            <w:rStyle w:val="Hyperlink"/>
            <w:i/>
            <w:iCs/>
          </w:rPr>
          <w:t>Guidance on the going concern basis of accounting and reporting on solvency and liquidity risks</w:t>
        </w:r>
      </w:hyperlink>
      <w:r>
        <w:rPr>
          <w:sz w:val="22"/>
        </w:rPr>
        <w:t xml:space="preserve">, </w:t>
      </w:r>
      <w:r w:rsidRPr="00052572">
        <w:t>April 2016</w:t>
      </w:r>
    </w:p>
  </w:footnote>
  <w:footnote w:id="26">
    <w:p w14:paraId="3A5B2427" w14:textId="67BDAB4D" w:rsidR="00EC1B15" w:rsidRPr="00D408DC" w:rsidRDefault="00EC1B15" w:rsidP="00D9313C">
      <w:pPr>
        <w:pStyle w:val="FootnoteText"/>
        <w:rPr>
          <w:lang w:val="en-GB"/>
        </w:rPr>
      </w:pPr>
      <w:r>
        <w:rPr>
          <w:rStyle w:val="FootnoteReference"/>
        </w:rPr>
        <w:footnoteRef/>
      </w:r>
      <w:r>
        <w:t xml:space="preserve"> </w:t>
      </w:r>
      <w:r w:rsidRPr="00845C26">
        <w:rPr>
          <w:lang w:val="en-GB"/>
        </w:rPr>
        <w:t xml:space="preserve">Charity Commission for England and Wales, </w:t>
      </w:r>
      <w:hyperlink r:id="rId24" w:history="1">
        <w:r w:rsidRPr="00D408DC">
          <w:rPr>
            <w:rStyle w:val="Hyperlink"/>
            <w:i/>
            <w:iCs/>
          </w:rPr>
          <w:t>Accounts monitoring review: reporting of related party transactions in charity accounts</w:t>
        </w:r>
      </w:hyperlink>
      <w:r w:rsidRPr="00845C26">
        <w:t>, August 2019</w:t>
      </w:r>
    </w:p>
  </w:footnote>
  <w:footnote w:id="27">
    <w:p w14:paraId="5F7CBC34" w14:textId="2E9B2F16" w:rsidR="000427A6" w:rsidRPr="000F6C2D" w:rsidRDefault="000427A6">
      <w:pPr>
        <w:pStyle w:val="FootnoteText"/>
        <w:rPr>
          <w:lang w:val="en-GB"/>
        </w:rPr>
      </w:pPr>
      <w:r>
        <w:rPr>
          <w:rStyle w:val="FootnoteReference"/>
        </w:rPr>
        <w:footnoteRef/>
      </w:r>
      <w:r>
        <w:t xml:space="preserve"> </w:t>
      </w:r>
      <w:r>
        <w:rPr>
          <w:lang w:val="en-GB"/>
        </w:rPr>
        <w:t xml:space="preserve">HFMA, </w:t>
      </w:r>
      <w:hyperlink r:id="rId25" w:history="1">
        <w:r w:rsidRPr="000F6C2D">
          <w:rPr>
            <w:rStyle w:val="Hyperlink"/>
            <w:i/>
            <w:iCs/>
          </w:rPr>
          <w:t>Income recognition for NHS charities</w:t>
        </w:r>
      </w:hyperlink>
      <w:r>
        <w:t>, November 2022</w:t>
      </w:r>
    </w:p>
  </w:footnote>
  <w:footnote w:id="28">
    <w:p w14:paraId="51CC1BBF" w14:textId="420722F7" w:rsidR="00C71C34" w:rsidRPr="002E4614" w:rsidRDefault="00C71C34">
      <w:pPr>
        <w:pStyle w:val="FootnoteText"/>
        <w:rPr>
          <w:lang w:val="en-GB"/>
        </w:rPr>
      </w:pPr>
      <w:r>
        <w:rPr>
          <w:rStyle w:val="FootnoteReference"/>
        </w:rPr>
        <w:footnoteRef/>
      </w:r>
      <w:r>
        <w:t xml:space="preserve"> </w:t>
      </w:r>
      <w:r>
        <w:rPr>
          <w:lang w:val="en-GB"/>
        </w:rPr>
        <w:t xml:space="preserve">HFMA, </w:t>
      </w:r>
      <w:hyperlink r:id="rId26" w:history="1">
        <w:r w:rsidR="00C54189" w:rsidRPr="00D658B5">
          <w:rPr>
            <w:rStyle w:val="Hyperlink"/>
            <w:i/>
            <w:iCs/>
          </w:rPr>
          <w:t>NHS trust to NHS charity recharges</w:t>
        </w:r>
      </w:hyperlink>
      <w:r w:rsidR="00C54189">
        <w:t>, August 2023</w:t>
      </w:r>
    </w:p>
  </w:footnote>
  <w:footnote w:id="29">
    <w:p w14:paraId="5586B1B3" w14:textId="726199D0" w:rsidR="00EC1B15" w:rsidRPr="00661B83" w:rsidRDefault="00EC1B15" w:rsidP="00D9313C">
      <w:pPr>
        <w:pStyle w:val="FootnoteText"/>
        <w:rPr>
          <w:lang w:val="en-GB"/>
        </w:rPr>
      </w:pPr>
      <w:r>
        <w:rPr>
          <w:rStyle w:val="FootnoteReference"/>
        </w:rPr>
        <w:footnoteRef/>
      </w:r>
      <w:r>
        <w:t xml:space="preserve"> </w:t>
      </w:r>
      <w:r w:rsidRPr="00661B83">
        <w:rPr>
          <w:lang w:val="en-GB"/>
        </w:rPr>
        <w:t xml:space="preserve">Charity Commission for England and Wales, </w:t>
      </w:r>
      <w:hyperlink r:id="rId27" w:history="1">
        <w:r w:rsidRPr="00661B83">
          <w:rPr>
            <w:rStyle w:val="Hyperlink"/>
            <w:i/>
            <w:iCs/>
          </w:rPr>
          <w:t>Accounts monitoring review: reporting of related party transactions in charity accounts</w:t>
        </w:r>
      </w:hyperlink>
      <w:r w:rsidRPr="00661B83">
        <w:t>, August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308150" w14:textId="77777777" w:rsidR="00B5243D" w:rsidRDefault="00B524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5F6A2D" w14:textId="77777777" w:rsidR="00B5243D" w:rsidRDefault="00B524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67AB0E" w14:textId="0C6A6F65" w:rsidR="00EC1B15" w:rsidRDefault="00EC1B15">
    <w:pPr>
      <w:pStyle w:val="Header"/>
    </w:pPr>
    <w:r w:rsidRPr="00933FF5">
      <w:rPr>
        <w:noProof/>
      </w:rPr>
      <mc:AlternateContent>
        <mc:Choice Requires="wps">
          <w:drawing>
            <wp:anchor distT="0" distB="0" distL="114300" distR="114300" simplePos="0" relativeHeight="251658243" behindDoc="0" locked="0" layoutInCell="1" allowOverlap="1" wp14:anchorId="23E541D7" wp14:editId="6A41C2F0">
              <wp:simplePos x="0" y="0"/>
              <wp:positionH relativeFrom="column">
                <wp:posOffset>76531</wp:posOffset>
              </wp:positionH>
              <wp:positionV relativeFrom="paragraph">
                <wp:posOffset>405130</wp:posOffset>
              </wp:positionV>
              <wp:extent cx="1585595" cy="728980"/>
              <wp:effectExtent l="0" t="0" r="0" b="0"/>
              <wp:wrapNone/>
              <wp:docPr id="1" name="Text Box 1"/>
              <wp:cNvGraphicFramePr/>
              <a:graphic xmlns:a="http://schemas.openxmlformats.org/drawingml/2006/main">
                <a:graphicData uri="http://schemas.microsoft.com/office/word/2010/wordprocessingShape">
                  <wps:wsp>
                    <wps:cNvSpPr txBox="1"/>
                    <wps:spPr>
                      <a:xfrm>
                        <a:off x="0" y="0"/>
                        <a:ext cx="1585595" cy="728980"/>
                      </a:xfrm>
                      <a:prstGeom prst="rect">
                        <a:avLst/>
                      </a:prstGeom>
                      <a:noFill/>
                      <a:ln w="6350">
                        <a:noFill/>
                      </a:ln>
                    </wps:spPr>
                    <wps:txbx>
                      <w:txbxContent>
                        <w:p w14:paraId="1849D2FD" w14:textId="77777777" w:rsidR="00EC1B15" w:rsidRPr="007731A8" w:rsidRDefault="00EC1B15" w:rsidP="00933FF5">
                          <w:pPr>
                            <w:rPr>
                              <w:b/>
                              <w:bCs/>
                              <w:color w:val="FFFFFF" w:themeColor="background1"/>
                              <w:szCs w:val="22"/>
                            </w:rPr>
                          </w:pPr>
                          <w:r w:rsidRPr="007731A8">
                            <w:rPr>
                              <w:b/>
                              <w:bCs/>
                              <w:color w:val="FFFFFF" w:themeColor="background1"/>
                              <w:szCs w:val="22"/>
                            </w:rPr>
                            <w:t>HFMA briefing</w:t>
                          </w:r>
                        </w:p>
                        <w:p w14:paraId="632FEEE0" w14:textId="1A5E26D9" w:rsidR="00EC1B15" w:rsidRPr="007731A8" w:rsidRDefault="00CF3AF9" w:rsidP="00933FF5">
                          <w:pPr>
                            <w:rPr>
                              <w:color w:val="FFFFFF" w:themeColor="background1"/>
                              <w:szCs w:val="22"/>
                            </w:rPr>
                          </w:pPr>
                          <w:r>
                            <w:rPr>
                              <w:color w:val="FFFFFF" w:themeColor="background1"/>
                              <w:szCs w:val="22"/>
                            </w:rPr>
                            <w:t xml:space="preserve">April </w:t>
                          </w:r>
                          <w:r w:rsidR="00EC1B15">
                            <w:rPr>
                              <w:color w:val="FFFFFF" w:themeColor="background1"/>
                              <w:szCs w:val="22"/>
                            </w:rPr>
                            <w:t>202</w:t>
                          </w:r>
                          <w:r w:rsidR="007A62D1">
                            <w:rPr>
                              <w:color w:val="FFFFFF" w:themeColor="background1"/>
                              <w:szCs w:val="22"/>
                            </w:rPr>
                            <w:t>4</w:t>
                          </w:r>
                        </w:p>
                      </w:txbxContent>
                    </wps:txbx>
                    <wps:bodyPr rot="0" spcFirstLastPara="0" vertOverflow="overflow" horzOverflow="overflow" vert="horz" wrap="square" lIns="36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E541D7" id="_x0000_t202" coordsize="21600,21600" o:spt="202" path="m,l,21600r21600,l21600,xe">
              <v:stroke joinstyle="miter"/>
              <v:path gradientshapeok="t" o:connecttype="rect"/>
            </v:shapetype>
            <v:shape id="Text Box 1" o:spid="_x0000_s1027" type="#_x0000_t202" style="position:absolute;margin-left:6.05pt;margin-top:31.9pt;width:124.85pt;height:57.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" filled="f" stroked="f" strokeweight=".5pt">
              <v:textbox inset="10mm">
                <w:txbxContent>
                  <w:p w14:paraId="1849D2FD" w14:textId="77777777" w:rsidR="00EC1B15" w:rsidRPr="007731A8" w:rsidRDefault="00EC1B15" w:rsidP="00933FF5">
                    <w:pPr>
                      <w:rPr>
                        <w:b/>
                        <w:bCs/>
                        <w:color w:val="FFFFFF" w:themeColor="background1"/>
                        <w:szCs w:val="22"/>
                      </w:rPr>
                    </w:pPr>
                    <w:r w:rsidRPr="007731A8">
                      <w:rPr>
                        <w:b/>
                        <w:bCs/>
                        <w:color w:val="FFFFFF" w:themeColor="background1"/>
                        <w:szCs w:val="22"/>
                      </w:rPr>
                      <w:t>HFMA briefing</w:t>
                    </w:r>
                  </w:p>
                  <w:p w14:paraId="632FEEE0" w14:textId="1A5E26D9" w:rsidR="00EC1B15" w:rsidRPr="007731A8" w:rsidRDefault="00CF3AF9" w:rsidP="00933FF5">
                    <w:pPr>
                      <w:rPr>
                        <w:color w:val="FFFFFF" w:themeColor="background1"/>
                        <w:szCs w:val="22"/>
                      </w:rPr>
                    </w:pPr>
                    <w:r>
                      <w:rPr>
                        <w:color w:val="FFFFFF" w:themeColor="background1"/>
                        <w:szCs w:val="22"/>
                      </w:rPr>
                      <w:t xml:space="preserve">April </w:t>
                    </w:r>
                    <w:r w:rsidR="00EC1B15">
                      <w:rPr>
                        <w:color w:val="FFFFFF" w:themeColor="background1"/>
                        <w:szCs w:val="22"/>
                      </w:rPr>
                      <w:t>202</w:t>
                    </w:r>
                    <w:r w:rsidR="007A62D1">
                      <w:rPr>
                        <w:color w:val="FFFFFF" w:themeColor="background1"/>
                        <w:szCs w:val="22"/>
                      </w:rPr>
                      <w:t>4</w:t>
                    </w:r>
                  </w:p>
                </w:txbxContent>
              </v:textbox>
            </v:shape>
          </w:pict>
        </mc:Fallback>
      </mc:AlternateContent>
    </w:r>
    <w:r w:rsidRPr="00933FF5">
      <w:rPr>
        <w:noProof/>
      </w:rPr>
      <w:drawing>
        <wp:anchor distT="0" distB="0" distL="114300" distR="114300" simplePos="0" relativeHeight="251658242" behindDoc="1" locked="0" layoutInCell="1" allowOverlap="1" wp14:anchorId="0EDE024E" wp14:editId="26339B16">
          <wp:simplePos x="0" y="0"/>
          <wp:positionH relativeFrom="column">
            <wp:posOffset>5102860</wp:posOffset>
          </wp:positionH>
          <wp:positionV relativeFrom="paragraph">
            <wp:posOffset>-3810</wp:posOffset>
          </wp:positionV>
          <wp:extent cx="1257300" cy="1244600"/>
          <wp:effectExtent l="0" t="0" r="0" b="0"/>
          <wp:wrapNone/>
          <wp:docPr id="1846498692" name="Picture 184649869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7300" cy="1244600"/>
                  </a:xfrm>
                  <a:prstGeom prst="rect">
                    <a:avLst/>
                  </a:prstGeom>
                </pic:spPr>
              </pic:pic>
            </a:graphicData>
          </a:graphic>
          <wp14:sizeRelH relativeFrom="page">
            <wp14:pctWidth>0</wp14:pctWidth>
          </wp14:sizeRelH>
          <wp14:sizeRelV relativeFrom="page">
            <wp14:pctHeight>0</wp14:pctHeight>
          </wp14:sizeRelV>
        </wp:anchor>
      </w:drawing>
    </w:r>
    <w:r w:rsidRPr="00933FF5">
      <w:rPr>
        <w:noProof/>
      </w:rPr>
      <w:drawing>
        <wp:anchor distT="0" distB="0" distL="114300" distR="114300" simplePos="0" relativeHeight="251658241" behindDoc="1" locked="0" layoutInCell="1" allowOverlap="1" wp14:anchorId="574A6CCF" wp14:editId="4851279A">
          <wp:simplePos x="0" y="0"/>
          <wp:positionH relativeFrom="column">
            <wp:posOffset>35891</wp:posOffset>
          </wp:positionH>
          <wp:positionV relativeFrom="paragraph">
            <wp:posOffset>473241</wp:posOffset>
          </wp:positionV>
          <wp:extent cx="292100" cy="292100"/>
          <wp:effectExtent l="0" t="0" r="0" b="0"/>
          <wp:wrapNone/>
          <wp:docPr id="1270436779" name="Picture 127043677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292100" cy="2921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1C8FFC8F" wp14:editId="2C112326">
          <wp:simplePos x="0" y="0"/>
          <wp:positionH relativeFrom="page">
            <wp:align>right</wp:align>
          </wp:positionH>
          <wp:positionV relativeFrom="paragraph">
            <wp:posOffset>-652007</wp:posOffset>
          </wp:positionV>
          <wp:extent cx="7609219" cy="10755216"/>
          <wp:effectExtent l="0" t="0" r="0" b="8255"/>
          <wp:wrapNone/>
          <wp:docPr id="1495528881" name="Picture 149552888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7609219" cy="10755216"/>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381A6A" w14:textId="5A97D1EF" w:rsidR="00EC1B15" w:rsidRPr="00BE34A2" w:rsidRDefault="00EC1B15" w:rsidP="00BE34A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5C0F73" w14:textId="77777777" w:rsidR="00EC1B15" w:rsidRDefault="00EC1B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1F8BA0" w14:textId="77777777" w:rsidR="00EC1B15" w:rsidRPr="00D608A4" w:rsidRDefault="00EC1B15" w:rsidP="00EC1B1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6B8816" w14:textId="66570A8A" w:rsidR="00EC1B15" w:rsidRPr="00D50EE0" w:rsidRDefault="00EC1B15" w:rsidP="00D50E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BABA1A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0F6528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E4E78A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018B29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A465A8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43A34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10ECC0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BB43B6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A72C3E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31EF7D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D30EB8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406821"/>
    <w:multiLevelType w:val="hybridMultilevel"/>
    <w:tmpl w:val="07A227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EB57B3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FF13CC2"/>
    <w:multiLevelType w:val="multilevel"/>
    <w:tmpl w:val="0FCEB25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2AA37EC"/>
    <w:multiLevelType w:val="hybridMultilevel"/>
    <w:tmpl w:val="759E8AC2"/>
    <w:lvl w:ilvl="0" w:tplc="AF7CB75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50400A5"/>
    <w:multiLevelType w:val="hybridMultilevel"/>
    <w:tmpl w:val="DC7E48FA"/>
    <w:lvl w:ilvl="0" w:tplc="AE8804D8">
      <w:numFmt w:val="bullet"/>
      <w:lvlText w:val="•"/>
      <w:lvlJc w:val="left"/>
      <w:pPr>
        <w:ind w:left="471" w:hanging="358"/>
      </w:pPr>
      <w:rPr>
        <w:rFonts w:ascii="Arial" w:eastAsia="Calibr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AF3319"/>
    <w:multiLevelType w:val="hybridMultilevel"/>
    <w:tmpl w:val="9B08FB9C"/>
    <w:lvl w:ilvl="0" w:tplc="3D485A1E">
      <w:numFmt w:val="bullet"/>
      <w:pStyle w:val="Bullet"/>
      <w:lvlText w:val="•"/>
      <w:lvlJc w:val="left"/>
      <w:pPr>
        <w:tabs>
          <w:tab w:val="num" w:pos="471"/>
        </w:tabs>
        <w:ind w:left="357" w:hanging="357"/>
      </w:pPr>
      <w:rPr>
        <w:rFonts w:ascii="Arial" w:hAnsi="Arial" w:hint="default"/>
        <w:color w:val="64AFE1"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A7159B"/>
    <w:multiLevelType w:val="multilevel"/>
    <w:tmpl w:val="71EE33EC"/>
    <w:lvl w:ilvl="0">
      <w:numFmt w:val="bullet"/>
      <w:lvlText w:val="•"/>
      <w:lvlJc w:val="left"/>
      <w:pPr>
        <w:ind w:left="357" w:hanging="357"/>
      </w:pPr>
      <w:rPr>
        <w:rFonts w:ascii="Arial" w:eastAsia="Calibr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E13071E"/>
    <w:multiLevelType w:val="hybridMultilevel"/>
    <w:tmpl w:val="92DCAC24"/>
    <w:lvl w:ilvl="0" w:tplc="73786428">
      <w:start w:val="1"/>
      <w:numFmt w:val="decimal"/>
      <w:lvlText w:val="%1."/>
      <w:lvlJc w:val="left"/>
      <w:pPr>
        <w:ind w:left="360" w:hanging="360"/>
      </w:pPr>
      <w:rPr>
        <w:rFonts w:hint="default"/>
        <w:i w:val="0"/>
        <w:color w:val="FF66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1A72B23"/>
    <w:multiLevelType w:val="hybridMultilevel"/>
    <w:tmpl w:val="E7C0677E"/>
    <w:lvl w:ilvl="0" w:tplc="A7E6C730">
      <w:numFmt w:val="bullet"/>
      <w:pStyle w:val="Bullet2ndlevel"/>
      <w:lvlText w:val="•"/>
      <w:lvlJc w:val="left"/>
      <w:pPr>
        <w:ind w:left="794" w:hanging="454"/>
      </w:pPr>
      <w:rPr>
        <w:rFonts w:ascii="Arial" w:hAnsi="Arial" w:hint="default"/>
        <w:color w:val="64AFE1"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3C61518"/>
    <w:multiLevelType w:val="hybridMultilevel"/>
    <w:tmpl w:val="87AA2982"/>
    <w:lvl w:ilvl="0" w:tplc="D73EEFAE">
      <w:start w:val="1"/>
      <w:numFmt w:val="upperLetter"/>
      <w:pStyle w:val="BulletTitle"/>
      <w:lvlText w:val="%1."/>
      <w:lvlJc w:val="left"/>
      <w:pPr>
        <w:ind w:left="454" w:hanging="45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5BB2BFA"/>
    <w:multiLevelType w:val="hybridMultilevel"/>
    <w:tmpl w:val="A1720480"/>
    <w:lvl w:ilvl="0" w:tplc="86E6A5E8">
      <w:start w:val="1"/>
      <w:numFmt w:val="upperLetter"/>
      <w:lvlText w:val="%1."/>
      <w:lvlJc w:val="left"/>
      <w:pPr>
        <w:ind w:left="454" w:hanging="45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9F965B8"/>
    <w:multiLevelType w:val="hybridMultilevel"/>
    <w:tmpl w:val="22D0F136"/>
    <w:lvl w:ilvl="0" w:tplc="45B22C1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D011A5"/>
    <w:multiLevelType w:val="hybridMultilevel"/>
    <w:tmpl w:val="0FCEB256"/>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CC2557A"/>
    <w:multiLevelType w:val="hybridMultilevel"/>
    <w:tmpl w:val="D2B04AC4"/>
    <w:lvl w:ilvl="0" w:tplc="724C4D16">
      <w:numFmt w:val="bullet"/>
      <w:lvlText w:val="•"/>
      <w:lvlJc w:val="left"/>
      <w:pPr>
        <w:ind w:left="357" w:hanging="357"/>
      </w:pPr>
      <w:rPr>
        <w:rFonts w:ascii="Arial" w:eastAsia="Calibr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CF5656E"/>
    <w:multiLevelType w:val="multilevel"/>
    <w:tmpl w:val="B838F10A"/>
    <w:lvl w:ilvl="0">
      <w:numFmt w:val="bullet"/>
      <w:lvlText w:val="•"/>
      <w:lvlJc w:val="left"/>
      <w:pPr>
        <w:ind w:left="471" w:hanging="358"/>
      </w:pPr>
      <w:rPr>
        <w:rFonts w:ascii="Arial" w:eastAsia="Calibr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79D2E87"/>
    <w:multiLevelType w:val="multilevel"/>
    <w:tmpl w:val="14D6A9F6"/>
    <w:lvl w:ilvl="0">
      <w:numFmt w:val="bullet"/>
      <w:lvlText w:val="•"/>
      <w:lvlJc w:val="left"/>
      <w:pPr>
        <w:ind w:left="567" w:hanging="340"/>
      </w:pPr>
      <w:rPr>
        <w:rFonts w:ascii="Arial" w:eastAsia="Calibr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AD06A6B"/>
    <w:multiLevelType w:val="multilevel"/>
    <w:tmpl w:val="9608460A"/>
    <w:lvl w:ilvl="0">
      <w:numFmt w:val="bullet"/>
      <w:lvlText w:val="•"/>
      <w:lvlJc w:val="left"/>
      <w:pPr>
        <w:ind w:left="357" w:hanging="357"/>
      </w:pPr>
      <w:rPr>
        <w:rFonts w:ascii="Arial" w:eastAsia="Calibr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F7E1442"/>
    <w:multiLevelType w:val="hybridMultilevel"/>
    <w:tmpl w:val="D1C05BEA"/>
    <w:lvl w:ilvl="0" w:tplc="0809000F">
      <w:start w:val="1"/>
      <w:numFmt w:val="decimal"/>
      <w:lvlText w:val="%1."/>
      <w:lvlJc w:val="left"/>
      <w:pPr>
        <w:tabs>
          <w:tab w:val="num" w:pos="471"/>
        </w:tabs>
        <w:ind w:left="357" w:hanging="357"/>
      </w:pPr>
      <w:rPr>
        <w:rFonts w:hint="default"/>
        <w:color w:val="FF66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D03004"/>
    <w:multiLevelType w:val="hybridMultilevel"/>
    <w:tmpl w:val="73EEE6B0"/>
    <w:lvl w:ilvl="0" w:tplc="800E2F22">
      <w:start w:val="1"/>
      <w:numFmt w:val="decimal"/>
      <w:lvlText w:val="%1."/>
      <w:lvlJc w:val="left"/>
      <w:pPr>
        <w:ind w:left="1080" w:hanging="360"/>
      </w:pPr>
    </w:lvl>
    <w:lvl w:ilvl="1" w:tplc="B282C232">
      <w:start w:val="1"/>
      <w:numFmt w:val="decimal"/>
      <w:lvlText w:val="%2."/>
      <w:lvlJc w:val="left"/>
      <w:pPr>
        <w:ind w:left="1080" w:hanging="360"/>
      </w:pPr>
    </w:lvl>
    <w:lvl w:ilvl="2" w:tplc="8C0ABDB0">
      <w:start w:val="1"/>
      <w:numFmt w:val="decimal"/>
      <w:lvlText w:val="%3."/>
      <w:lvlJc w:val="left"/>
      <w:pPr>
        <w:ind w:left="1080" w:hanging="360"/>
      </w:pPr>
    </w:lvl>
    <w:lvl w:ilvl="3" w:tplc="A8B22718">
      <w:start w:val="1"/>
      <w:numFmt w:val="decimal"/>
      <w:lvlText w:val="%4."/>
      <w:lvlJc w:val="left"/>
      <w:pPr>
        <w:ind w:left="1080" w:hanging="360"/>
      </w:pPr>
    </w:lvl>
    <w:lvl w:ilvl="4" w:tplc="21B8DF36">
      <w:start w:val="1"/>
      <w:numFmt w:val="decimal"/>
      <w:lvlText w:val="%5."/>
      <w:lvlJc w:val="left"/>
      <w:pPr>
        <w:ind w:left="1080" w:hanging="360"/>
      </w:pPr>
    </w:lvl>
    <w:lvl w:ilvl="5" w:tplc="D7D6BF3C">
      <w:start w:val="1"/>
      <w:numFmt w:val="decimal"/>
      <w:lvlText w:val="%6."/>
      <w:lvlJc w:val="left"/>
      <w:pPr>
        <w:ind w:left="1080" w:hanging="360"/>
      </w:pPr>
    </w:lvl>
    <w:lvl w:ilvl="6" w:tplc="0F6CEDE8">
      <w:start w:val="1"/>
      <w:numFmt w:val="decimal"/>
      <w:lvlText w:val="%7."/>
      <w:lvlJc w:val="left"/>
      <w:pPr>
        <w:ind w:left="1080" w:hanging="360"/>
      </w:pPr>
    </w:lvl>
    <w:lvl w:ilvl="7" w:tplc="95A0B7A0">
      <w:start w:val="1"/>
      <w:numFmt w:val="decimal"/>
      <w:lvlText w:val="%8."/>
      <w:lvlJc w:val="left"/>
      <w:pPr>
        <w:ind w:left="1080" w:hanging="360"/>
      </w:pPr>
    </w:lvl>
    <w:lvl w:ilvl="8" w:tplc="1DAA45BE">
      <w:start w:val="1"/>
      <w:numFmt w:val="decimal"/>
      <w:lvlText w:val="%9."/>
      <w:lvlJc w:val="left"/>
      <w:pPr>
        <w:ind w:left="1080" w:hanging="360"/>
      </w:pPr>
    </w:lvl>
  </w:abstractNum>
  <w:abstractNum w:abstractNumId="30" w15:restartNumberingAfterBreak="0">
    <w:nsid w:val="45E64E61"/>
    <w:multiLevelType w:val="hybridMultilevel"/>
    <w:tmpl w:val="56AE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A27278"/>
    <w:multiLevelType w:val="multilevel"/>
    <w:tmpl w:val="A1720480"/>
    <w:lvl w:ilvl="0">
      <w:start w:val="1"/>
      <w:numFmt w:val="upperLetter"/>
      <w:lvlText w:val="%1."/>
      <w:lvlJc w:val="left"/>
      <w:pPr>
        <w:ind w:left="454"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E526932"/>
    <w:multiLevelType w:val="hybridMultilevel"/>
    <w:tmpl w:val="9604946A"/>
    <w:lvl w:ilvl="0" w:tplc="05DE86A6">
      <w:numFmt w:val="bullet"/>
      <w:lvlText w:val="•"/>
      <w:lvlJc w:val="left"/>
      <w:pPr>
        <w:tabs>
          <w:tab w:val="num" w:pos="471"/>
        </w:tabs>
        <w:ind w:left="357" w:hanging="357"/>
      </w:pPr>
      <w:rPr>
        <w:rFonts w:ascii="Arial" w:hAnsi="Arial" w:hint="default"/>
        <w:color w:val="293A9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F84B0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29E2F28"/>
    <w:multiLevelType w:val="hybridMultilevel"/>
    <w:tmpl w:val="03704216"/>
    <w:lvl w:ilvl="0" w:tplc="9D4AC6F4">
      <w:start w:val="1"/>
      <w:numFmt w:val="decimal"/>
      <w:lvlText w:val="%1."/>
      <w:lvlJc w:val="left"/>
      <w:pPr>
        <w:ind w:left="360" w:hanging="360"/>
      </w:pPr>
      <w:rPr>
        <w:rFonts w:ascii="Arial" w:hAnsi="Arial" w:cs="Arial" w:hint="default"/>
        <w:b w:val="0"/>
        <w:bCs w:val="0"/>
        <w:i w:val="0"/>
        <w:color w:val="64AFE1" w:themeColor="accent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B2A211F"/>
    <w:multiLevelType w:val="hybridMultilevel"/>
    <w:tmpl w:val="CCE069A8"/>
    <w:lvl w:ilvl="0" w:tplc="0809000F">
      <w:start w:val="1"/>
      <w:numFmt w:val="decimal"/>
      <w:lvlText w:val="%1."/>
      <w:lvlJc w:val="left"/>
      <w:pPr>
        <w:tabs>
          <w:tab w:val="num" w:pos="471"/>
        </w:tabs>
        <w:ind w:left="357" w:hanging="357"/>
      </w:pPr>
      <w:rPr>
        <w:rFonts w:hint="default"/>
        <w:color w:val="64AFE1" w:themeColor="accent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5C7550A5"/>
    <w:multiLevelType w:val="multilevel"/>
    <w:tmpl w:val="4FF246B6"/>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E070B19"/>
    <w:multiLevelType w:val="hybridMultilevel"/>
    <w:tmpl w:val="FB00C502"/>
    <w:lvl w:ilvl="0" w:tplc="0409000F">
      <w:start w:val="1"/>
      <w:numFmt w:val="decimal"/>
      <w:lvlText w:val="%1."/>
      <w:lvlJc w:val="left"/>
      <w:pPr>
        <w:ind w:left="720" w:hanging="360"/>
      </w:pPr>
    </w:lvl>
    <w:lvl w:ilvl="1" w:tplc="DA10439E">
      <w:start w:val="1"/>
      <w:numFmt w:val="bullet"/>
      <w:lvlText w:val=""/>
      <w:lvlJc w:val="left"/>
      <w:pPr>
        <w:ind w:left="1440" w:hanging="360"/>
      </w:pPr>
      <w:rPr>
        <w:rFonts w:ascii="Symbol" w:hAnsi="Symbol" w:hint="default"/>
      </w:r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692"/>
        </w:tabs>
        <w:ind w:left="-28"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42C334D"/>
    <w:multiLevelType w:val="hybridMultilevel"/>
    <w:tmpl w:val="9B047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8F7224"/>
    <w:multiLevelType w:val="multilevel"/>
    <w:tmpl w:val="CA68981A"/>
    <w:lvl w:ilvl="0">
      <w:numFmt w:val="bullet"/>
      <w:lvlText w:val="•"/>
      <w:lvlJc w:val="left"/>
      <w:pPr>
        <w:ind w:left="720" w:hanging="360"/>
      </w:pPr>
      <w:rPr>
        <w:rFonts w:ascii="Arial" w:eastAsia="Calibr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98F6770"/>
    <w:multiLevelType w:val="hybridMultilevel"/>
    <w:tmpl w:val="24C2751C"/>
    <w:lvl w:ilvl="0" w:tplc="8244EA0C">
      <w:numFmt w:val="bullet"/>
      <w:lvlText w:val="•"/>
      <w:lvlJc w:val="left"/>
      <w:pPr>
        <w:ind w:left="567" w:hanging="340"/>
      </w:pPr>
      <w:rPr>
        <w:rFonts w:ascii="Arial" w:eastAsia="Calibr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5B605D"/>
    <w:multiLevelType w:val="hybridMultilevel"/>
    <w:tmpl w:val="7A5A376C"/>
    <w:lvl w:ilvl="0" w:tplc="E21860CA">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3" w15:restartNumberingAfterBreak="0">
    <w:nsid w:val="6D7E4F14"/>
    <w:multiLevelType w:val="hybridMultilevel"/>
    <w:tmpl w:val="D486ADA2"/>
    <w:lvl w:ilvl="0" w:tplc="CC6AB860">
      <w:start w:val="3"/>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4" w15:restartNumberingAfterBreak="0">
    <w:nsid w:val="749C62E6"/>
    <w:multiLevelType w:val="hybridMultilevel"/>
    <w:tmpl w:val="B53E961C"/>
    <w:lvl w:ilvl="0" w:tplc="73786428">
      <w:start w:val="1"/>
      <w:numFmt w:val="decimal"/>
      <w:lvlText w:val="%1."/>
      <w:lvlJc w:val="left"/>
      <w:pPr>
        <w:ind w:left="360" w:hanging="360"/>
      </w:pPr>
      <w:rPr>
        <w:rFonts w:hint="default"/>
        <w:i w:val="0"/>
        <w:color w:val="FF66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40591561">
    <w:abstractNumId w:val="37"/>
  </w:num>
  <w:num w:numId="2" w16cid:durableId="1584416666">
    <w:abstractNumId w:val="22"/>
  </w:num>
  <w:num w:numId="3" w16cid:durableId="641345619">
    <w:abstractNumId w:val="36"/>
  </w:num>
  <w:num w:numId="4" w16cid:durableId="1637832710">
    <w:abstractNumId w:val="30"/>
  </w:num>
  <w:num w:numId="5" w16cid:durableId="1100292084">
    <w:abstractNumId w:val="39"/>
  </w:num>
  <w:num w:numId="6" w16cid:durableId="1000737888">
    <w:abstractNumId w:val="14"/>
  </w:num>
  <w:num w:numId="7" w16cid:durableId="600142747">
    <w:abstractNumId w:val="40"/>
  </w:num>
  <w:num w:numId="8" w16cid:durableId="1012341913">
    <w:abstractNumId w:val="24"/>
  </w:num>
  <w:num w:numId="9" w16cid:durableId="788544835">
    <w:abstractNumId w:val="27"/>
  </w:num>
  <w:num w:numId="10" w16cid:durableId="443039828">
    <w:abstractNumId w:val="32"/>
  </w:num>
  <w:num w:numId="11" w16cid:durableId="1994602143">
    <w:abstractNumId w:val="17"/>
  </w:num>
  <w:num w:numId="12" w16cid:durableId="655955449">
    <w:abstractNumId w:val="15"/>
  </w:num>
  <w:num w:numId="13" w16cid:durableId="1369916792">
    <w:abstractNumId w:val="25"/>
  </w:num>
  <w:num w:numId="14" w16cid:durableId="1953901500">
    <w:abstractNumId w:val="41"/>
  </w:num>
  <w:num w:numId="15" w16cid:durableId="717556661">
    <w:abstractNumId w:val="26"/>
  </w:num>
  <w:num w:numId="16" w16cid:durableId="506871608">
    <w:abstractNumId w:val="19"/>
  </w:num>
  <w:num w:numId="17" w16cid:durableId="323316828">
    <w:abstractNumId w:val="12"/>
  </w:num>
  <w:num w:numId="18" w16cid:durableId="1253976437">
    <w:abstractNumId w:val="33"/>
  </w:num>
  <w:num w:numId="19" w16cid:durableId="958604424">
    <w:abstractNumId w:val="23"/>
  </w:num>
  <w:num w:numId="20" w16cid:durableId="561139645">
    <w:abstractNumId w:val="13"/>
  </w:num>
  <w:num w:numId="21" w16cid:durableId="641231150">
    <w:abstractNumId w:val="21"/>
  </w:num>
  <w:num w:numId="22" w16cid:durableId="859898050">
    <w:abstractNumId w:val="31"/>
  </w:num>
  <w:num w:numId="23" w16cid:durableId="1219125540">
    <w:abstractNumId w:val="20"/>
  </w:num>
  <w:num w:numId="24" w16cid:durableId="811291310">
    <w:abstractNumId w:val="32"/>
  </w:num>
  <w:num w:numId="25" w16cid:durableId="1443109394">
    <w:abstractNumId w:val="16"/>
  </w:num>
  <w:num w:numId="26" w16cid:durableId="338655694">
    <w:abstractNumId w:val="10"/>
  </w:num>
  <w:num w:numId="27" w16cid:durableId="1603487074">
    <w:abstractNumId w:val="8"/>
  </w:num>
  <w:num w:numId="28" w16cid:durableId="2116514466">
    <w:abstractNumId w:val="7"/>
  </w:num>
  <w:num w:numId="29" w16cid:durableId="379592951">
    <w:abstractNumId w:val="6"/>
  </w:num>
  <w:num w:numId="30" w16cid:durableId="464737795">
    <w:abstractNumId w:val="5"/>
  </w:num>
  <w:num w:numId="31" w16cid:durableId="678436255">
    <w:abstractNumId w:val="9"/>
  </w:num>
  <w:num w:numId="32" w16cid:durableId="692267439">
    <w:abstractNumId w:val="4"/>
  </w:num>
  <w:num w:numId="33" w16cid:durableId="1299148771">
    <w:abstractNumId w:val="3"/>
  </w:num>
  <w:num w:numId="34" w16cid:durableId="1962951785">
    <w:abstractNumId w:val="2"/>
  </w:num>
  <w:num w:numId="35" w16cid:durableId="898976797">
    <w:abstractNumId w:val="1"/>
  </w:num>
  <w:num w:numId="36" w16cid:durableId="1562209218">
    <w:abstractNumId w:val="28"/>
  </w:num>
  <w:num w:numId="37" w16cid:durableId="1501460565">
    <w:abstractNumId w:val="35"/>
  </w:num>
  <w:num w:numId="38" w16cid:durableId="1498500939">
    <w:abstractNumId w:val="34"/>
  </w:num>
  <w:num w:numId="39" w16cid:durableId="1424301466">
    <w:abstractNumId w:val="0"/>
  </w:num>
  <w:num w:numId="40" w16cid:durableId="1216116603">
    <w:abstractNumId w:val="38"/>
  </w:num>
  <w:num w:numId="41" w16cid:durableId="1854418266">
    <w:abstractNumId w:val="11"/>
  </w:num>
  <w:num w:numId="42" w16cid:durableId="254897417">
    <w:abstractNumId w:val="18"/>
  </w:num>
  <w:num w:numId="43" w16cid:durableId="942685393">
    <w:abstractNumId w:val="44"/>
  </w:num>
  <w:num w:numId="44" w16cid:durableId="1457676140">
    <w:abstractNumId w:val="42"/>
  </w:num>
  <w:num w:numId="45" w16cid:durableId="2147156413">
    <w:abstractNumId w:val="43"/>
  </w:num>
  <w:num w:numId="46" w16cid:durableId="18166801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CBD"/>
    <w:rsid w:val="0000031F"/>
    <w:rsid w:val="000005F2"/>
    <w:rsid w:val="000007EF"/>
    <w:rsid w:val="000008AF"/>
    <w:rsid w:val="0000137F"/>
    <w:rsid w:val="000014B0"/>
    <w:rsid w:val="00002B04"/>
    <w:rsid w:val="00005A6D"/>
    <w:rsid w:val="00006C7E"/>
    <w:rsid w:val="00007645"/>
    <w:rsid w:val="000108C4"/>
    <w:rsid w:val="000118E7"/>
    <w:rsid w:val="00011D91"/>
    <w:rsid w:val="000127E2"/>
    <w:rsid w:val="00012866"/>
    <w:rsid w:val="00012F13"/>
    <w:rsid w:val="00013E68"/>
    <w:rsid w:val="000146C0"/>
    <w:rsid w:val="00021532"/>
    <w:rsid w:val="00022450"/>
    <w:rsid w:val="00022656"/>
    <w:rsid w:val="00024FAE"/>
    <w:rsid w:val="00024FD6"/>
    <w:rsid w:val="00025E79"/>
    <w:rsid w:val="00026209"/>
    <w:rsid w:val="00027471"/>
    <w:rsid w:val="000274DC"/>
    <w:rsid w:val="00030862"/>
    <w:rsid w:val="00030FE3"/>
    <w:rsid w:val="00032D41"/>
    <w:rsid w:val="0003388E"/>
    <w:rsid w:val="000400BB"/>
    <w:rsid w:val="000415F8"/>
    <w:rsid w:val="000427A6"/>
    <w:rsid w:val="00043262"/>
    <w:rsid w:val="00046EE9"/>
    <w:rsid w:val="0005053B"/>
    <w:rsid w:val="00051A4C"/>
    <w:rsid w:val="00052572"/>
    <w:rsid w:val="00052897"/>
    <w:rsid w:val="00053040"/>
    <w:rsid w:val="000530A6"/>
    <w:rsid w:val="000537E0"/>
    <w:rsid w:val="0005456A"/>
    <w:rsid w:val="00055DC9"/>
    <w:rsid w:val="0005610C"/>
    <w:rsid w:val="00056817"/>
    <w:rsid w:val="00060391"/>
    <w:rsid w:val="00060E66"/>
    <w:rsid w:val="00061198"/>
    <w:rsid w:val="00062204"/>
    <w:rsid w:val="0006356F"/>
    <w:rsid w:val="00064120"/>
    <w:rsid w:val="00064992"/>
    <w:rsid w:val="00064F35"/>
    <w:rsid w:val="00065199"/>
    <w:rsid w:val="000668ED"/>
    <w:rsid w:val="0006755A"/>
    <w:rsid w:val="00067CE7"/>
    <w:rsid w:val="00067F29"/>
    <w:rsid w:val="000701B1"/>
    <w:rsid w:val="0007166A"/>
    <w:rsid w:val="00072411"/>
    <w:rsid w:val="00072AAF"/>
    <w:rsid w:val="00073728"/>
    <w:rsid w:val="000739C4"/>
    <w:rsid w:val="000745F9"/>
    <w:rsid w:val="00075A92"/>
    <w:rsid w:val="000763E4"/>
    <w:rsid w:val="00076F62"/>
    <w:rsid w:val="00077BD3"/>
    <w:rsid w:val="000814DE"/>
    <w:rsid w:val="00082775"/>
    <w:rsid w:val="00082979"/>
    <w:rsid w:val="000840E7"/>
    <w:rsid w:val="0008454D"/>
    <w:rsid w:val="00084E4B"/>
    <w:rsid w:val="0008549D"/>
    <w:rsid w:val="00085862"/>
    <w:rsid w:val="00086829"/>
    <w:rsid w:val="00087341"/>
    <w:rsid w:val="00087963"/>
    <w:rsid w:val="00091002"/>
    <w:rsid w:val="000933FD"/>
    <w:rsid w:val="00095A2E"/>
    <w:rsid w:val="000A1140"/>
    <w:rsid w:val="000A1AEF"/>
    <w:rsid w:val="000A1C4C"/>
    <w:rsid w:val="000A2740"/>
    <w:rsid w:val="000A2C26"/>
    <w:rsid w:val="000A3628"/>
    <w:rsid w:val="000A3CE8"/>
    <w:rsid w:val="000A4CB0"/>
    <w:rsid w:val="000A4E49"/>
    <w:rsid w:val="000B01D3"/>
    <w:rsid w:val="000B1774"/>
    <w:rsid w:val="000B42BE"/>
    <w:rsid w:val="000B4F0D"/>
    <w:rsid w:val="000B5C0A"/>
    <w:rsid w:val="000B6491"/>
    <w:rsid w:val="000C17E4"/>
    <w:rsid w:val="000C2920"/>
    <w:rsid w:val="000C3822"/>
    <w:rsid w:val="000C3C97"/>
    <w:rsid w:val="000C461D"/>
    <w:rsid w:val="000C61CC"/>
    <w:rsid w:val="000C6362"/>
    <w:rsid w:val="000C7549"/>
    <w:rsid w:val="000C765C"/>
    <w:rsid w:val="000D023A"/>
    <w:rsid w:val="000D0A8F"/>
    <w:rsid w:val="000D1574"/>
    <w:rsid w:val="000D2385"/>
    <w:rsid w:val="000D35C3"/>
    <w:rsid w:val="000D5E57"/>
    <w:rsid w:val="000D69DA"/>
    <w:rsid w:val="000D6DBB"/>
    <w:rsid w:val="000D763C"/>
    <w:rsid w:val="000D7898"/>
    <w:rsid w:val="000E011E"/>
    <w:rsid w:val="000E0258"/>
    <w:rsid w:val="000E1B2E"/>
    <w:rsid w:val="000E3173"/>
    <w:rsid w:val="000E35F2"/>
    <w:rsid w:val="000E4219"/>
    <w:rsid w:val="000E5226"/>
    <w:rsid w:val="000E71DC"/>
    <w:rsid w:val="000F2503"/>
    <w:rsid w:val="000F3914"/>
    <w:rsid w:val="000F432A"/>
    <w:rsid w:val="000F528F"/>
    <w:rsid w:val="000F5CD3"/>
    <w:rsid w:val="000F6873"/>
    <w:rsid w:val="000F6C2D"/>
    <w:rsid w:val="000F794B"/>
    <w:rsid w:val="0010058F"/>
    <w:rsid w:val="001013F7"/>
    <w:rsid w:val="0010167B"/>
    <w:rsid w:val="00102A07"/>
    <w:rsid w:val="00111450"/>
    <w:rsid w:val="00111B00"/>
    <w:rsid w:val="00111BF0"/>
    <w:rsid w:val="001121E0"/>
    <w:rsid w:val="001138C9"/>
    <w:rsid w:val="00114899"/>
    <w:rsid w:val="00114987"/>
    <w:rsid w:val="0011756D"/>
    <w:rsid w:val="001208FD"/>
    <w:rsid w:val="001212DC"/>
    <w:rsid w:val="00121915"/>
    <w:rsid w:val="00121E0C"/>
    <w:rsid w:val="001224AE"/>
    <w:rsid w:val="00122958"/>
    <w:rsid w:val="00122ED9"/>
    <w:rsid w:val="001239F8"/>
    <w:rsid w:val="00124CAC"/>
    <w:rsid w:val="00126541"/>
    <w:rsid w:val="00126D6F"/>
    <w:rsid w:val="001275DF"/>
    <w:rsid w:val="001300D0"/>
    <w:rsid w:val="0013015B"/>
    <w:rsid w:val="00132EAD"/>
    <w:rsid w:val="001333B9"/>
    <w:rsid w:val="00134EBB"/>
    <w:rsid w:val="00137383"/>
    <w:rsid w:val="0013798E"/>
    <w:rsid w:val="00137A7E"/>
    <w:rsid w:val="00137E74"/>
    <w:rsid w:val="00140C38"/>
    <w:rsid w:val="00140E07"/>
    <w:rsid w:val="00140F69"/>
    <w:rsid w:val="00141AB6"/>
    <w:rsid w:val="00141D49"/>
    <w:rsid w:val="00142654"/>
    <w:rsid w:val="001444A3"/>
    <w:rsid w:val="00144991"/>
    <w:rsid w:val="00144FFC"/>
    <w:rsid w:val="00145704"/>
    <w:rsid w:val="001458B0"/>
    <w:rsid w:val="00146806"/>
    <w:rsid w:val="00150539"/>
    <w:rsid w:val="001514DA"/>
    <w:rsid w:val="00152A4F"/>
    <w:rsid w:val="001532B8"/>
    <w:rsid w:val="00153946"/>
    <w:rsid w:val="00153CB3"/>
    <w:rsid w:val="00154163"/>
    <w:rsid w:val="001547F7"/>
    <w:rsid w:val="00156E4C"/>
    <w:rsid w:val="00160517"/>
    <w:rsid w:val="001618E3"/>
    <w:rsid w:val="00162A85"/>
    <w:rsid w:val="001649AC"/>
    <w:rsid w:val="00164C9D"/>
    <w:rsid w:val="00165DDF"/>
    <w:rsid w:val="00166971"/>
    <w:rsid w:val="00167747"/>
    <w:rsid w:val="00171192"/>
    <w:rsid w:val="00171634"/>
    <w:rsid w:val="00171C7E"/>
    <w:rsid w:val="00172339"/>
    <w:rsid w:val="00172B2D"/>
    <w:rsid w:val="00174D2B"/>
    <w:rsid w:val="00174FB3"/>
    <w:rsid w:val="001753A7"/>
    <w:rsid w:val="00176B14"/>
    <w:rsid w:val="0017771D"/>
    <w:rsid w:val="001777D6"/>
    <w:rsid w:val="00181081"/>
    <w:rsid w:val="0018143A"/>
    <w:rsid w:val="00181466"/>
    <w:rsid w:val="001817B8"/>
    <w:rsid w:val="00181832"/>
    <w:rsid w:val="00182AC2"/>
    <w:rsid w:val="00182CBD"/>
    <w:rsid w:val="00182CE3"/>
    <w:rsid w:val="00184318"/>
    <w:rsid w:val="001854DC"/>
    <w:rsid w:val="00187ACA"/>
    <w:rsid w:val="00187EDB"/>
    <w:rsid w:val="00187F0F"/>
    <w:rsid w:val="0019034E"/>
    <w:rsid w:val="001910C8"/>
    <w:rsid w:val="0019216B"/>
    <w:rsid w:val="001931AB"/>
    <w:rsid w:val="001931F5"/>
    <w:rsid w:val="00193338"/>
    <w:rsid w:val="00193B2A"/>
    <w:rsid w:val="001940A4"/>
    <w:rsid w:val="0019452A"/>
    <w:rsid w:val="00194740"/>
    <w:rsid w:val="00194ECE"/>
    <w:rsid w:val="001963AE"/>
    <w:rsid w:val="001A011A"/>
    <w:rsid w:val="001A2234"/>
    <w:rsid w:val="001A2802"/>
    <w:rsid w:val="001A360C"/>
    <w:rsid w:val="001A38C3"/>
    <w:rsid w:val="001A425B"/>
    <w:rsid w:val="001A4E8E"/>
    <w:rsid w:val="001A6269"/>
    <w:rsid w:val="001B1074"/>
    <w:rsid w:val="001B16BE"/>
    <w:rsid w:val="001B1991"/>
    <w:rsid w:val="001B25DD"/>
    <w:rsid w:val="001B29F6"/>
    <w:rsid w:val="001B2F3F"/>
    <w:rsid w:val="001B3210"/>
    <w:rsid w:val="001B3FE2"/>
    <w:rsid w:val="001B4039"/>
    <w:rsid w:val="001B4153"/>
    <w:rsid w:val="001B479A"/>
    <w:rsid w:val="001B49AF"/>
    <w:rsid w:val="001B4A96"/>
    <w:rsid w:val="001B6D7A"/>
    <w:rsid w:val="001B755B"/>
    <w:rsid w:val="001B790E"/>
    <w:rsid w:val="001B7C23"/>
    <w:rsid w:val="001C02AB"/>
    <w:rsid w:val="001C149B"/>
    <w:rsid w:val="001C2544"/>
    <w:rsid w:val="001C25EE"/>
    <w:rsid w:val="001C2A42"/>
    <w:rsid w:val="001C2BD7"/>
    <w:rsid w:val="001C30EE"/>
    <w:rsid w:val="001C3DA3"/>
    <w:rsid w:val="001C42F9"/>
    <w:rsid w:val="001C503B"/>
    <w:rsid w:val="001C56B4"/>
    <w:rsid w:val="001C58A5"/>
    <w:rsid w:val="001C5FA3"/>
    <w:rsid w:val="001C6244"/>
    <w:rsid w:val="001C6319"/>
    <w:rsid w:val="001C63A7"/>
    <w:rsid w:val="001C66B7"/>
    <w:rsid w:val="001C7056"/>
    <w:rsid w:val="001D08D2"/>
    <w:rsid w:val="001D0BA8"/>
    <w:rsid w:val="001D0CC4"/>
    <w:rsid w:val="001D195F"/>
    <w:rsid w:val="001D1BB0"/>
    <w:rsid w:val="001D25F2"/>
    <w:rsid w:val="001D43D0"/>
    <w:rsid w:val="001D56AE"/>
    <w:rsid w:val="001D6614"/>
    <w:rsid w:val="001E1949"/>
    <w:rsid w:val="001E1F1D"/>
    <w:rsid w:val="001E3663"/>
    <w:rsid w:val="001E4EE4"/>
    <w:rsid w:val="001E4FF2"/>
    <w:rsid w:val="001E569F"/>
    <w:rsid w:val="001E76A6"/>
    <w:rsid w:val="001E783B"/>
    <w:rsid w:val="001E7BFC"/>
    <w:rsid w:val="001F03B1"/>
    <w:rsid w:val="001F0B68"/>
    <w:rsid w:val="001F0C71"/>
    <w:rsid w:val="001F0CE5"/>
    <w:rsid w:val="001F1082"/>
    <w:rsid w:val="001F1419"/>
    <w:rsid w:val="001F1689"/>
    <w:rsid w:val="001F173B"/>
    <w:rsid w:val="001F3BDE"/>
    <w:rsid w:val="001F3DCE"/>
    <w:rsid w:val="001F406A"/>
    <w:rsid w:val="001F53B7"/>
    <w:rsid w:val="001F5F77"/>
    <w:rsid w:val="001F764B"/>
    <w:rsid w:val="001F7AD3"/>
    <w:rsid w:val="00200E3E"/>
    <w:rsid w:val="002027DF"/>
    <w:rsid w:val="00202975"/>
    <w:rsid w:val="00202A0D"/>
    <w:rsid w:val="00202CEF"/>
    <w:rsid w:val="00204102"/>
    <w:rsid w:val="002054FA"/>
    <w:rsid w:val="002055D2"/>
    <w:rsid w:val="00205636"/>
    <w:rsid w:val="00205DF8"/>
    <w:rsid w:val="00207419"/>
    <w:rsid w:val="00207F83"/>
    <w:rsid w:val="002120A5"/>
    <w:rsid w:val="002120EF"/>
    <w:rsid w:val="00212646"/>
    <w:rsid w:val="00213C18"/>
    <w:rsid w:val="00214FEE"/>
    <w:rsid w:val="00215760"/>
    <w:rsid w:val="0021785C"/>
    <w:rsid w:val="00217BFA"/>
    <w:rsid w:val="002202E7"/>
    <w:rsid w:val="00221675"/>
    <w:rsid w:val="00221B82"/>
    <w:rsid w:val="00222228"/>
    <w:rsid w:val="00222897"/>
    <w:rsid w:val="00223537"/>
    <w:rsid w:val="002244B1"/>
    <w:rsid w:val="00225BFE"/>
    <w:rsid w:val="00226972"/>
    <w:rsid w:val="002301B5"/>
    <w:rsid w:val="002301F3"/>
    <w:rsid w:val="00230653"/>
    <w:rsid w:val="00230C14"/>
    <w:rsid w:val="002342DD"/>
    <w:rsid w:val="00235195"/>
    <w:rsid w:val="00236287"/>
    <w:rsid w:val="00237AA0"/>
    <w:rsid w:val="00237BC5"/>
    <w:rsid w:val="00240BDC"/>
    <w:rsid w:val="00241226"/>
    <w:rsid w:val="0024187C"/>
    <w:rsid w:val="002420A7"/>
    <w:rsid w:val="00242628"/>
    <w:rsid w:val="002442A9"/>
    <w:rsid w:val="0024431E"/>
    <w:rsid w:val="002443DF"/>
    <w:rsid w:val="00245231"/>
    <w:rsid w:val="002468F6"/>
    <w:rsid w:val="00247041"/>
    <w:rsid w:val="0025067D"/>
    <w:rsid w:val="00250763"/>
    <w:rsid w:val="002508DB"/>
    <w:rsid w:val="0025129E"/>
    <w:rsid w:val="00251C95"/>
    <w:rsid w:val="00252E28"/>
    <w:rsid w:val="0025370B"/>
    <w:rsid w:val="00253C9F"/>
    <w:rsid w:val="00255C29"/>
    <w:rsid w:val="00257350"/>
    <w:rsid w:val="002577D8"/>
    <w:rsid w:val="002578AF"/>
    <w:rsid w:val="00257AA8"/>
    <w:rsid w:val="00257CED"/>
    <w:rsid w:val="00262930"/>
    <w:rsid w:val="00262E13"/>
    <w:rsid w:val="002635E0"/>
    <w:rsid w:val="002649AC"/>
    <w:rsid w:val="002649FB"/>
    <w:rsid w:val="00264D92"/>
    <w:rsid w:val="00265673"/>
    <w:rsid w:val="002669D5"/>
    <w:rsid w:val="0026715A"/>
    <w:rsid w:val="00267DAD"/>
    <w:rsid w:val="002718B5"/>
    <w:rsid w:val="00271E36"/>
    <w:rsid w:val="00272D8E"/>
    <w:rsid w:val="00273895"/>
    <w:rsid w:val="00273CC8"/>
    <w:rsid w:val="00273F2F"/>
    <w:rsid w:val="0027415E"/>
    <w:rsid w:val="002741AE"/>
    <w:rsid w:val="00274F0F"/>
    <w:rsid w:val="00275BD8"/>
    <w:rsid w:val="0027637D"/>
    <w:rsid w:val="00280C3A"/>
    <w:rsid w:val="0028188B"/>
    <w:rsid w:val="00283C70"/>
    <w:rsid w:val="00283D48"/>
    <w:rsid w:val="002844BC"/>
    <w:rsid w:val="0028472E"/>
    <w:rsid w:val="0028585A"/>
    <w:rsid w:val="00285863"/>
    <w:rsid w:val="00285A03"/>
    <w:rsid w:val="002866C7"/>
    <w:rsid w:val="00287049"/>
    <w:rsid w:val="0028744E"/>
    <w:rsid w:val="0029092A"/>
    <w:rsid w:val="002913F1"/>
    <w:rsid w:val="002915E2"/>
    <w:rsid w:val="00291C7E"/>
    <w:rsid w:val="00294450"/>
    <w:rsid w:val="00294A47"/>
    <w:rsid w:val="002951FC"/>
    <w:rsid w:val="002963E6"/>
    <w:rsid w:val="00297C83"/>
    <w:rsid w:val="002A0EFF"/>
    <w:rsid w:val="002A0FCF"/>
    <w:rsid w:val="002A1747"/>
    <w:rsid w:val="002A1772"/>
    <w:rsid w:val="002A2A46"/>
    <w:rsid w:val="002A2ABD"/>
    <w:rsid w:val="002A2B0F"/>
    <w:rsid w:val="002A3130"/>
    <w:rsid w:val="002A57E4"/>
    <w:rsid w:val="002A586D"/>
    <w:rsid w:val="002B00AE"/>
    <w:rsid w:val="002B0CC0"/>
    <w:rsid w:val="002B10F9"/>
    <w:rsid w:val="002B1680"/>
    <w:rsid w:val="002B1946"/>
    <w:rsid w:val="002B19D0"/>
    <w:rsid w:val="002B3F08"/>
    <w:rsid w:val="002B40CB"/>
    <w:rsid w:val="002B4A1F"/>
    <w:rsid w:val="002B538A"/>
    <w:rsid w:val="002B539A"/>
    <w:rsid w:val="002B5C37"/>
    <w:rsid w:val="002B62E6"/>
    <w:rsid w:val="002B641E"/>
    <w:rsid w:val="002B651E"/>
    <w:rsid w:val="002B77AF"/>
    <w:rsid w:val="002C05F2"/>
    <w:rsid w:val="002C08FB"/>
    <w:rsid w:val="002C0F07"/>
    <w:rsid w:val="002C4776"/>
    <w:rsid w:val="002C5E70"/>
    <w:rsid w:val="002C6196"/>
    <w:rsid w:val="002C7A81"/>
    <w:rsid w:val="002C7FED"/>
    <w:rsid w:val="002D0423"/>
    <w:rsid w:val="002D1282"/>
    <w:rsid w:val="002D1DC7"/>
    <w:rsid w:val="002D23F3"/>
    <w:rsid w:val="002D2D4D"/>
    <w:rsid w:val="002D2D8F"/>
    <w:rsid w:val="002D4107"/>
    <w:rsid w:val="002D5D88"/>
    <w:rsid w:val="002D60F8"/>
    <w:rsid w:val="002D618A"/>
    <w:rsid w:val="002D7F47"/>
    <w:rsid w:val="002E0592"/>
    <w:rsid w:val="002E0696"/>
    <w:rsid w:val="002E08FC"/>
    <w:rsid w:val="002E1A08"/>
    <w:rsid w:val="002E1A30"/>
    <w:rsid w:val="002E22A5"/>
    <w:rsid w:val="002E2631"/>
    <w:rsid w:val="002E302D"/>
    <w:rsid w:val="002E31B1"/>
    <w:rsid w:val="002E4614"/>
    <w:rsid w:val="002E4F45"/>
    <w:rsid w:val="002E52EB"/>
    <w:rsid w:val="002E5B84"/>
    <w:rsid w:val="002E5DA6"/>
    <w:rsid w:val="002E627D"/>
    <w:rsid w:val="002E777F"/>
    <w:rsid w:val="002F1C22"/>
    <w:rsid w:val="002F20F9"/>
    <w:rsid w:val="002F247C"/>
    <w:rsid w:val="002F2963"/>
    <w:rsid w:val="002F36CE"/>
    <w:rsid w:val="002F3B61"/>
    <w:rsid w:val="002F52B0"/>
    <w:rsid w:val="002F57C6"/>
    <w:rsid w:val="002F65D0"/>
    <w:rsid w:val="002F7A78"/>
    <w:rsid w:val="002F7CFB"/>
    <w:rsid w:val="00300966"/>
    <w:rsid w:val="00300B3E"/>
    <w:rsid w:val="00300DFA"/>
    <w:rsid w:val="00301336"/>
    <w:rsid w:val="00301368"/>
    <w:rsid w:val="00303771"/>
    <w:rsid w:val="00304437"/>
    <w:rsid w:val="00304A45"/>
    <w:rsid w:val="00305DE9"/>
    <w:rsid w:val="003065E0"/>
    <w:rsid w:val="00306CEE"/>
    <w:rsid w:val="00307D9B"/>
    <w:rsid w:val="00312235"/>
    <w:rsid w:val="00313119"/>
    <w:rsid w:val="00314501"/>
    <w:rsid w:val="003148AA"/>
    <w:rsid w:val="00314DA2"/>
    <w:rsid w:val="003157AA"/>
    <w:rsid w:val="003159AF"/>
    <w:rsid w:val="003159BC"/>
    <w:rsid w:val="00315FF1"/>
    <w:rsid w:val="003177D2"/>
    <w:rsid w:val="003214E4"/>
    <w:rsid w:val="003216DE"/>
    <w:rsid w:val="00321ACC"/>
    <w:rsid w:val="003229DC"/>
    <w:rsid w:val="00322C13"/>
    <w:rsid w:val="00322C43"/>
    <w:rsid w:val="0032355A"/>
    <w:rsid w:val="0032396B"/>
    <w:rsid w:val="00325103"/>
    <w:rsid w:val="003260E0"/>
    <w:rsid w:val="00326DAF"/>
    <w:rsid w:val="003270A7"/>
    <w:rsid w:val="00327276"/>
    <w:rsid w:val="00327AEB"/>
    <w:rsid w:val="0033189F"/>
    <w:rsid w:val="00332E60"/>
    <w:rsid w:val="0033370E"/>
    <w:rsid w:val="00334093"/>
    <w:rsid w:val="00334887"/>
    <w:rsid w:val="00335121"/>
    <w:rsid w:val="003362B6"/>
    <w:rsid w:val="0033652D"/>
    <w:rsid w:val="00337549"/>
    <w:rsid w:val="0034005A"/>
    <w:rsid w:val="003407D4"/>
    <w:rsid w:val="00341EF5"/>
    <w:rsid w:val="00342FDC"/>
    <w:rsid w:val="00344862"/>
    <w:rsid w:val="00344F80"/>
    <w:rsid w:val="00344F86"/>
    <w:rsid w:val="00345A29"/>
    <w:rsid w:val="00345CB6"/>
    <w:rsid w:val="00345F91"/>
    <w:rsid w:val="003461B4"/>
    <w:rsid w:val="00347BED"/>
    <w:rsid w:val="003500DF"/>
    <w:rsid w:val="00351A1D"/>
    <w:rsid w:val="00351F4F"/>
    <w:rsid w:val="00353F09"/>
    <w:rsid w:val="00354F60"/>
    <w:rsid w:val="00356AAB"/>
    <w:rsid w:val="0035765F"/>
    <w:rsid w:val="0036036D"/>
    <w:rsid w:val="0036114D"/>
    <w:rsid w:val="00362661"/>
    <w:rsid w:val="003630D8"/>
    <w:rsid w:val="00364871"/>
    <w:rsid w:val="0036545F"/>
    <w:rsid w:val="00366BFD"/>
    <w:rsid w:val="00367D16"/>
    <w:rsid w:val="00367E0C"/>
    <w:rsid w:val="00370AE7"/>
    <w:rsid w:val="00372E88"/>
    <w:rsid w:val="00373290"/>
    <w:rsid w:val="003803AA"/>
    <w:rsid w:val="003828EF"/>
    <w:rsid w:val="00383BCE"/>
    <w:rsid w:val="003846F8"/>
    <w:rsid w:val="003855F1"/>
    <w:rsid w:val="00386912"/>
    <w:rsid w:val="00386973"/>
    <w:rsid w:val="003874E1"/>
    <w:rsid w:val="00391692"/>
    <w:rsid w:val="00392167"/>
    <w:rsid w:val="00392A97"/>
    <w:rsid w:val="0039309D"/>
    <w:rsid w:val="0039423C"/>
    <w:rsid w:val="00395CA7"/>
    <w:rsid w:val="0039742B"/>
    <w:rsid w:val="003A0DB9"/>
    <w:rsid w:val="003A1A48"/>
    <w:rsid w:val="003A1E46"/>
    <w:rsid w:val="003A2FE7"/>
    <w:rsid w:val="003A3A26"/>
    <w:rsid w:val="003A4658"/>
    <w:rsid w:val="003A5223"/>
    <w:rsid w:val="003A791A"/>
    <w:rsid w:val="003A7CA6"/>
    <w:rsid w:val="003B09FA"/>
    <w:rsid w:val="003B0B89"/>
    <w:rsid w:val="003B0E50"/>
    <w:rsid w:val="003B126B"/>
    <w:rsid w:val="003B3434"/>
    <w:rsid w:val="003B46A2"/>
    <w:rsid w:val="003B5866"/>
    <w:rsid w:val="003B67B2"/>
    <w:rsid w:val="003B703D"/>
    <w:rsid w:val="003B76D7"/>
    <w:rsid w:val="003C02D0"/>
    <w:rsid w:val="003C08D5"/>
    <w:rsid w:val="003C2012"/>
    <w:rsid w:val="003C2231"/>
    <w:rsid w:val="003C3C7A"/>
    <w:rsid w:val="003C5B40"/>
    <w:rsid w:val="003C5ED7"/>
    <w:rsid w:val="003C6404"/>
    <w:rsid w:val="003C6574"/>
    <w:rsid w:val="003C78FD"/>
    <w:rsid w:val="003C7ECE"/>
    <w:rsid w:val="003C7ED9"/>
    <w:rsid w:val="003D0471"/>
    <w:rsid w:val="003D1157"/>
    <w:rsid w:val="003D155F"/>
    <w:rsid w:val="003D25F4"/>
    <w:rsid w:val="003D260B"/>
    <w:rsid w:val="003D50AF"/>
    <w:rsid w:val="003D5865"/>
    <w:rsid w:val="003D5CA3"/>
    <w:rsid w:val="003D5DB0"/>
    <w:rsid w:val="003D69CB"/>
    <w:rsid w:val="003D7641"/>
    <w:rsid w:val="003E01F5"/>
    <w:rsid w:val="003E08D0"/>
    <w:rsid w:val="003E119F"/>
    <w:rsid w:val="003E31E2"/>
    <w:rsid w:val="003E45EB"/>
    <w:rsid w:val="003E524D"/>
    <w:rsid w:val="003E542E"/>
    <w:rsid w:val="003F08A5"/>
    <w:rsid w:val="003F0BAF"/>
    <w:rsid w:val="003F125C"/>
    <w:rsid w:val="003F14BE"/>
    <w:rsid w:val="003F2415"/>
    <w:rsid w:val="003F411D"/>
    <w:rsid w:val="003F4512"/>
    <w:rsid w:val="003F4E4C"/>
    <w:rsid w:val="003F597E"/>
    <w:rsid w:val="003F5F5B"/>
    <w:rsid w:val="003F6599"/>
    <w:rsid w:val="003F689E"/>
    <w:rsid w:val="004015A4"/>
    <w:rsid w:val="004037D1"/>
    <w:rsid w:val="00403F6E"/>
    <w:rsid w:val="004047BF"/>
    <w:rsid w:val="004056C9"/>
    <w:rsid w:val="00407BA8"/>
    <w:rsid w:val="00407E5D"/>
    <w:rsid w:val="0041081A"/>
    <w:rsid w:val="0041086E"/>
    <w:rsid w:val="00410E64"/>
    <w:rsid w:val="00411067"/>
    <w:rsid w:val="00411A81"/>
    <w:rsid w:val="00412EA2"/>
    <w:rsid w:val="004134B9"/>
    <w:rsid w:val="00413CB3"/>
    <w:rsid w:val="00414B06"/>
    <w:rsid w:val="00414B6B"/>
    <w:rsid w:val="0041529D"/>
    <w:rsid w:val="00416D6B"/>
    <w:rsid w:val="00417A19"/>
    <w:rsid w:val="00417D23"/>
    <w:rsid w:val="0042205B"/>
    <w:rsid w:val="00422C18"/>
    <w:rsid w:val="00422EDD"/>
    <w:rsid w:val="00424318"/>
    <w:rsid w:val="004244E8"/>
    <w:rsid w:val="0042553D"/>
    <w:rsid w:val="00426C91"/>
    <w:rsid w:val="004271D7"/>
    <w:rsid w:val="00427903"/>
    <w:rsid w:val="004348AF"/>
    <w:rsid w:val="004348FA"/>
    <w:rsid w:val="00434F14"/>
    <w:rsid w:val="00435442"/>
    <w:rsid w:val="00435A53"/>
    <w:rsid w:val="004363FD"/>
    <w:rsid w:val="00436BAC"/>
    <w:rsid w:val="00436C97"/>
    <w:rsid w:val="0043748A"/>
    <w:rsid w:val="0044196B"/>
    <w:rsid w:val="00442660"/>
    <w:rsid w:val="00442CCE"/>
    <w:rsid w:val="00442D78"/>
    <w:rsid w:val="00444901"/>
    <w:rsid w:val="004449F1"/>
    <w:rsid w:val="00444B9F"/>
    <w:rsid w:val="00444BAA"/>
    <w:rsid w:val="00444C83"/>
    <w:rsid w:val="00444D7C"/>
    <w:rsid w:val="00445237"/>
    <w:rsid w:val="00445491"/>
    <w:rsid w:val="00447134"/>
    <w:rsid w:val="00447E10"/>
    <w:rsid w:val="00447E87"/>
    <w:rsid w:val="00452B3B"/>
    <w:rsid w:val="00452C5E"/>
    <w:rsid w:val="00453326"/>
    <w:rsid w:val="004537B0"/>
    <w:rsid w:val="0045391F"/>
    <w:rsid w:val="004539B9"/>
    <w:rsid w:val="0045414F"/>
    <w:rsid w:val="00454C51"/>
    <w:rsid w:val="00455389"/>
    <w:rsid w:val="00456CE4"/>
    <w:rsid w:val="00457244"/>
    <w:rsid w:val="00457923"/>
    <w:rsid w:val="004601E9"/>
    <w:rsid w:val="00462748"/>
    <w:rsid w:val="004636E7"/>
    <w:rsid w:val="00463B76"/>
    <w:rsid w:val="00463BD1"/>
    <w:rsid w:val="00463DC9"/>
    <w:rsid w:val="00464696"/>
    <w:rsid w:val="0046556E"/>
    <w:rsid w:val="00465F05"/>
    <w:rsid w:val="0047042E"/>
    <w:rsid w:val="004713D7"/>
    <w:rsid w:val="00474528"/>
    <w:rsid w:val="0047751A"/>
    <w:rsid w:val="00477720"/>
    <w:rsid w:val="00480FB2"/>
    <w:rsid w:val="0048271B"/>
    <w:rsid w:val="00482E5A"/>
    <w:rsid w:val="00484404"/>
    <w:rsid w:val="004849E2"/>
    <w:rsid w:val="00487284"/>
    <w:rsid w:val="0049084D"/>
    <w:rsid w:val="00490ED5"/>
    <w:rsid w:val="00491162"/>
    <w:rsid w:val="00494704"/>
    <w:rsid w:val="00494793"/>
    <w:rsid w:val="004948D6"/>
    <w:rsid w:val="00494D4D"/>
    <w:rsid w:val="0049574A"/>
    <w:rsid w:val="00495F87"/>
    <w:rsid w:val="00496533"/>
    <w:rsid w:val="00496703"/>
    <w:rsid w:val="004A05BD"/>
    <w:rsid w:val="004A0C33"/>
    <w:rsid w:val="004A1078"/>
    <w:rsid w:val="004A1240"/>
    <w:rsid w:val="004A1BDC"/>
    <w:rsid w:val="004A3119"/>
    <w:rsid w:val="004A3F58"/>
    <w:rsid w:val="004A4238"/>
    <w:rsid w:val="004A4D85"/>
    <w:rsid w:val="004A5CE9"/>
    <w:rsid w:val="004A6577"/>
    <w:rsid w:val="004A67AF"/>
    <w:rsid w:val="004A74EB"/>
    <w:rsid w:val="004A7A31"/>
    <w:rsid w:val="004B1842"/>
    <w:rsid w:val="004B222D"/>
    <w:rsid w:val="004B294E"/>
    <w:rsid w:val="004B430A"/>
    <w:rsid w:val="004B5BCE"/>
    <w:rsid w:val="004B61F6"/>
    <w:rsid w:val="004B6A5D"/>
    <w:rsid w:val="004B6F72"/>
    <w:rsid w:val="004C054A"/>
    <w:rsid w:val="004C074B"/>
    <w:rsid w:val="004C21AE"/>
    <w:rsid w:val="004C3A11"/>
    <w:rsid w:val="004C3EC8"/>
    <w:rsid w:val="004C4E27"/>
    <w:rsid w:val="004C5F48"/>
    <w:rsid w:val="004C615C"/>
    <w:rsid w:val="004C6627"/>
    <w:rsid w:val="004C6DE5"/>
    <w:rsid w:val="004C758D"/>
    <w:rsid w:val="004D0635"/>
    <w:rsid w:val="004D0814"/>
    <w:rsid w:val="004D0D6F"/>
    <w:rsid w:val="004D1452"/>
    <w:rsid w:val="004D2A8A"/>
    <w:rsid w:val="004D418C"/>
    <w:rsid w:val="004D5020"/>
    <w:rsid w:val="004D62DE"/>
    <w:rsid w:val="004D6CE6"/>
    <w:rsid w:val="004D7664"/>
    <w:rsid w:val="004D7C63"/>
    <w:rsid w:val="004D7E7A"/>
    <w:rsid w:val="004E0648"/>
    <w:rsid w:val="004E087B"/>
    <w:rsid w:val="004E08A1"/>
    <w:rsid w:val="004E0CAC"/>
    <w:rsid w:val="004E1F9F"/>
    <w:rsid w:val="004E291B"/>
    <w:rsid w:val="004E2E19"/>
    <w:rsid w:val="004E3F57"/>
    <w:rsid w:val="004E6887"/>
    <w:rsid w:val="004E78D7"/>
    <w:rsid w:val="004E7C5C"/>
    <w:rsid w:val="004F05F4"/>
    <w:rsid w:val="004F0937"/>
    <w:rsid w:val="004F2318"/>
    <w:rsid w:val="004F2B66"/>
    <w:rsid w:val="004F5DF4"/>
    <w:rsid w:val="004F64A8"/>
    <w:rsid w:val="004F7347"/>
    <w:rsid w:val="004F77ED"/>
    <w:rsid w:val="004F7E01"/>
    <w:rsid w:val="00500B95"/>
    <w:rsid w:val="00500C16"/>
    <w:rsid w:val="005010D5"/>
    <w:rsid w:val="00503587"/>
    <w:rsid w:val="005052C2"/>
    <w:rsid w:val="00507094"/>
    <w:rsid w:val="00507F8B"/>
    <w:rsid w:val="00512897"/>
    <w:rsid w:val="005132B1"/>
    <w:rsid w:val="005138CD"/>
    <w:rsid w:val="00514EE4"/>
    <w:rsid w:val="00515116"/>
    <w:rsid w:val="00515762"/>
    <w:rsid w:val="0051639E"/>
    <w:rsid w:val="00516EC2"/>
    <w:rsid w:val="00517634"/>
    <w:rsid w:val="00521368"/>
    <w:rsid w:val="00521780"/>
    <w:rsid w:val="005223D5"/>
    <w:rsid w:val="00523E0A"/>
    <w:rsid w:val="00525EBE"/>
    <w:rsid w:val="0052641C"/>
    <w:rsid w:val="00527DFF"/>
    <w:rsid w:val="00530947"/>
    <w:rsid w:val="00530AF0"/>
    <w:rsid w:val="00530EFF"/>
    <w:rsid w:val="00531E8F"/>
    <w:rsid w:val="00533B20"/>
    <w:rsid w:val="005346DB"/>
    <w:rsid w:val="00534B56"/>
    <w:rsid w:val="00535DB5"/>
    <w:rsid w:val="0053632F"/>
    <w:rsid w:val="0053642F"/>
    <w:rsid w:val="00536BB8"/>
    <w:rsid w:val="005419D0"/>
    <w:rsid w:val="00541AB1"/>
    <w:rsid w:val="00543447"/>
    <w:rsid w:val="005446CB"/>
    <w:rsid w:val="00544FA1"/>
    <w:rsid w:val="00545FAA"/>
    <w:rsid w:val="0054651D"/>
    <w:rsid w:val="00546CC2"/>
    <w:rsid w:val="00546E90"/>
    <w:rsid w:val="0054716D"/>
    <w:rsid w:val="00547EAD"/>
    <w:rsid w:val="00551EE2"/>
    <w:rsid w:val="0055218D"/>
    <w:rsid w:val="00552AC7"/>
    <w:rsid w:val="00552F44"/>
    <w:rsid w:val="005538E4"/>
    <w:rsid w:val="005540B9"/>
    <w:rsid w:val="005544C4"/>
    <w:rsid w:val="0056044E"/>
    <w:rsid w:val="00560EF8"/>
    <w:rsid w:val="00561481"/>
    <w:rsid w:val="00562537"/>
    <w:rsid w:val="00562CEC"/>
    <w:rsid w:val="00563845"/>
    <w:rsid w:val="00566C51"/>
    <w:rsid w:val="0056749C"/>
    <w:rsid w:val="00572907"/>
    <w:rsid w:val="00576182"/>
    <w:rsid w:val="005771E0"/>
    <w:rsid w:val="005804B4"/>
    <w:rsid w:val="005808FF"/>
    <w:rsid w:val="00580DBC"/>
    <w:rsid w:val="00581022"/>
    <w:rsid w:val="005814A9"/>
    <w:rsid w:val="00583D1D"/>
    <w:rsid w:val="00584B95"/>
    <w:rsid w:val="005866AE"/>
    <w:rsid w:val="00590215"/>
    <w:rsid w:val="005904B7"/>
    <w:rsid w:val="00590A01"/>
    <w:rsid w:val="0059224D"/>
    <w:rsid w:val="00593B75"/>
    <w:rsid w:val="00594D57"/>
    <w:rsid w:val="005953E5"/>
    <w:rsid w:val="00596604"/>
    <w:rsid w:val="00596ABA"/>
    <w:rsid w:val="00597E99"/>
    <w:rsid w:val="005A2A58"/>
    <w:rsid w:val="005A548F"/>
    <w:rsid w:val="005A5681"/>
    <w:rsid w:val="005A5EE0"/>
    <w:rsid w:val="005B2512"/>
    <w:rsid w:val="005B3724"/>
    <w:rsid w:val="005B3A6A"/>
    <w:rsid w:val="005B42CC"/>
    <w:rsid w:val="005B6A0F"/>
    <w:rsid w:val="005B7B51"/>
    <w:rsid w:val="005C0475"/>
    <w:rsid w:val="005C12A9"/>
    <w:rsid w:val="005C1846"/>
    <w:rsid w:val="005C2583"/>
    <w:rsid w:val="005C3F4C"/>
    <w:rsid w:val="005C4992"/>
    <w:rsid w:val="005C4F02"/>
    <w:rsid w:val="005C5E12"/>
    <w:rsid w:val="005C5E29"/>
    <w:rsid w:val="005C7431"/>
    <w:rsid w:val="005D0386"/>
    <w:rsid w:val="005D1524"/>
    <w:rsid w:val="005D1A41"/>
    <w:rsid w:val="005D2E89"/>
    <w:rsid w:val="005D3B5C"/>
    <w:rsid w:val="005D4132"/>
    <w:rsid w:val="005D4731"/>
    <w:rsid w:val="005D4C59"/>
    <w:rsid w:val="005D7008"/>
    <w:rsid w:val="005E01BD"/>
    <w:rsid w:val="005E0521"/>
    <w:rsid w:val="005E47B8"/>
    <w:rsid w:val="005E6F2E"/>
    <w:rsid w:val="005E77F6"/>
    <w:rsid w:val="005F221F"/>
    <w:rsid w:val="005F4332"/>
    <w:rsid w:val="005F5394"/>
    <w:rsid w:val="005F61DE"/>
    <w:rsid w:val="005F63E5"/>
    <w:rsid w:val="005F67C6"/>
    <w:rsid w:val="005F6CF1"/>
    <w:rsid w:val="00600BF1"/>
    <w:rsid w:val="00600E45"/>
    <w:rsid w:val="00602387"/>
    <w:rsid w:val="00603758"/>
    <w:rsid w:val="006038D5"/>
    <w:rsid w:val="00603D75"/>
    <w:rsid w:val="00605173"/>
    <w:rsid w:val="00607641"/>
    <w:rsid w:val="006076D4"/>
    <w:rsid w:val="006101D1"/>
    <w:rsid w:val="006109F4"/>
    <w:rsid w:val="006121C0"/>
    <w:rsid w:val="00614A6E"/>
    <w:rsid w:val="00615339"/>
    <w:rsid w:val="0061604C"/>
    <w:rsid w:val="006160A0"/>
    <w:rsid w:val="006162B1"/>
    <w:rsid w:val="006164D1"/>
    <w:rsid w:val="006173D9"/>
    <w:rsid w:val="00621136"/>
    <w:rsid w:val="006211E7"/>
    <w:rsid w:val="00621824"/>
    <w:rsid w:val="006237ED"/>
    <w:rsid w:val="00623DAF"/>
    <w:rsid w:val="00623DF3"/>
    <w:rsid w:val="00624A7D"/>
    <w:rsid w:val="00624C05"/>
    <w:rsid w:val="00626C58"/>
    <w:rsid w:val="00627392"/>
    <w:rsid w:val="0063010E"/>
    <w:rsid w:val="00630C2E"/>
    <w:rsid w:val="00631B88"/>
    <w:rsid w:val="00632350"/>
    <w:rsid w:val="00632B9C"/>
    <w:rsid w:val="00632D40"/>
    <w:rsid w:val="00633516"/>
    <w:rsid w:val="00634816"/>
    <w:rsid w:val="00634CF9"/>
    <w:rsid w:val="006352FD"/>
    <w:rsid w:val="006365A9"/>
    <w:rsid w:val="00636FB5"/>
    <w:rsid w:val="006419A6"/>
    <w:rsid w:val="006438F7"/>
    <w:rsid w:val="00643B49"/>
    <w:rsid w:val="00643F2A"/>
    <w:rsid w:val="006458FA"/>
    <w:rsid w:val="00646F7A"/>
    <w:rsid w:val="00647902"/>
    <w:rsid w:val="006508A2"/>
    <w:rsid w:val="006514B0"/>
    <w:rsid w:val="00651801"/>
    <w:rsid w:val="006532FE"/>
    <w:rsid w:val="0065362F"/>
    <w:rsid w:val="00654229"/>
    <w:rsid w:val="00654C8A"/>
    <w:rsid w:val="00657093"/>
    <w:rsid w:val="006579BE"/>
    <w:rsid w:val="0066039B"/>
    <w:rsid w:val="00660B17"/>
    <w:rsid w:val="00660EC1"/>
    <w:rsid w:val="00662A78"/>
    <w:rsid w:val="006648F9"/>
    <w:rsid w:val="0066593E"/>
    <w:rsid w:val="00665A2B"/>
    <w:rsid w:val="00666441"/>
    <w:rsid w:val="006664B1"/>
    <w:rsid w:val="006665ED"/>
    <w:rsid w:val="00666670"/>
    <w:rsid w:val="00670246"/>
    <w:rsid w:val="0067038F"/>
    <w:rsid w:val="00670817"/>
    <w:rsid w:val="00670C80"/>
    <w:rsid w:val="006712F3"/>
    <w:rsid w:val="006716D7"/>
    <w:rsid w:val="00672268"/>
    <w:rsid w:val="00672FE1"/>
    <w:rsid w:val="006735F2"/>
    <w:rsid w:val="006746CE"/>
    <w:rsid w:val="00674925"/>
    <w:rsid w:val="0067573A"/>
    <w:rsid w:val="0067787A"/>
    <w:rsid w:val="00677888"/>
    <w:rsid w:val="00677954"/>
    <w:rsid w:val="00682B05"/>
    <w:rsid w:val="0068376F"/>
    <w:rsid w:val="00685E4A"/>
    <w:rsid w:val="0069094F"/>
    <w:rsid w:val="00691450"/>
    <w:rsid w:val="00693415"/>
    <w:rsid w:val="00693B73"/>
    <w:rsid w:val="006950E5"/>
    <w:rsid w:val="006952F4"/>
    <w:rsid w:val="0069544C"/>
    <w:rsid w:val="006966D7"/>
    <w:rsid w:val="006973FF"/>
    <w:rsid w:val="006974DD"/>
    <w:rsid w:val="00697A9D"/>
    <w:rsid w:val="00697B61"/>
    <w:rsid w:val="006A165C"/>
    <w:rsid w:val="006A386F"/>
    <w:rsid w:val="006A5010"/>
    <w:rsid w:val="006A5DD3"/>
    <w:rsid w:val="006A77DF"/>
    <w:rsid w:val="006B28AB"/>
    <w:rsid w:val="006B2A06"/>
    <w:rsid w:val="006B2E9F"/>
    <w:rsid w:val="006B3816"/>
    <w:rsid w:val="006B3DA1"/>
    <w:rsid w:val="006B3DEC"/>
    <w:rsid w:val="006B462D"/>
    <w:rsid w:val="006B4C27"/>
    <w:rsid w:val="006B4F83"/>
    <w:rsid w:val="006C011D"/>
    <w:rsid w:val="006C0F85"/>
    <w:rsid w:val="006C0FD5"/>
    <w:rsid w:val="006C1049"/>
    <w:rsid w:val="006C3333"/>
    <w:rsid w:val="006C3B87"/>
    <w:rsid w:val="006C7913"/>
    <w:rsid w:val="006C791D"/>
    <w:rsid w:val="006D09FC"/>
    <w:rsid w:val="006D145C"/>
    <w:rsid w:val="006D146A"/>
    <w:rsid w:val="006D1863"/>
    <w:rsid w:val="006D2242"/>
    <w:rsid w:val="006D33AD"/>
    <w:rsid w:val="006D3F31"/>
    <w:rsid w:val="006D3F3F"/>
    <w:rsid w:val="006D6E1D"/>
    <w:rsid w:val="006D789A"/>
    <w:rsid w:val="006D7FB2"/>
    <w:rsid w:val="006E02E1"/>
    <w:rsid w:val="006E09DC"/>
    <w:rsid w:val="006E0E99"/>
    <w:rsid w:val="006E17EF"/>
    <w:rsid w:val="006E1936"/>
    <w:rsid w:val="006E1D1E"/>
    <w:rsid w:val="006E2952"/>
    <w:rsid w:val="006E3528"/>
    <w:rsid w:val="006E4B82"/>
    <w:rsid w:val="006E71D6"/>
    <w:rsid w:val="006E72A0"/>
    <w:rsid w:val="006E78BF"/>
    <w:rsid w:val="006E792A"/>
    <w:rsid w:val="006E7E80"/>
    <w:rsid w:val="006F05A4"/>
    <w:rsid w:val="006F12DE"/>
    <w:rsid w:val="006F166B"/>
    <w:rsid w:val="006F1FA5"/>
    <w:rsid w:val="006F2975"/>
    <w:rsid w:val="006F3CD0"/>
    <w:rsid w:val="006F47A0"/>
    <w:rsid w:val="006F47B9"/>
    <w:rsid w:val="006F48F1"/>
    <w:rsid w:val="006F4DFC"/>
    <w:rsid w:val="006F5345"/>
    <w:rsid w:val="006F6C78"/>
    <w:rsid w:val="006F733A"/>
    <w:rsid w:val="00700602"/>
    <w:rsid w:val="00701025"/>
    <w:rsid w:val="00701930"/>
    <w:rsid w:val="00702509"/>
    <w:rsid w:val="0070262F"/>
    <w:rsid w:val="007027F4"/>
    <w:rsid w:val="00702B1E"/>
    <w:rsid w:val="007072CA"/>
    <w:rsid w:val="00707B08"/>
    <w:rsid w:val="00710917"/>
    <w:rsid w:val="00710E83"/>
    <w:rsid w:val="00711218"/>
    <w:rsid w:val="007120E1"/>
    <w:rsid w:val="00713C16"/>
    <w:rsid w:val="00714757"/>
    <w:rsid w:val="00716E71"/>
    <w:rsid w:val="00716E79"/>
    <w:rsid w:val="00717FE3"/>
    <w:rsid w:val="00720B60"/>
    <w:rsid w:val="00721209"/>
    <w:rsid w:val="0072137E"/>
    <w:rsid w:val="00721921"/>
    <w:rsid w:val="00721B41"/>
    <w:rsid w:val="00722F46"/>
    <w:rsid w:val="00725467"/>
    <w:rsid w:val="00730092"/>
    <w:rsid w:val="00730153"/>
    <w:rsid w:val="00732D0B"/>
    <w:rsid w:val="0073338A"/>
    <w:rsid w:val="007335A6"/>
    <w:rsid w:val="00735983"/>
    <w:rsid w:val="007360F1"/>
    <w:rsid w:val="0073631B"/>
    <w:rsid w:val="00736BE3"/>
    <w:rsid w:val="007373E5"/>
    <w:rsid w:val="00737B96"/>
    <w:rsid w:val="00740E1B"/>
    <w:rsid w:val="00741B6F"/>
    <w:rsid w:val="00743124"/>
    <w:rsid w:val="00743585"/>
    <w:rsid w:val="007436A5"/>
    <w:rsid w:val="00744A4D"/>
    <w:rsid w:val="00745798"/>
    <w:rsid w:val="0074790C"/>
    <w:rsid w:val="00747D2E"/>
    <w:rsid w:val="0075023F"/>
    <w:rsid w:val="00750A3F"/>
    <w:rsid w:val="00751282"/>
    <w:rsid w:val="00752132"/>
    <w:rsid w:val="00752222"/>
    <w:rsid w:val="00752DF7"/>
    <w:rsid w:val="007541DD"/>
    <w:rsid w:val="00754FD1"/>
    <w:rsid w:val="00755AB9"/>
    <w:rsid w:val="00757596"/>
    <w:rsid w:val="00761432"/>
    <w:rsid w:val="007628A3"/>
    <w:rsid w:val="00763FFC"/>
    <w:rsid w:val="00764559"/>
    <w:rsid w:val="007645AD"/>
    <w:rsid w:val="00765D72"/>
    <w:rsid w:val="007671AC"/>
    <w:rsid w:val="007673CF"/>
    <w:rsid w:val="00770453"/>
    <w:rsid w:val="0077785C"/>
    <w:rsid w:val="007806BE"/>
    <w:rsid w:val="007808DD"/>
    <w:rsid w:val="00780EF6"/>
    <w:rsid w:val="007812AC"/>
    <w:rsid w:val="00781C6B"/>
    <w:rsid w:val="007822B4"/>
    <w:rsid w:val="0078539E"/>
    <w:rsid w:val="00785CAA"/>
    <w:rsid w:val="007862B6"/>
    <w:rsid w:val="00792B9F"/>
    <w:rsid w:val="007938DD"/>
    <w:rsid w:val="00793B43"/>
    <w:rsid w:val="0079432B"/>
    <w:rsid w:val="00794BFF"/>
    <w:rsid w:val="0079581F"/>
    <w:rsid w:val="00795E76"/>
    <w:rsid w:val="00797134"/>
    <w:rsid w:val="007973DF"/>
    <w:rsid w:val="007A074E"/>
    <w:rsid w:val="007A25DF"/>
    <w:rsid w:val="007A2F46"/>
    <w:rsid w:val="007A37AD"/>
    <w:rsid w:val="007A4E56"/>
    <w:rsid w:val="007A62D1"/>
    <w:rsid w:val="007A6BE0"/>
    <w:rsid w:val="007A6E96"/>
    <w:rsid w:val="007A770E"/>
    <w:rsid w:val="007A7CF4"/>
    <w:rsid w:val="007B03B8"/>
    <w:rsid w:val="007B2397"/>
    <w:rsid w:val="007B2463"/>
    <w:rsid w:val="007B2809"/>
    <w:rsid w:val="007B4B84"/>
    <w:rsid w:val="007B502A"/>
    <w:rsid w:val="007B61DE"/>
    <w:rsid w:val="007C0121"/>
    <w:rsid w:val="007C08A4"/>
    <w:rsid w:val="007C0D6A"/>
    <w:rsid w:val="007C2548"/>
    <w:rsid w:val="007C79AF"/>
    <w:rsid w:val="007D2F11"/>
    <w:rsid w:val="007D41A0"/>
    <w:rsid w:val="007D4C94"/>
    <w:rsid w:val="007D51E5"/>
    <w:rsid w:val="007D5249"/>
    <w:rsid w:val="007D5B4E"/>
    <w:rsid w:val="007D67E7"/>
    <w:rsid w:val="007D6B32"/>
    <w:rsid w:val="007D6D41"/>
    <w:rsid w:val="007D71F8"/>
    <w:rsid w:val="007E20C1"/>
    <w:rsid w:val="007E23EE"/>
    <w:rsid w:val="007E24DB"/>
    <w:rsid w:val="007E3E8E"/>
    <w:rsid w:val="007E44F2"/>
    <w:rsid w:val="007E5192"/>
    <w:rsid w:val="007E6175"/>
    <w:rsid w:val="007E6684"/>
    <w:rsid w:val="007E7980"/>
    <w:rsid w:val="007F0DA7"/>
    <w:rsid w:val="007F0EF4"/>
    <w:rsid w:val="007F1569"/>
    <w:rsid w:val="007F1988"/>
    <w:rsid w:val="007F1D09"/>
    <w:rsid w:val="007F21F3"/>
    <w:rsid w:val="007F3FD8"/>
    <w:rsid w:val="007F568A"/>
    <w:rsid w:val="007F733A"/>
    <w:rsid w:val="00802069"/>
    <w:rsid w:val="00802C58"/>
    <w:rsid w:val="00805970"/>
    <w:rsid w:val="00805A28"/>
    <w:rsid w:val="00807D24"/>
    <w:rsid w:val="00810148"/>
    <w:rsid w:val="00810A72"/>
    <w:rsid w:val="008123BC"/>
    <w:rsid w:val="008141EC"/>
    <w:rsid w:val="008145EA"/>
    <w:rsid w:val="00814763"/>
    <w:rsid w:val="0081537D"/>
    <w:rsid w:val="00815B8A"/>
    <w:rsid w:val="008172E1"/>
    <w:rsid w:val="00820D1A"/>
    <w:rsid w:val="00820F14"/>
    <w:rsid w:val="00822A00"/>
    <w:rsid w:val="00823082"/>
    <w:rsid w:val="008242A4"/>
    <w:rsid w:val="00824B25"/>
    <w:rsid w:val="00825444"/>
    <w:rsid w:val="00827546"/>
    <w:rsid w:val="008316CE"/>
    <w:rsid w:val="008329CE"/>
    <w:rsid w:val="00832E06"/>
    <w:rsid w:val="00832EC8"/>
    <w:rsid w:val="00834199"/>
    <w:rsid w:val="00834AE6"/>
    <w:rsid w:val="00835A8C"/>
    <w:rsid w:val="008369BA"/>
    <w:rsid w:val="00836F31"/>
    <w:rsid w:val="00837043"/>
    <w:rsid w:val="00837B61"/>
    <w:rsid w:val="00841270"/>
    <w:rsid w:val="008412B9"/>
    <w:rsid w:val="008443D8"/>
    <w:rsid w:val="00845551"/>
    <w:rsid w:val="008461F2"/>
    <w:rsid w:val="008462B0"/>
    <w:rsid w:val="00846498"/>
    <w:rsid w:val="008467E3"/>
    <w:rsid w:val="008469B7"/>
    <w:rsid w:val="00847946"/>
    <w:rsid w:val="00847F67"/>
    <w:rsid w:val="0085081D"/>
    <w:rsid w:val="00854DA4"/>
    <w:rsid w:val="00856763"/>
    <w:rsid w:val="00857566"/>
    <w:rsid w:val="00857D10"/>
    <w:rsid w:val="00860E48"/>
    <w:rsid w:val="00861888"/>
    <w:rsid w:val="00861927"/>
    <w:rsid w:val="00861B47"/>
    <w:rsid w:val="00863B64"/>
    <w:rsid w:val="0086480D"/>
    <w:rsid w:val="00866182"/>
    <w:rsid w:val="008672FD"/>
    <w:rsid w:val="008722CB"/>
    <w:rsid w:val="00872DF0"/>
    <w:rsid w:val="00873616"/>
    <w:rsid w:val="00873CB2"/>
    <w:rsid w:val="00873F7A"/>
    <w:rsid w:val="008741F3"/>
    <w:rsid w:val="00875D0F"/>
    <w:rsid w:val="0087674F"/>
    <w:rsid w:val="008769C7"/>
    <w:rsid w:val="00876B66"/>
    <w:rsid w:val="00877282"/>
    <w:rsid w:val="00880282"/>
    <w:rsid w:val="0088064A"/>
    <w:rsid w:val="00880FB1"/>
    <w:rsid w:val="00880FE2"/>
    <w:rsid w:val="008819EE"/>
    <w:rsid w:val="00881BC4"/>
    <w:rsid w:val="008832F7"/>
    <w:rsid w:val="008837B1"/>
    <w:rsid w:val="008837CA"/>
    <w:rsid w:val="00883E30"/>
    <w:rsid w:val="00884C33"/>
    <w:rsid w:val="00885250"/>
    <w:rsid w:val="008855EC"/>
    <w:rsid w:val="0088776F"/>
    <w:rsid w:val="008909AF"/>
    <w:rsid w:val="00890BFC"/>
    <w:rsid w:val="00890FFB"/>
    <w:rsid w:val="008911C0"/>
    <w:rsid w:val="008925FD"/>
    <w:rsid w:val="00893F1E"/>
    <w:rsid w:val="008951A8"/>
    <w:rsid w:val="008953BA"/>
    <w:rsid w:val="008967BC"/>
    <w:rsid w:val="00896B35"/>
    <w:rsid w:val="008A0168"/>
    <w:rsid w:val="008A0E75"/>
    <w:rsid w:val="008A1397"/>
    <w:rsid w:val="008A41BA"/>
    <w:rsid w:val="008A4817"/>
    <w:rsid w:val="008A483C"/>
    <w:rsid w:val="008A4C9A"/>
    <w:rsid w:val="008A519E"/>
    <w:rsid w:val="008A7203"/>
    <w:rsid w:val="008B03A9"/>
    <w:rsid w:val="008B08CD"/>
    <w:rsid w:val="008B0C7A"/>
    <w:rsid w:val="008B19F8"/>
    <w:rsid w:val="008B1B18"/>
    <w:rsid w:val="008B2DB1"/>
    <w:rsid w:val="008B39E9"/>
    <w:rsid w:val="008B5102"/>
    <w:rsid w:val="008B7DBD"/>
    <w:rsid w:val="008C0C28"/>
    <w:rsid w:val="008C1BAD"/>
    <w:rsid w:val="008C1CF9"/>
    <w:rsid w:val="008C3143"/>
    <w:rsid w:val="008C3F26"/>
    <w:rsid w:val="008C5BAF"/>
    <w:rsid w:val="008C5FA3"/>
    <w:rsid w:val="008C6D30"/>
    <w:rsid w:val="008D1644"/>
    <w:rsid w:val="008D189B"/>
    <w:rsid w:val="008D2BDE"/>
    <w:rsid w:val="008D489A"/>
    <w:rsid w:val="008D50C4"/>
    <w:rsid w:val="008D5E29"/>
    <w:rsid w:val="008D6008"/>
    <w:rsid w:val="008D7360"/>
    <w:rsid w:val="008D75D3"/>
    <w:rsid w:val="008D7B41"/>
    <w:rsid w:val="008E06E8"/>
    <w:rsid w:val="008E141F"/>
    <w:rsid w:val="008E1C7C"/>
    <w:rsid w:val="008E2DA5"/>
    <w:rsid w:val="008E4FDB"/>
    <w:rsid w:val="008E56BF"/>
    <w:rsid w:val="008E5E51"/>
    <w:rsid w:val="008E62F5"/>
    <w:rsid w:val="008E643D"/>
    <w:rsid w:val="008E650E"/>
    <w:rsid w:val="008E6595"/>
    <w:rsid w:val="008E6CAE"/>
    <w:rsid w:val="008E7D4E"/>
    <w:rsid w:val="008E7D9C"/>
    <w:rsid w:val="008F0D71"/>
    <w:rsid w:val="008F1608"/>
    <w:rsid w:val="008F1BB6"/>
    <w:rsid w:val="008F3033"/>
    <w:rsid w:val="008F41CE"/>
    <w:rsid w:val="008F58E7"/>
    <w:rsid w:val="008F5BA7"/>
    <w:rsid w:val="008F5CC0"/>
    <w:rsid w:val="008F603F"/>
    <w:rsid w:val="008F60B7"/>
    <w:rsid w:val="008F6B74"/>
    <w:rsid w:val="009015C1"/>
    <w:rsid w:val="00901A83"/>
    <w:rsid w:val="00901BE0"/>
    <w:rsid w:val="00901D0B"/>
    <w:rsid w:val="00901FBE"/>
    <w:rsid w:val="00903F41"/>
    <w:rsid w:val="00904122"/>
    <w:rsid w:val="00904ACB"/>
    <w:rsid w:val="00907208"/>
    <w:rsid w:val="009075E7"/>
    <w:rsid w:val="00907E28"/>
    <w:rsid w:val="00911C3E"/>
    <w:rsid w:val="009138D7"/>
    <w:rsid w:val="00913B62"/>
    <w:rsid w:val="00913B84"/>
    <w:rsid w:val="00913BB1"/>
    <w:rsid w:val="00913EF9"/>
    <w:rsid w:val="009146C9"/>
    <w:rsid w:val="00914807"/>
    <w:rsid w:val="00915329"/>
    <w:rsid w:val="00916C2F"/>
    <w:rsid w:val="009176F9"/>
    <w:rsid w:val="009202E7"/>
    <w:rsid w:val="009203B1"/>
    <w:rsid w:val="009205B4"/>
    <w:rsid w:val="00920A95"/>
    <w:rsid w:val="009219B3"/>
    <w:rsid w:val="00922A0D"/>
    <w:rsid w:val="00922DF7"/>
    <w:rsid w:val="0092340D"/>
    <w:rsid w:val="0092349E"/>
    <w:rsid w:val="0092679A"/>
    <w:rsid w:val="00930522"/>
    <w:rsid w:val="00930853"/>
    <w:rsid w:val="00933FF5"/>
    <w:rsid w:val="00934D87"/>
    <w:rsid w:val="0093527B"/>
    <w:rsid w:val="00935C69"/>
    <w:rsid w:val="00937654"/>
    <w:rsid w:val="00937CA8"/>
    <w:rsid w:val="00937E74"/>
    <w:rsid w:val="00937E77"/>
    <w:rsid w:val="00940510"/>
    <w:rsid w:val="00940B64"/>
    <w:rsid w:val="00944256"/>
    <w:rsid w:val="00944A7B"/>
    <w:rsid w:val="009456CC"/>
    <w:rsid w:val="00951840"/>
    <w:rsid w:val="00951CD4"/>
    <w:rsid w:val="0095273A"/>
    <w:rsid w:val="00952788"/>
    <w:rsid w:val="009530F9"/>
    <w:rsid w:val="009537A7"/>
    <w:rsid w:val="00953A0E"/>
    <w:rsid w:val="00953EEC"/>
    <w:rsid w:val="009617C6"/>
    <w:rsid w:val="00961D4B"/>
    <w:rsid w:val="009635EF"/>
    <w:rsid w:val="00964F56"/>
    <w:rsid w:val="00965FF0"/>
    <w:rsid w:val="00966514"/>
    <w:rsid w:val="00967769"/>
    <w:rsid w:val="00970062"/>
    <w:rsid w:val="009700BA"/>
    <w:rsid w:val="009701A5"/>
    <w:rsid w:val="00970EF8"/>
    <w:rsid w:val="009714F4"/>
    <w:rsid w:val="00971E8B"/>
    <w:rsid w:val="0097217F"/>
    <w:rsid w:val="009723A7"/>
    <w:rsid w:val="00972B09"/>
    <w:rsid w:val="0097301D"/>
    <w:rsid w:val="009754C3"/>
    <w:rsid w:val="009760DE"/>
    <w:rsid w:val="0098024E"/>
    <w:rsid w:val="0098039C"/>
    <w:rsid w:val="00982F48"/>
    <w:rsid w:val="0098328A"/>
    <w:rsid w:val="009836E2"/>
    <w:rsid w:val="009836ED"/>
    <w:rsid w:val="009838C5"/>
    <w:rsid w:val="009855BF"/>
    <w:rsid w:val="00985B06"/>
    <w:rsid w:val="00986A6D"/>
    <w:rsid w:val="00987E59"/>
    <w:rsid w:val="00987F0B"/>
    <w:rsid w:val="009923C3"/>
    <w:rsid w:val="00992F75"/>
    <w:rsid w:val="00994ABB"/>
    <w:rsid w:val="0099513F"/>
    <w:rsid w:val="009952AD"/>
    <w:rsid w:val="00995AB9"/>
    <w:rsid w:val="00995CAB"/>
    <w:rsid w:val="009972A7"/>
    <w:rsid w:val="0099739E"/>
    <w:rsid w:val="009A0608"/>
    <w:rsid w:val="009A07A1"/>
    <w:rsid w:val="009A0B3A"/>
    <w:rsid w:val="009A128C"/>
    <w:rsid w:val="009A14F6"/>
    <w:rsid w:val="009A17E6"/>
    <w:rsid w:val="009A3DFB"/>
    <w:rsid w:val="009A49F6"/>
    <w:rsid w:val="009A722C"/>
    <w:rsid w:val="009B00C6"/>
    <w:rsid w:val="009B0A19"/>
    <w:rsid w:val="009B2431"/>
    <w:rsid w:val="009B243C"/>
    <w:rsid w:val="009B2ED6"/>
    <w:rsid w:val="009B3482"/>
    <w:rsid w:val="009B34B8"/>
    <w:rsid w:val="009B37B7"/>
    <w:rsid w:val="009B597F"/>
    <w:rsid w:val="009B59B0"/>
    <w:rsid w:val="009B5F60"/>
    <w:rsid w:val="009B66B4"/>
    <w:rsid w:val="009B6882"/>
    <w:rsid w:val="009C46BD"/>
    <w:rsid w:val="009C5FE0"/>
    <w:rsid w:val="009C6C8D"/>
    <w:rsid w:val="009C6EE9"/>
    <w:rsid w:val="009C76E0"/>
    <w:rsid w:val="009C7CFA"/>
    <w:rsid w:val="009D1F12"/>
    <w:rsid w:val="009D2776"/>
    <w:rsid w:val="009D2822"/>
    <w:rsid w:val="009D2F9F"/>
    <w:rsid w:val="009D3F4D"/>
    <w:rsid w:val="009D69B8"/>
    <w:rsid w:val="009D6CCC"/>
    <w:rsid w:val="009D771B"/>
    <w:rsid w:val="009E0DBC"/>
    <w:rsid w:val="009E1286"/>
    <w:rsid w:val="009E583E"/>
    <w:rsid w:val="009E6065"/>
    <w:rsid w:val="009E6960"/>
    <w:rsid w:val="009E7806"/>
    <w:rsid w:val="009F0157"/>
    <w:rsid w:val="009F0750"/>
    <w:rsid w:val="009F3A8C"/>
    <w:rsid w:val="009F43B9"/>
    <w:rsid w:val="009F483A"/>
    <w:rsid w:val="009F5266"/>
    <w:rsid w:val="009F5E62"/>
    <w:rsid w:val="009F7B59"/>
    <w:rsid w:val="009F7BD2"/>
    <w:rsid w:val="00A01FBF"/>
    <w:rsid w:val="00A0296A"/>
    <w:rsid w:val="00A04817"/>
    <w:rsid w:val="00A05123"/>
    <w:rsid w:val="00A05580"/>
    <w:rsid w:val="00A056C9"/>
    <w:rsid w:val="00A069EA"/>
    <w:rsid w:val="00A0728A"/>
    <w:rsid w:val="00A076E9"/>
    <w:rsid w:val="00A1116B"/>
    <w:rsid w:val="00A11AAD"/>
    <w:rsid w:val="00A11F1A"/>
    <w:rsid w:val="00A12BF4"/>
    <w:rsid w:val="00A13906"/>
    <w:rsid w:val="00A13EDB"/>
    <w:rsid w:val="00A13EF7"/>
    <w:rsid w:val="00A14273"/>
    <w:rsid w:val="00A16A3F"/>
    <w:rsid w:val="00A17D7F"/>
    <w:rsid w:val="00A24165"/>
    <w:rsid w:val="00A24E7D"/>
    <w:rsid w:val="00A25E4B"/>
    <w:rsid w:val="00A26224"/>
    <w:rsid w:val="00A266D0"/>
    <w:rsid w:val="00A26B80"/>
    <w:rsid w:val="00A272E9"/>
    <w:rsid w:val="00A301B9"/>
    <w:rsid w:val="00A3021F"/>
    <w:rsid w:val="00A302E7"/>
    <w:rsid w:val="00A311A4"/>
    <w:rsid w:val="00A32829"/>
    <w:rsid w:val="00A331B1"/>
    <w:rsid w:val="00A345F8"/>
    <w:rsid w:val="00A35981"/>
    <w:rsid w:val="00A35BD6"/>
    <w:rsid w:val="00A35F5D"/>
    <w:rsid w:val="00A3663A"/>
    <w:rsid w:val="00A3686F"/>
    <w:rsid w:val="00A37A6B"/>
    <w:rsid w:val="00A37B52"/>
    <w:rsid w:val="00A41FC3"/>
    <w:rsid w:val="00A444C4"/>
    <w:rsid w:val="00A448EA"/>
    <w:rsid w:val="00A449BF"/>
    <w:rsid w:val="00A44C29"/>
    <w:rsid w:val="00A45BB7"/>
    <w:rsid w:val="00A46B74"/>
    <w:rsid w:val="00A477B5"/>
    <w:rsid w:val="00A5177C"/>
    <w:rsid w:val="00A5670F"/>
    <w:rsid w:val="00A56FD0"/>
    <w:rsid w:val="00A57414"/>
    <w:rsid w:val="00A61A0C"/>
    <w:rsid w:val="00A62B1A"/>
    <w:rsid w:val="00A635B7"/>
    <w:rsid w:val="00A64E34"/>
    <w:rsid w:val="00A6565C"/>
    <w:rsid w:val="00A674EE"/>
    <w:rsid w:val="00A702C6"/>
    <w:rsid w:val="00A70B52"/>
    <w:rsid w:val="00A70F38"/>
    <w:rsid w:val="00A71597"/>
    <w:rsid w:val="00A717FB"/>
    <w:rsid w:val="00A72CC1"/>
    <w:rsid w:val="00A72CC3"/>
    <w:rsid w:val="00A74408"/>
    <w:rsid w:val="00A74CD7"/>
    <w:rsid w:val="00A75010"/>
    <w:rsid w:val="00A7504B"/>
    <w:rsid w:val="00A75511"/>
    <w:rsid w:val="00A756F2"/>
    <w:rsid w:val="00A7642E"/>
    <w:rsid w:val="00A7776E"/>
    <w:rsid w:val="00A81552"/>
    <w:rsid w:val="00A8201A"/>
    <w:rsid w:val="00A82DA9"/>
    <w:rsid w:val="00A85622"/>
    <w:rsid w:val="00A85F74"/>
    <w:rsid w:val="00A87540"/>
    <w:rsid w:val="00A87FA9"/>
    <w:rsid w:val="00A9083F"/>
    <w:rsid w:val="00A90C99"/>
    <w:rsid w:val="00A90CBE"/>
    <w:rsid w:val="00A90DFE"/>
    <w:rsid w:val="00A91611"/>
    <w:rsid w:val="00A930AC"/>
    <w:rsid w:val="00A9532B"/>
    <w:rsid w:val="00A95912"/>
    <w:rsid w:val="00A95E23"/>
    <w:rsid w:val="00A9632F"/>
    <w:rsid w:val="00A9722D"/>
    <w:rsid w:val="00A975DE"/>
    <w:rsid w:val="00A9788F"/>
    <w:rsid w:val="00A97FE1"/>
    <w:rsid w:val="00AA0601"/>
    <w:rsid w:val="00AA1796"/>
    <w:rsid w:val="00AA2D86"/>
    <w:rsid w:val="00AA536C"/>
    <w:rsid w:val="00AA5A4A"/>
    <w:rsid w:val="00AA68F7"/>
    <w:rsid w:val="00AB161A"/>
    <w:rsid w:val="00AB1A53"/>
    <w:rsid w:val="00AB2654"/>
    <w:rsid w:val="00AB3EBA"/>
    <w:rsid w:val="00AB4AB7"/>
    <w:rsid w:val="00AB55CF"/>
    <w:rsid w:val="00AB5D42"/>
    <w:rsid w:val="00AB66F7"/>
    <w:rsid w:val="00AB7057"/>
    <w:rsid w:val="00AB771F"/>
    <w:rsid w:val="00AB7B9C"/>
    <w:rsid w:val="00AB7F27"/>
    <w:rsid w:val="00AC01D3"/>
    <w:rsid w:val="00AC1B08"/>
    <w:rsid w:val="00AC3996"/>
    <w:rsid w:val="00AC4111"/>
    <w:rsid w:val="00AC46E3"/>
    <w:rsid w:val="00AC5118"/>
    <w:rsid w:val="00AC631B"/>
    <w:rsid w:val="00AC6A16"/>
    <w:rsid w:val="00AC71B1"/>
    <w:rsid w:val="00AD0439"/>
    <w:rsid w:val="00AD0F7D"/>
    <w:rsid w:val="00AD18EE"/>
    <w:rsid w:val="00AD1B31"/>
    <w:rsid w:val="00AD28A4"/>
    <w:rsid w:val="00AD3093"/>
    <w:rsid w:val="00AD3469"/>
    <w:rsid w:val="00AD3476"/>
    <w:rsid w:val="00AD373B"/>
    <w:rsid w:val="00AD4833"/>
    <w:rsid w:val="00AD530B"/>
    <w:rsid w:val="00AD55F0"/>
    <w:rsid w:val="00AD5C63"/>
    <w:rsid w:val="00AD6B58"/>
    <w:rsid w:val="00AD6C6E"/>
    <w:rsid w:val="00AD74CA"/>
    <w:rsid w:val="00AE01AB"/>
    <w:rsid w:val="00AE1A4E"/>
    <w:rsid w:val="00AE22D1"/>
    <w:rsid w:val="00AE3492"/>
    <w:rsid w:val="00AE4526"/>
    <w:rsid w:val="00AE4946"/>
    <w:rsid w:val="00AE4BD5"/>
    <w:rsid w:val="00AE4DC9"/>
    <w:rsid w:val="00AE4F07"/>
    <w:rsid w:val="00AE61DB"/>
    <w:rsid w:val="00AE6835"/>
    <w:rsid w:val="00AE6D81"/>
    <w:rsid w:val="00AE7746"/>
    <w:rsid w:val="00AE7A16"/>
    <w:rsid w:val="00AF0C04"/>
    <w:rsid w:val="00AF141F"/>
    <w:rsid w:val="00AF2843"/>
    <w:rsid w:val="00AF29AF"/>
    <w:rsid w:val="00AF330A"/>
    <w:rsid w:val="00AF346A"/>
    <w:rsid w:val="00AF35B5"/>
    <w:rsid w:val="00AF3CAA"/>
    <w:rsid w:val="00AF4763"/>
    <w:rsid w:val="00AF4EBA"/>
    <w:rsid w:val="00AF57A9"/>
    <w:rsid w:val="00AF685D"/>
    <w:rsid w:val="00B00F4F"/>
    <w:rsid w:val="00B01611"/>
    <w:rsid w:val="00B01D38"/>
    <w:rsid w:val="00B0261E"/>
    <w:rsid w:val="00B035AA"/>
    <w:rsid w:val="00B04349"/>
    <w:rsid w:val="00B04E11"/>
    <w:rsid w:val="00B05195"/>
    <w:rsid w:val="00B058D1"/>
    <w:rsid w:val="00B05F5C"/>
    <w:rsid w:val="00B05F9D"/>
    <w:rsid w:val="00B0765D"/>
    <w:rsid w:val="00B1005F"/>
    <w:rsid w:val="00B117BE"/>
    <w:rsid w:val="00B12265"/>
    <w:rsid w:val="00B1314F"/>
    <w:rsid w:val="00B16064"/>
    <w:rsid w:val="00B16946"/>
    <w:rsid w:val="00B170B8"/>
    <w:rsid w:val="00B2013A"/>
    <w:rsid w:val="00B21006"/>
    <w:rsid w:val="00B22055"/>
    <w:rsid w:val="00B2262F"/>
    <w:rsid w:val="00B227CF"/>
    <w:rsid w:val="00B228AC"/>
    <w:rsid w:val="00B2366C"/>
    <w:rsid w:val="00B25381"/>
    <w:rsid w:val="00B27C2D"/>
    <w:rsid w:val="00B27F85"/>
    <w:rsid w:val="00B30D37"/>
    <w:rsid w:val="00B31A17"/>
    <w:rsid w:val="00B31CA9"/>
    <w:rsid w:val="00B31CAD"/>
    <w:rsid w:val="00B320F4"/>
    <w:rsid w:val="00B3314E"/>
    <w:rsid w:val="00B334CC"/>
    <w:rsid w:val="00B337D5"/>
    <w:rsid w:val="00B36CF5"/>
    <w:rsid w:val="00B36D85"/>
    <w:rsid w:val="00B407C0"/>
    <w:rsid w:val="00B4192D"/>
    <w:rsid w:val="00B42C53"/>
    <w:rsid w:val="00B44042"/>
    <w:rsid w:val="00B44DDE"/>
    <w:rsid w:val="00B46953"/>
    <w:rsid w:val="00B47B9E"/>
    <w:rsid w:val="00B500A4"/>
    <w:rsid w:val="00B50193"/>
    <w:rsid w:val="00B504EA"/>
    <w:rsid w:val="00B50EAE"/>
    <w:rsid w:val="00B5164C"/>
    <w:rsid w:val="00B51B9F"/>
    <w:rsid w:val="00B51D3D"/>
    <w:rsid w:val="00B52064"/>
    <w:rsid w:val="00B5223A"/>
    <w:rsid w:val="00B5243D"/>
    <w:rsid w:val="00B531EE"/>
    <w:rsid w:val="00B53710"/>
    <w:rsid w:val="00B53A7C"/>
    <w:rsid w:val="00B55212"/>
    <w:rsid w:val="00B553F1"/>
    <w:rsid w:val="00B56CF7"/>
    <w:rsid w:val="00B56E9C"/>
    <w:rsid w:val="00B57066"/>
    <w:rsid w:val="00B57A7E"/>
    <w:rsid w:val="00B57BB0"/>
    <w:rsid w:val="00B606C6"/>
    <w:rsid w:val="00B61A09"/>
    <w:rsid w:val="00B61E70"/>
    <w:rsid w:val="00B61FDE"/>
    <w:rsid w:val="00B6278F"/>
    <w:rsid w:val="00B62C69"/>
    <w:rsid w:val="00B63CE4"/>
    <w:rsid w:val="00B65E15"/>
    <w:rsid w:val="00B668EE"/>
    <w:rsid w:val="00B67B5E"/>
    <w:rsid w:val="00B70398"/>
    <w:rsid w:val="00B7150A"/>
    <w:rsid w:val="00B71550"/>
    <w:rsid w:val="00B73489"/>
    <w:rsid w:val="00B741F4"/>
    <w:rsid w:val="00B74937"/>
    <w:rsid w:val="00B749B8"/>
    <w:rsid w:val="00B75BB5"/>
    <w:rsid w:val="00B764F3"/>
    <w:rsid w:val="00B8010A"/>
    <w:rsid w:val="00B8267B"/>
    <w:rsid w:val="00B827DA"/>
    <w:rsid w:val="00B82D89"/>
    <w:rsid w:val="00B832CE"/>
    <w:rsid w:val="00B837CA"/>
    <w:rsid w:val="00B8498B"/>
    <w:rsid w:val="00B84A9E"/>
    <w:rsid w:val="00B86137"/>
    <w:rsid w:val="00B86C2D"/>
    <w:rsid w:val="00B90789"/>
    <w:rsid w:val="00B90AB4"/>
    <w:rsid w:val="00B90C4E"/>
    <w:rsid w:val="00B95068"/>
    <w:rsid w:val="00B9538B"/>
    <w:rsid w:val="00B95D8E"/>
    <w:rsid w:val="00B96152"/>
    <w:rsid w:val="00BA2593"/>
    <w:rsid w:val="00BA2D97"/>
    <w:rsid w:val="00BA3290"/>
    <w:rsid w:val="00BA342F"/>
    <w:rsid w:val="00BA38FF"/>
    <w:rsid w:val="00BA3E56"/>
    <w:rsid w:val="00BA418D"/>
    <w:rsid w:val="00BA457A"/>
    <w:rsid w:val="00BA48C2"/>
    <w:rsid w:val="00BA4F67"/>
    <w:rsid w:val="00BA65A1"/>
    <w:rsid w:val="00BA6ECC"/>
    <w:rsid w:val="00BA7C3E"/>
    <w:rsid w:val="00BA7DCB"/>
    <w:rsid w:val="00BB1606"/>
    <w:rsid w:val="00BB16C9"/>
    <w:rsid w:val="00BB1763"/>
    <w:rsid w:val="00BB18D6"/>
    <w:rsid w:val="00BB3C24"/>
    <w:rsid w:val="00BB4827"/>
    <w:rsid w:val="00BB5187"/>
    <w:rsid w:val="00BB5C81"/>
    <w:rsid w:val="00BB66B4"/>
    <w:rsid w:val="00BB7C26"/>
    <w:rsid w:val="00BC0D88"/>
    <w:rsid w:val="00BC1102"/>
    <w:rsid w:val="00BC26E5"/>
    <w:rsid w:val="00BC28E9"/>
    <w:rsid w:val="00BC2F4E"/>
    <w:rsid w:val="00BC310C"/>
    <w:rsid w:val="00BC46E1"/>
    <w:rsid w:val="00BC4F81"/>
    <w:rsid w:val="00BC627F"/>
    <w:rsid w:val="00BD0579"/>
    <w:rsid w:val="00BD0D1E"/>
    <w:rsid w:val="00BD17E5"/>
    <w:rsid w:val="00BD3621"/>
    <w:rsid w:val="00BD40E0"/>
    <w:rsid w:val="00BD50D3"/>
    <w:rsid w:val="00BD78D2"/>
    <w:rsid w:val="00BD7D01"/>
    <w:rsid w:val="00BE1294"/>
    <w:rsid w:val="00BE1724"/>
    <w:rsid w:val="00BE2E4B"/>
    <w:rsid w:val="00BE34A2"/>
    <w:rsid w:val="00BE442B"/>
    <w:rsid w:val="00BE4A57"/>
    <w:rsid w:val="00BE6781"/>
    <w:rsid w:val="00BE6B07"/>
    <w:rsid w:val="00BE74E4"/>
    <w:rsid w:val="00BE78D6"/>
    <w:rsid w:val="00BF08B7"/>
    <w:rsid w:val="00BF11CF"/>
    <w:rsid w:val="00BF1211"/>
    <w:rsid w:val="00BF1A72"/>
    <w:rsid w:val="00BF1BF2"/>
    <w:rsid w:val="00BF2304"/>
    <w:rsid w:val="00BF2602"/>
    <w:rsid w:val="00BF2811"/>
    <w:rsid w:val="00BF378D"/>
    <w:rsid w:val="00BF3AAB"/>
    <w:rsid w:val="00BF4314"/>
    <w:rsid w:val="00BF5033"/>
    <w:rsid w:val="00BF51C3"/>
    <w:rsid w:val="00BF557C"/>
    <w:rsid w:val="00BF575D"/>
    <w:rsid w:val="00BF5F61"/>
    <w:rsid w:val="00BF66AD"/>
    <w:rsid w:val="00C00CCA"/>
    <w:rsid w:val="00C00FB2"/>
    <w:rsid w:val="00C012A0"/>
    <w:rsid w:val="00C01BA0"/>
    <w:rsid w:val="00C020A1"/>
    <w:rsid w:val="00C025AB"/>
    <w:rsid w:val="00C04A2F"/>
    <w:rsid w:val="00C04F92"/>
    <w:rsid w:val="00C052E3"/>
    <w:rsid w:val="00C05BBB"/>
    <w:rsid w:val="00C062A1"/>
    <w:rsid w:val="00C065DC"/>
    <w:rsid w:val="00C06778"/>
    <w:rsid w:val="00C07499"/>
    <w:rsid w:val="00C10558"/>
    <w:rsid w:val="00C10B4C"/>
    <w:rsid w:val="00C111ED"/>
    <w:rsid w:val="00C1142D"/>
    <w:rsid w:val="00C14291"/>
    <w:rsid w:val="00C1481C"/>
    <w:rsid w:val="00C15E2F"/>
    <w:rsid w:val="00C16016"/>
    <w:rsid w:val="00C16EE8"/>
    <w:rsid w:val="00C17281"/>
    <w:rsid w:val="00C17AA5"/>
    <w:rsid w:val="00C21ECE"/>
    <w:rsid w:val="00C226E3"/>
    <w:rsid w:val="00C2447B"/>
    <w:rsid w:val="00C24683"/>
    <w:rsid w:val="00C26162"/>
    <w:rsid w:val="00C27D2D"/>
    <w:rsid w:val="00C30140"/>
    <w:rsid w:val="00C30B7D"/>
    <w:rsid w:val="00C30BC2"/>
    <w:rsid w:val="00C30D5F"/>
    <w:rsid w:val="00C3178C"/>
    <w:rsid w:val="00C31C7F"/>
    <w:rsid w:val="00C31CF8"/>
    <w:rsid w:val="00C31FE3"/>
    <w:rsid w:val="00C33E77"/>
    <w:rsid w:val="00C34065"/>
    <w:rsid w:val="00C3412D"/>
    <w:rsid w:val="00C35102"/>
    <w:rsid w:val="00C354E4"/>
    <w:rsid w:val="00C35C68"/>
    <w:rsid w:val="00C35CBF"/>
    <w:rsid w:val="00C36DE3"/>
    <w:rsid w:val="00C37C09"/>
    <w:rsid w:val="00C37D6F"/>
    <w:rsid w:val="00C40EF5"/>
    <w:rsid w:val="00C4166A"/>
    <w:rsid w:val="00C418A4"/>
    <w:rsid w:val="00C4349B"/>
    <w:rsid w:val="00C43A57"/>
    <w:rsid w:val="00C43C92"/>
    <w:rsid w:val="00C44015"/>
    <w:rsid w:val="00C44425"/>
    <w:rsid w:val="00C45789"/>
    <w:rsid w:val="00C4626E"/>
    <w:rsid w:val="00C51837"/>
    <w:rsid w:val="00C524D7"/>
    <w:rsid w:val="00C53538"/>
    <w:rsid w:val="00C5394B"/>
    <w:rsid w:val="00C53956"/>
    <w:rsid w:val="00C53FAC"/>
    <w:rsid w:val="00C54189"/>
    <w:rsid w:val="00C54EA2"/>
    <w:rsid w:val="00C55050"/>
    <w:rsid w:val="00C55354"/>
    <w:rsid w:val="00C55BE8"/>
    <w:rsid w:val="00C55CDD"/>
    <w:rsid w:val="00C5664F"/>
    <w:rsid w:val="00C56A9F"/>
    <w:rsid w:val="00C56DB3"/>
    <w:rsid w:val="00C61B61"/>
    <w:rsid w:val="00C6344D"/>
    <w:rsid w:val="00C6765E"/>
    <w:rsid w:val="00C676ED"/>
    <w:rsid w:val="00C71C34"/>
    <w:rsid w:val="00C72327"/>
    <w:rsid w:val="00C729A9"/>
    <w:rsid w:val="00C743D2"/>
    <w:rsid w:val="00C7471B"/>
    <w:rsid w:val="00C747DB"/>
    <w:rsid w:val="00C750FB"/>
    <w:rsid w:val="00C75D75"/>
    <w:rsid w:val="00C76E09"/>
    <w:rsid w:val="00C81591"/>
    <w:rsid w:val="00C82F1D"/>
    <w:rsid w:val="00C84B25"/>
    <w:rsid w:val="00C8513E"/>
    <w:rsid w:val="00C85754"/>
    <w:rsid w:val="00C86F21"/>
    <w:rsid w:val="00C8776B"/>
    <w:rsid w:val="00C87CEB"/>
    <w:rsid w:val="00C915FD"/>
    <w:rsid w:val="00C91EB6"/>
    <w:rsid w:val="00C91F38"/>
    <w:rsid w:val="00C923BA"/>
    <w:rsid w:val="00C92B28"/>
    <w:rsid w:val="00C93AF6"/>
    <w:rsid w:val="00C95742"/>
    <w:rsid w:val="00C96195"/>
    <w:rsid w:val="00CA0D13"/>
    <w:rsid w:val="00CA1D8F"/>
    <w:rsid w:val="00CA264D"/>
    <w:rsid w:val="00CA2D7D"/>
    <w:rsid w:val="00CA5033"/>
    <w:rsid w:val="00CA516A"/>
    <w:rsid w:val="00CA5458"/>
    <w:rsid w:val="00CA55D6"/>
    <w:rsid w:val="00CA5E1C"/>
    <w:rsid w:val="00CA5F6D"/>
    <w:rsid w:val="00CB0A85"/>
    <w:rsid w:val="00CB28BD"/>
    <w:rsid w:val="00CB620B"/>
    <w:rsid w:val="00CB64E6"/>
    <w:rsid w:val="00CC22EB"/>
    <w:rsid w:val="00CC296B"/>
    <w:rsid w:val="00CC2C72"/>
    <w:rsid w:val="00CC2F78"/>
    <w:rsid w:val="00CC74FC"/>
    <w:rsid w:val="00CC7B3C"/>
    <w:rsid w:val="00CD06B0"/>
    <w:rsid w:val="00CD108A"/>
    <w:rsid w:val="00CD1122"/>
    <w:rsid w:val="00CD2CC9"/>
    <w:rsid w:val="00CD3705"/>
    <w:rsid w:val="00CD3715"/>
    <w:rsid w:val="00CD376B"/>
    <w:rsid w:val="00CD562C"/>
    <w:rsid w:val="00CD5B9C"/>
    <w:rsid w:val="00CD6D5F"/>
    <w:rsid w:val="00CE067E"/>
    <w:rsid w:val="00CE0E90"/>
    <w:rsid w:val="00CE10C9"/>
    <w:rsid w:val="00CE1134"/>
    <w:rsid w:val="00CE177A"/>
    <w:rsid w:val="00CE1D46"/>
    <w:rsid w:val="00CE42A8"/>
    <w:rsid w:val="00CE74EC"/>
    <w:rsid w:val="00CF0E8D"/>
    <w:rsid w:val="00CF1DFA"/>
    <w:rsid w:val="00CF1E5A"/>
    <w:rsid w:val="00CF225A"/>
    <w:rsid w:val="00CF380F"/>
    <w:rsid w:val="00CF3AF9"/>
    <w:rsid w:val="00CF5FDD"/>
    <w:rsid w:val="00CF6635"/>
    <w:rsid w:val="00CF760C"/>
    <w:rsid w:val="00D00021"/>
    <w:rsid w:val="00D00CC9"/>
    <w:rsid w:val="00D00FBB"/>
    <w:rsid w:val="00D011FE"/>
    <w:rsid w:val="00D0144B"/>
    <w:rsid w:val="00D02580"/>
    <w:rsid w:val="00D02712"/>
    <w:rsid w:val="00D04131"/>
    <w:rsid w:val="00D04378"/>
    <w:rsid w:val="00D04D91"/>
    <w:rsid w:val="00D04EFA"/>
    <w:rsid w:val="00D05DCE"/>
    <w:rsid w:val="00D065A9"/>
    <w:rsid w:val="00D070BB"/>
    <w:rsid w:val="00D073C4"/>
    <w:rsid w:val="00D11495"/>
    <w:rsid w:val="00D12D3A"/>
    <w:rsid w:val="00D143F5"/>
    <w:rsid w:val="00D148B5"/>
    <w:rsid w:val="00D1604E"/>
    <w:rsid w:val="00D20149"/>
    <w:rsid w:val="00D201F5"/>
    <w:rsid w:val="00D20302"/>
    <w:rsid w:val="00D20B28"/>
    <w:rsid w:val="00D22F7F"/>
    <w:rsid w:val="00D246B2"/>
    <w:rsid w:val="00D253F6"/>
    <w:rsid w:val="00D25D54"/>
    <w:rsid w:val="00D26638"/>
    <w:rsid w:val="00D26852"/>
    <w:rsid w:val="00D27C9D"/>
    <w:rsid w:val="00D30403"/>
    <w:rsid w:val="00D304F1"/>
    <w:rsid w:val="00D30B58"/>
    <w:rsid w:val="00D31980"/>
    <w:rsid w:val="00D31E0C"/>
    <w:rsid w:val="00D31FC9"/>
    <w:rsid w:val="00D34106"/>
    <w:rsid w:val="00D358C5"/>
    <w:rsid w:val="00D36A6B"/>
    <w:rsid w:val="00D37533"/>
    <w:rsid w:val="00D41678"/>
    <w:rsid w:val="00D42866"/>
    <w:rsid w:val="00D46010"/>
    <w:rsid w:val="00D46488"/>
    <w:rsid w:val="00D465B5"/>
    <w:rsid w:val="00D46ACB"/>
    <w:rsid w:val="00D46B31"/>
    <w:rsid w:val="00D47155"/>
    <w:rsid w:val="00D47D47"/>
    <w:rsid w:val="00D50EE0"/>
    <w:rsid w:val="00D512F4"/>
    <w:rsid w:val="00D52473"/>
    <w:rsid w:val="00D524CD"/>
    <w:rsid w:val="00D52853"/>
    <w:rsid w:val="00D568E0"/>
    <w:rsid w:val="00D57444"/>
    <w:rsid w:val="00D5754E"/>
    <w:rsid w:val="00D601C8"/>
    <w:rsid w:val="00D603CB"/>
    <w:rsid w:val="00D61169"/>
    <w:rsid w:val="00D618A9"/>
    <w:rsid w:val="00D619CA"/>
    <w:rsid w:val="00D61BA2"/>
    <w:rsid w:val="00D62489"/>
    <w:rsid w:val="00D62E30"/>
    <w:rsid w:val="00D646B0"/>
    <w:rsid w:val="00D65365"/>
    <w:rsid w:val="00D658B5"/>
    <w:rsid w:val="00D661EB"/>
    <w:rsid w:val="00D66F46"/>
    <w:rsid w:val="00D67242"/>
    <w:rsid w:val="00D6733E"/>
    <w:rsid w:val="00D676F3"/>
    <w:rsid w:val="00D67AF5"/>
    <w:rsid w:val="00D7144A"/>
    <w:rsid w:val="00D72D56"/>
    <w:rsid w:val="00D72FEC"/>
    <w:rsid w:val="00D733AC"/>
    <w:rsid w:val="00D76221"/>
    <w:rsid w:val="00D77F43"/>
    <w:rsid w:val="00D80411"/>
    <w:rsid w:val="00D80AC0"/>
    <w:rsid w:val="00D8126D"/>
    <w:rsid w:val="00D81299"/>
    <w:rsid w:val="00D82380"/>
    <w:rsid w:val="00D82599"/>
    <w:rsid w:val="00D82F1F"/>
    <w:rsid w:val="00D82F43"/>
    <w:rsid w:val="00D8358E"/>
    <w:rsid w:val="00D85F86"/>
    <w:rsid w:val="00D864C2"/>
    <w:rsid w:val="00D87EEF"/>
    <w:rsid w:val="00D90AE8"/>
    <w:rsid w:val="00D9313C"/>
    <w:rsid w:val="00D94B02"/>
    <w:rsid w:val="00D94C09"/>
    <w:rsid w:val="00D9529F"/>
    <w:rsid w:val="00D9599F"/>
    <w:rsid w:val="00D95FE2"/>
    <w:rsid w:val="00DA002E"/>
    <w:rsid w:val="00DA2396"/>
    <w:rsid w:val="00DA3B07"/>
    <w:rsid w:val="00DB1A71"/>
    <w:rsid w:val="00DB390A"/>
    <w:rsid w:val="00DB4FD7"/>
    <w:rsid w:val="00DB6DC2"/>
    <w:rsid w:val="00DB7011"/>
    <w:rsid w:val="00DB750F"/>
    <w:rsid w:val="00DB79EF"/>
    <w:rsid w:val="00DB7A68"/>
    <w:rsid w:val="00DC087E"/>
    <w:rsid w:val="00DC34DC"/>
    <w:rsid w:val="00DC3AF8"/>
    <w:rsid w:val="00DC5927"/>
    <w:rsid w:val="00DC5BD5"/>
    <w:rsid w:val="00DC6E81"/>
    <w:rsid w:val="00DC710F"/>
    <w:rsid w:val="00DD053C"/>
    <w:rsid w:val="00DD0571"/>
    <w:rsid w:val="00DD1A66"/>
    <w:rsid w:val="00DD27D8"/>
    <w:rsid w:val="00DD2D8D"/>
    <w:rsid w:val="00DD45ED"/>
    <w:rsid w:val="00DD5A18"/>
    <w:rsid w:val="00DD6380"/>
    <w:rsid w:val="00DD69D7"/>
    <w:rsid w:val="00DD7A8A"/>
    <w:rsid w:val="00DE1469"/>
    <w:rsid w:val="00DE241F"/>
    <w:rsid w:val="00DE3A20"/>
    <w:rsid w:val="00DE4AFA"/>
    <w:rsid w:val="00DE4BC1"/>
    <w:rsid w:val="00DE60D6"/>
    <w:rsid w:val="00DE6192"/>
    <w:rsid w:val="00DE62CD"/>
    <w:rsid w:val="00DE6702"/>
    <w:rsid w:val="00DE6C2A"/>
    <w:rsid w:val="00DE6EB0"/>
    <w:rsid w:val="00DE710C"/>
    <w:rsid w:val="00DE76BF"/>
    <w:rsid w:val="00DE76F5"/>
    <w:rsid w:val="00DE7C38"/>
    <w:rsid w:val="00DF0A66"/>
    <w:rsid w:val="00DF12B8"/>
    <w:rsid w:val="00DF27B9"/>
    <w:rsid w:val="00DF28E5"/>
    <w:rsid w:val="00DF3D43"/>
    <w:rsid w:val="00DF3DB0"/>
    <w:rsid w:val="00DF417A"/>
    <w:rsid w:val="00DF479F"/>
    <w:rsid w:val="00DF5E66"/>
    <w:rsid w:val="00DF7023"/>
    <w:rsid w:val="00DF7035"/>
    <w:rsid w:val="00DF79B0"/>
    <w:rsid w:val="00DF7DA5"/>
    <w:rsid w:val="00DF7EA9"/>
    <w:rsid w:val="00DF7F09"/>
    <w:rsid w:val="00E01EFE"/>
    <w:rsid w:val="00E020CD"/>
    <w:rsid w:val="00E0284D"/>
    <w:rsid w:val="00E03D02"/>
    <w:rsid w:val="00E05E9F"/>
    <w:rsid w:val="00E05F82"/>
    <w:rsid w:val="00E05FA4"/>
    <w:rsid w:val="00E10072"/>
    <w:rsid w:val="00E10BF1"/>
    <w:rsid w:val="00E10C3C"/>
    <w:rsid w:val="00E111A6"/>
    <w:rsid w:val="00E127A9"/>
    <w:rsid w:val="00E137C1"/>
    <w:rsid w:val="00E13D3D"/>
    <w:rsid w:val="00E13FA1"/>
    <w:rsid w:val="00E14434"/>
    <w:rsid w:val="00E157EF"/>
    <w:rsid w:val="00E17AFF"/>
    <w:rsid w:val="00E23077"/>
    <w:rsid w:val="00E230C6"/>
    <w:rsid w:val="00E25265"/>
    <w:rsid w:val="00E252F4"/>
    <w:rsid w:val="00E25321"/>
    <w:rsid w:val="00E27593"/>
    <w:rsid w:val="00E27928"/>
    <w:rsid w:val="00E32EE3"/>
    <w:rsid w:val="00E34303"/>
    <w:rsid w:val="00E34ACC"/>
    <w:rsid w:val="00E34B96"/>
    <w:rsid w:val="00E3567F"/>
    <w:rsid w:val="00E362CC"/>
    <w:rsid w:val="00E364F7"/>
    <w:rsid w:val="00E3699F"/>
    <w:rsid w:val="00E37207"/>
    <w:rsid w:val="00E40850"/>
    <w:rsid w:val="00E44D5F"/>
    <w:rsid w:val="00E44F8A"/>
    <w:rsid w:val="00E46F10"/>
    <w:rsid w:val="00E47B7C"/>
    <w:rsid w:val="00E47F5F"/>
    <w:rsid w:val="00E5007B"/>
    <w:rsid w:val="00E50C2D"/>
    <w:rsid w:val="00E51914"/>
    <w:rsid w:val="00E51FED"/>
    <w:rsid w:val="00E523D9"/>
    <w:rsid w:val="00E52ABB"/>
    <w:rsid w:val="00E53084"/>
    <w:rsid w:val="00E53D3B"/>
    <w:rsid w:val="00E53DB1"/>
    <w:rsid w:val="00E5505F"/>
    <w:rsid w:val="00E55E80"/>
    <w:rsid w:val="00E56B02"/>
    <w:rsid w:val="00E56DC8"/>
    <w:rsid w:val="00E572AA"/>
    <w:rsid w:val="00E57916"/>
    <w:rsid w:val="00E6017B"/>
    <w:rsid w:val="00E6186B"/>
    <w:rsid w:val="00E61C61"/>
    <w:rsid w:val="00E621BD"/>
    <w:rsid w:val="00E62799"/>
    <w:rsid w:val="00E6322B"/>
    <w:rsid w:val="00E646A0"/>
    <w:rsid w:val="00E64E47"/>
    <w:rsid w:val="00E64FC8"/>
    <w:rsid w:val="00E66F60"/>
    <w:rsid w:val="00E6739A"/>
    <w:rsid w:val="00E67CC4"/>
    <w:rsid w:val="00E70992"/>
    <w:rsid w:val="00E725F5"/>
    <w:rsid w:val="00E72822"/>
    <w:rsid w:val="00E72F73"/>
    <w:rsid w:val="00E731B3"/>
    <w:rsid w:val="00E7406F"/>
    <w:rsid w:val="00E741AE"/>
    <w:rsid w:val="00E74588"/>
    <w:rsid w:val="00E748F4"/>
    <w:rsid w:val="00E77C9C"/>
    <w:rsid w:val="00E8076B"/>
    <w:rsid w:val="00E81385"/>
    <w:rsid w:val="00E81498"/>
    <w:rsid w:val="00E828C1"/>
    <w:rsid w:val="00E847BF"/>
    <w:rsid w:val="00E84F80"/>
    <w:rsid w:val="00E8519F"/>
    <w:rsid w:val="00E87AD4"/>
    <w:rsid w:val="00E90029"/>
    <w:rsid w:val="00E909CC"/>
    <w:rsid w:val="00E90A73"/>
    <w:rsid w:val="00E91BE7"/>
    <w:rsid w:val="00E92177"/>
    <w:rsid w:val="00E92303"/>
    <w:rsid w:val="00E92A8B"/>
    <w:rsid w:val="00E92EF6"/>
    <w:rsid w:val="00E96255"/>
    <w:rsid w:val="00E976ED"/>
    <w:rsid w:val="00EA0051"/>
    <w:rsid w:val="00EA21D7"/>
    <w:rsid w:val="00EA24DF"/>
    <w:rsid w:val="00EA3667"/>
    <w:rsid w:val="00EA3938"/>
    <w:rsid w:val="00EA3D45"/>
    <w:rsid w:val="00EA54FD"/>
    <w:rsid w:val="00EA5D85"/>
    <w:rsid w:val="00EA672E"/>
    <w:rsid w:val="00EA7949"/>
    <w:rsid w:val="00EA7FFB"/>
    <w:rsid w:val="00EB0222"/>
    <w:rsid w:val="00EB05E7"/>
    <w:rsid w:val="00EB0D2D"/>
    <w:rsid w:val="00EB225C"/>
    <w:rsid w:val="00EB23CA"/>
    <w:rsid w:val="00EB27A4"/>
    <w:rsid w:val="00EB3036"/>
    <w:rsid w:val="00EB3DC3"/>
    <w:rsid w:val="00EB3E5F"/>
    <w:rsid w:val="00EB42FC"/>
    <w:rsid w:val="00EB49D8"/>
    <w:rsid w:val="00EB4D83"/>
    <w:rsid w:val="00EB60B6"/>
    <w:rsid w:val="00EB76C9"/>
    <w:rsid w:val="00EB78EC"/>
    <w:rsid w:val="00EC085D"/>
    <w:rsid w:val="00EC0B7C"/>
    <w:rsid w:val="00EC120B"/>
    <w:rsid w:val="00EC142F"/>
    <w:rsid w:val="00EC158B"/>
    <w:rsid w:val="00EC1B15"/>
    <w:rsid w:val="00EC2AAD"/>
    <w:rsid w:val="00EC3042"/>
    <w:rsid w:val="00EC3564"/>
    <w:rsid w:val="00EC373E"/>
    <w:rsid w:val="00EC49B6"/>
    <w:rsid w:val="00EC74E6"/>
    <w:rsid w:val="00EC78F6"/>
    <w:rsid w:val="00ED08B4"/>
    <w:rsid w:val="00ED102F"/>
    <w:rsid w:val="00ED14C5"/>
    <w:rsid w:val="00ED2AEF"/>
    <w:rsid w:val="00ED2D82"/>
    <w:rsid w:val="00ED3149"/>
    <w:rsid w:val="00ED49A1"/>
    <w:rsid w:val="00ED52DE"/>
    <w:rsid w:val="00ED62CC"/>
    <w:rsid w:val="00ED7239"/>
    <w:rsid w:val="00ED762F"/>
    <w:rsid w:val="00ED7EB5"/>
    <w:rsid w:val="00EE08A9"/>
    <w:rsid w:val="00EE20AF"/>
    <w:rsid w:val="00EE20CC"/>
    <w:rsid w:val="00EE26F2"/>
    <w:rsid w:val="00EE2C73"/>
    <w:rsid w:val="00EE3C16"/>
    <w:rsid w:val="00EE65CC"/>
    <w:rsid w:val="00EE785C"/>
    <w:rsid w:val="00EF0CA3"/>
    <w:rsid w:val="00EF0DF1"/>
    <w:rsid w:val="00EF0F1C"/>
    <w:rsid w:val="00EF2A4D"/>
    <w:rsid w:val="00EF537A"/>
    <w:rsid w:val="00EF7696"/>
    <w:rsid w:val="00EF7899"/>
    <w:rsid w:val="00F00947"/>
    <w:rsid w:val="00F01CE6"/>
    <w:rsid w:val="00F0437B"/>
    <w:rsid w:val="00F07ADD"/>
    <w:rsid w:val="00F1092F"/>
    <w:rsid w:val="00F156A2"/>
    <w:rsid w:val="00F17541"/>
    <w:rsid w:val="00F20277"/>
    <w:rsid w:val="00F2053A"/>
    <w:rsid w:val="00F20A22"/>
    <w:rsid w:val="00F20DA2"/>
    <w:rsid w:val="00F220A1"/>
    <w:rsid w:val="00F2275D"/>
    <w:rsid w:val="00F2350B"/>
    <w:rsid w:val="00F23F68"/>
    <w:rsid w:val="00F2464D"/>
    <w:rsid w:val="00F24D4F"/>
    <w:rsid w:val="00F25A97"/>
    <w:rsid w:val="00F26C87"/>
    <w:rsid w:val="00F2708D"/>
    <w:rsid w:val="00F27B3F"/>
    <w:rsid w:val="00F30B16"/>
    <w:rsid w:val="00F30D2D"/>
    <w:rsid w:val="00F3163E"/>
    <w:rsid w:val="00F3257D"/>
    <w:rsid w:val="00F32964"/>
    <w:rsid w:val="00F32B31"/>
    <w:rsid w:val="00F32F42"/>
    <w:rsid w:val="00F34058"/>
    <w:rsid w:val="00F3479E"/>
    <w:rsid w:val="00F350DF"/>
    <w:rsid w:val="00F354FA"/>
    <w:rsid w:val="00F3619D"/>
    <w:rsid w:val="00F377C6"/>
    <w:rsid w:val="00F40A73"/>
    <w:rsid w:val="00F423F8"/>
    <w:rsid w:val="00F42A1B"/>
    <w:rsid w:val="00F43B38"/>
    <w:rsid w:val="00F44595"/>
    <w:rsid w:val="00F44B21"/>
    <w:rsid w:val="00F45900"/>
    <w:rsid w:val="00F45E7A"/>
    <w:rsid w:val="00F461B4"/>
    <w:rsid w:val="00F46DFB"/>
    <w:rsid w:val="00F47D1A"/>
    <w:rsid w:val="00F50914"/>
    <w:rsid w:val="00F5257A"/>
    <w:rsid w:val="00F54A7B"/>
    <w:rsid w:val="00F54DF3"/>
    <w:rsid w:val="00F54FFF"/>
    <w:rsid w:val="00F56E7C"/>
    <w:rsid w:val="00F579BC"/>
    <w:rsid w:val="00F600EC"/>
    <w:rsid w:val="00F60783"/>
    <w:rsid w:val="00F61417"/>
    <w:rsid w:val="00F61E52"/>
    <w:rsid w:val="00F620ED"/>
    <w:rsid w:val="00F6343C"/>
    <w:rsid w:val="00F638A1"/>
    <w:rsid w:val="00F65E59"/>
    <w:rsid w:val="00F70B71"/>
    <w:rsid w:val="00F7108B"/>
    <w:rsid w:val="00F71439"/>
    <w:rsid w:val="00F72897"/>
    <w:rsid w:val="00F7299D"/>
    <w:rsid w:val="00F72AAE"/>
    <w:rsid w:val="00F72EAB"/>
    <w:rsid w:val="00F73241"/>
    <w:rsid w:val="00F73C05"/>
    <w:rsid w:val="00F74679"/>
    <w:rsid w:val="00F74710"/>
    <w:rsid w:val="00F74D50"/>
    <w:rsid w:val="00F75D6D"/>
    <w:rsid w:val="00F764CB"/>
    <w:rsid w:val="00F770B4"/>
    <w:rsid w:val="00F77F38"/>
    <w:rsid w:val="00F8005E"/>
    <w:rsid w:val="00F80131"/>
    <w:rsid w:val="00F80B6D"/>
    <w:rsid w:val="00F81448"/>
    <w:rsid w:val="00F82B30"/>
    <w:rsid w:val="00F83A98"/>
    <w:rsid w:val="00F84069"/>
    <w:rsid w:val="00F84379"/>
    <w:rsid w:val="00F846B4"/>
    <w:rsid w:val="00F84B57"/>
    <w:rsid w:val="00F85BBF"/>
    <w:rsid w:val="00F86AF8"/>
    <w:rsid w:val="00F86DB4"/>
    <w:rsid w:val="00F8798B"/>
    <w:rsid w:val="00F918EA"/>
    <w:rsid w:val="00F95702"/>
    <w:rsid w:val="00F95AAB"/>
    <w:rsid w:val="00F95F56"/>
    <w:rsid w:val="00F9641B"/>
    <w:rsid w:val="00F9738C"/>
    <w:rsid w:val="00FA05C3"/>
    <w:rsid w:val="00FA08D2"/>
    <w:rsid w:val="00FA2387"/>
    <w:rsid w:val="00FA2554"/>
    <w:rsid w:val="00FA30B7"/>
    <w:rsid w:val="00FA3AE3"/>
    <w:rsid w:val="00FA54AC"/>
    <w:rsid w:val="00FA551D"/>
    <w:rsid w:val="00FA5AA2"/>
    <w:rsid w:val="00FA6F1E"/>
    <w:rsid w:val="00FA76A4"/>
    <w:rsid w:val="00FB03C6"/>
    <w:rsid w:val="00FB1F14"/>
    <w:rsid w:val="00FB2069"/>
    <w:rsid w:val="00FB2A3B"/>
    <w:rsid w:val="00FB354D"/>
    <w:rsid w:val="00FB3F51"/>
    <w:rsid w:val="00FB3FE0"/>
    <w:rsid w:val="00FB4202"/>
    <w:rsid w:val="00FB4721"/>
    <w:rsid w:val="00FB4A10"/>
    <w:rsid w:val="00FB4AE3"/>
    <w:rsid w:val="00FB4EDC"/>
    <w:rsid w:val="00FB5A14"/>
    <w:rsid w:val="00FB5FC3"/>
    <w:rsid w:val="00FB6E53"/>
    <w:rsid w:val="00FB7099"/>
    <w:rsid w:val="00FC207F"/>
    <w:rsid w:val="00FC3490"/>
    <w:rsid w:val="00FC3793"/>
    <w:rsid w:val="00FC42D1"/>
    <w:rsid w:val="00FC46A2"/>
    <w:rsid w:val="00FC5F66"/>
    <w:rsid w:val="00FC666C"/>
    <w:rsid w:val="00FC7081"/>
    <w:rsid w:val="00FC722B"/>
    <w:rsid w:val="00FD0365"/>
    <w:rsid w:val="00FD189F"/>
    <w:rsid w:val="00FD1F7F"/>
    <w:rsid w:val="00FD2D9B"/>
    <w:rsid w:val="00FD3509"/>
    <w:rsid w:val="00FD4558"/>
    <w:rsid w:val="00FD61E5"/>
    <w:rsid w:val="00FD61F2"/>
    <w:rsid w:val="00FD6DB9"/>
    <w:rsid w:val="00FE016A"/>
    <w:rsid w:val="00FE1DB1"/>
    <w:rsid w:val="00FE2749"/>
    <w:rsid w:val="00FE2DE8"/>
    <w:rsid w:val="00FE312C"/>
    <w:rsid w:val="00FE358C"/>
    <w:rsid w:val="00FE389C"/>
    <w:rsid w:val="00FE3AA5"/>
    <w:rsid w:val="00FE4384"/>
    <w:rsid w:val="00FE549D"/>
    <w:rsid w:val="00FE751A"/>
    <w:rsid w:val="00FE7F8A"/>
    <w:rsid w:val="00FF0741"/>
    <w:rsid w:val="00FF097A"/>
    <w:rsid w:val="00FF1BDC"/>
    <w:rsid w:val="00FF1F9A"/>
    <w:rsid w:val="00FF3702"/>
    <w:rsid w:val="00FF466C"/>
    <w:rsid w:val="00FF47B5"/>
    <w:rsid w:val="00FF5261"/>
    <w:rsid w:val="00FF5AC0"/>
    <w:rsid w:val="00FF6560"/>
    <w:rsid w:val="00FF693A"/>
    <w:rsid w:val="00FF7F21"/>
    <w:rsid w:val="05E58DCD"/>
    <w:rsid w:val="0A2A19DF"/>
    <w:rsid w:val="307DE6DA"/>
    <w:rsid w:val="4EFD2336"/>
    <w:rsid w:val="6A663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35813"/>
  <w15:chartTrackingRefBased/>
  <w15:docId w15:val="{517389C7-B48E-4252-AEFF-3385E07B3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DB1"/>
    <w:rPr>
      <w:rFonts w:ascii="Arial" w:hAnsi="Arial"/>
      <w:sz w:val="22"/>
      <w:szCs w:val="24"/>
      <w:lang w:val="en-US" w:eastAsia="en-US"/>
    </w:rPr>
  </w:style>
  <w:style w:type="paragraph" w:styleId="Heading1">
    <w:name w:val="heading 1"/>
    <w:aliases w:val="Chapter Headings"/>
    <w:basedOn w:val="Normal"/>
    <w:next w:val="Normal"/>
    <w:link w:val="Heading1Char"/>
    <w:qFormat/>
    <w:rsid w:val="009D771B"/>
    <w:pPr>
      <w:keepNext/>
      <w:keepLines/>
      <w:spacing w:before="240"/>
      <w:contextualSpacing/>
      <w:outlineLvl w:val="0"/>
    </w:pPr>
    <w:rPr>
      <w:rFonts w:eastAsia="Times New Roman" w:cs="Arial"/>
      <w:b/>
      <w:color w:val="293A95" w:themeColor="accent1"/>
      <w:sz w:val="32"/>
    </w:rPr>
  </w:style>
  <w:style w:type="paragraph" w:styleId="Heading2">
    <w:name w:val="heading 2"/>
    <w:aliases w:val="Section Headings"/>
    <w:basedOn w:val="Normal"/>
    <w:next w:val="Normal"/>
    <w:link w:val="Heading2Char"/>
    <w:unhideWhenUsed/>
    <w:qFormat/>
    <w:rsid w:val="006D6E1D"/>
    <w:pPr>
      <w:keepNext/>
      <w:keepLines/>
      <w:spacing w:before="200"/>
      <w:contextualSpacing/>
      <w:outlineLvl w:val="1"/>
    </w:pPr>
    <w:rPr>
      <w:rFonts w:eastAsiaTheme="majorEastAsia" w:cs="Arial"/>
      <w:b/>
      <w:bCs/>
      <w:szCs w:val="22"/>
    </w:rPr>
  </w:style>
  <w:style w:type="paragraph" w:styleId="Heading3">
    <w:name w:val="heading 3"/>
    <w:aliases w:val="Sub heading"/>
    <w:basedOn w:val="Normal"/>
    <w:next w:val="Normal"/>
    <w:link w:val="Heading3Char"/>
    <w:unhideWhenUsed/>
    <w:qFormat/>
    <w:rsid w:val="006C0F85"/>
    <w:pPr>
      <w:keepNext/>
      <w:keepLines/>
      <w:spacing w:before="40"/>
      <w:outlineLvl w:val="2"/>
    </w:pPr>
    <w:rPr>
      <w:rFonts w:asciiTheme="majorHAnsi" w:eastAsiaTheme="majorEastAsia" w:hAnsiTheme="majorHAnsi" w:cstheme="majorBidi"/>
      <w:color w:val="141C49" w:themeColor="accent1" w:themeShade="7F"/>
      <w:sz w:val="24"/>
    </w:rPr>
  </w:style>
  <w:style w:type="paragraph" w:styleId="Heading4">
    <w:name w:val="heading 4"/>
    <w:aliases w:val="Faculty Heading"/>
    <w:basedOn w:val="Normal"/>
    <w:next w:val="Normal"/>
    <w:link w:val="Heading4Char"/>
    <w:unhideWhenUsed/>
    <w:qFormat/>
    <w:rsid w:val="000B1774"/>
    <w:pPr>
      <w:keepNext/>
      <w:keepLines/>
      <w:spacing w:before="200"/>
      <w:outlineLvl w:val="3"/>
    </w:pPr>
    <w:rPr>
      <w:rFonts w:eastAsiaTheme="majorEastAsia" w:cstheme="majorBidi"/>
      <w:b/>
      <w:bCs/>
      <w:iCs/>
      <w:color w:val="AB1F4E" w:themeColor="accent5"/>
    </w:rPr>
  </w:style>
  <w:style w:type="paragraph" w:styleId="Heading5">
    <w:name w:val="heading 5"/>
    <w:aliases w:val="Online Academy Heading"/>
    <w:basedOn w:val="Normal"/>
    <w:next w:val="Normal"/>
    <w:link w:val="Heading5Char"/>
    <w:unhideWhenUsed/>
    <w:qFormat/>
    <w:rsid w:val="000B1774"/>
    <w:pPr>
      <w:spacing w:before="200" w:after="100"/>
      <w:ind w:left="86"/>
      <w:contextualSpacing/>
      <w:outlineLvl w:val="4"/>
    </w:pPr>
    <w:rPr>
      <w:rFonts w:asciiTheme="majorHAnsi" w:eastAsiaTheme="majorEastAsia" w:hAnsiTheme="majorHAnsi" w:cstheme="majorBidi"/>
      <w:b/>
      <w:bCs/>
      <w:color w:val="E73443" w:themeColor="accent6"/>
      <w:sz w:val="32"/>
      <w:szCs w:val="22"/>
      <w:lang w:val="en-GB" w:eastAsia="en-GB"/>
    </w:rPr>
  </w:style>
  <w:style w:type="paragraph" w:styleId="Heading6">
    <w:name w:val="heading 6"/>
    <w:basedOn w:val="Normal"/>
    <w:next w:val="Normal"/>
    <w:link w:val="Heading6Char"/>
    <w:unhideWhenUsed/>
    <w:qFormat/>
    <w:rsid w:val="000B1774"/>
    <w:pPr>
      <w:pBdr>
        <w:bottom w:val="single" w:sz="4" w:space="2" w:color="C1DFF3" w:themeColor="accent2" w:themeTint="66"/>
      </w:pBdr>
      <w:spacing w:before="200" w:after="100"/>
      <w:contextualSpacing/>
      <w:outlineLvl w:val="5"/>
    </w:pPr>
    <w:rPr>
      <w:rFonts w:asciiTheme="majorHAnsi" w:eastAsiaTheme="majorEastAsia" w:hAnsiTheme="majorHAnsi" w:cstheme="majorBidi"/>
      <w:color w:val="278ACB" w:themeColor="accent2" w:themeShade="BF"/>
      <w:szCs w:val="22"/>
      <w:lang w:val="en-GB" w:eastAsia="en-GB"/>
    </w:rPr>
  </w:style>
  <w:style w:type="paragraph" w:styleId="Heading7">
    <w:name w:val="heading 7"/>
    <w:basedOn w:val="Normal"/>
    <w:next w:val="Normal"/>
    <w:link w:val="Heading7Char"/>
    <w:unhideWhenUsed/>
    <w:qFormat/>
    <w:rsid w:val="000B1774"/>
    <w:pPr>
      <w:keepNext/>
      <w:keepLines/>
      <w:spacing w:before="40"/>
      <w:outlineLvl w:val="6"/>
    </w:pPr>
    <w:rPr>
      <w:rFonts w:asciiTheme="majorHAnsi" w:eastAsiaTheme="majorEastAsia" w:hAnsiTheme="majorHAnsi" w:cstheme="majorBidi"/>
      <w:i/>
      <w:iCs/>
      <w:color w:val="141C49" w:themeColor="accent1" w:themeShade="7F"/>
    </w:rPr>
  </w:style>
  <w:style w:type="paragraph" w:styleId="Heading8">
    <w:name w:val="heading 8"/>
    <w:basedOn w:val="Normal"/>
    <w:next w:val="Normal"/>
    <w:link w:val="Heading8Char"/>
    <w:uiPriority w:val="9"/>
    <w:semiHidden/>
    <w:unhideWhenUsed/>
    <w:qFormat/>
    <w:rsid w:val="000B1774"/>
    <w:pPr>
      <w:spacing w:before="200" w:after="100"/>
      <w:contextualSpacing/>
      <w:outlineLvl w:val="7"/>
    </w:pPr>
    <w:rPr>
      <w:rFonts w:asciiTheme="majorHAnsi" w:eastAsiaTheme="majorEastAsia" w:hAnsiTheme="majorHAnsi" w:cstheme="majorBidi"/>
      <w:i/>
      <w:iCs/>
      <w:color w:val="64AFE1" w:themeColor="accent2"/>
      <w:sz w:val="20"/>
      <w:szCs w:val="20"/>
      <w:lang w:val="en-GB" w:eastAsia="en-GB"/>
    </w:rPr>
  </w:style>
  <w:style w:type="paragraph" w:styleId="Heading9">
    <w:name w:val="heading 9"/>
    <w:basedOn w:val="Normal"/>
    <w:next w:val="Normal"/>
    <w:link w:val="Heading9Char"/>
    <w:unhideWhenUsed/>
    <w:qFormat/>
    <w:rsid w:val="000B1774"/>
    <w:pPr>
      <w:spacing w:before="200" w:after="100"/>
      <w:contextualSpacing/>
      <w:outlineLvl w:val="8"/>
    </w:pPr>
    <w:rPr>
      <w:rFonts w:asciiTheme="majorHAnsi" w:eastAsiaTheme="majorEastAsia" w:hAnsiTheme="majorHAnsi" w:cstheme="majorBidi"/>
      <w:i/>
      <w:iCs/>
      <w:color w:val="64AFE1" w:themeColor="accent2"/>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A03"/>
    <w:pPr>
      <w:ind w:left="720"/>
      <w:contextualSpacing/>
    </w:pPr>
  </w:style>
  <w:style w:type="character" w:customStyle="1" w:styleId="Heading1Char">
    <w:name w:val="Heading 1 Char"/>
    <w:aliases w:val="Chapter Headings Char"/>
    <w:link w:val="Heading1"/>
    <w:uiPriority w:val="9"/>
    <w:rsid w:val="009D771B"/>
    <w:rPr>
      <w:rFonts w:ascii="Arial" w:eastAsia="Times New Roman" w:hAnsi="Arial" w:cs="Arial"/>
      <w:b/>
      <w:color w:val="293A95" w:themeColor="accent1"/>
      <w:sz w:val="32"/>
      <w:szCs w:val="24"/>
      <w:lang w:val="en-US" w:eastAsia="en-US"/>
    </w:rPr>
  </w:style>
  <w:style w:type="table" w:styleId="TableGrid">
    <w:name w:val="Table Grid"/>
    <w:basedOn w:val="TableNormal"/>
    <w:rsid w:val="0045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4B84"/>
    <w:pPr>
      <w:widowControl w:val="0"/>
      <w:autoSpaceDE w:val="0"/>
      <w:autoSpaceDN w:val="0"/>
      <w:adjustRightInd w:val="0"/>
    </w:pPr>
    <w:rPr>
      <w:rFonts w:ascii="Arial" w:hAnsi="Arial" w:cs="Arial"/>
      <w:color w:val="000000"/>
      <w:sz w:val="24"/>
      <w:szCs w:val="24"/>
      <w:lang w:eastAsia="en-US"/>
    </w:rPr>
  </w:style>
  <w:style w:type="paragraph" w:customStyle="1" w:styleId="Pa0">
    <w:name w:val="Pa0"/>
    <w:basedOn w:val="Default"/>
    <w:next w:val="Default"/>
    <w:uiPriority w:val="99"/>
    <w:rsid w:val="007B4B84"/>
    <w:pPr>
      <w:spacing w:line="221" w:lineRule="atLeast"/>
    </w:pPr>
    <w:rPr>
      <w:color w:val="auto"/>
    </w:rPr>
  </w:style>
  <w:style w:type="paragraph" w:customStyle="1" w:styleId="Identifierheader">
    <w:name w:val="Identifier header"/>
    <w:qFormat/>
    <w:rsid w:val="005D1524"/>
    <w:rPr>
      <w:rFonts w:ascii="Arial" w:hAnsi="Arial" w:cs="Arial"/>
      <w:b/>
      <w:bCs/>
      <w:color w:val="64AFE1" w:themeColor="accent2"/>
      <w:sz w:val="24"/>
      <w:szCs w:val="22"/>
      <w:lang w:eastAsia="en-US"/>
    </w:rPr>
  </w:style>
  <w:style w:type="character" w:customStyle="1" w:styleId="A1">
    <w:name w:val="A1"/>
    <w:uiPriority w:val="99"/>
    <w:rsid w:val="0098039C"/>
    <w:rPr>
      <w:b/>
      <w:bCs/>
      <w:color w:val="F5821E"/>
      <w:sz w:val="64"/>
      <w:szCs w:val="64"/>
    </w:rPr>
  </w:style>
  <w:style w:type="character" w:customStyle="1" w:styleId="A2">
    <w:name w:val="A2"/>
    <w:uiPriority w:val="99"/>
    <w:rsid w:val="0098039C"/>
    <w:rPr>
      <w:color w:val="57585A"/>
      <w:sz w:val="48"/>
      <w:szCs w:val="48"/>
    </w:rPr>
  </w:style>
  <w:style w:type="paragraph" w:customStyle="1" w:styleId="MainHeading32pt">
    <w:name w:val="Main Heading 32pt"/>
    <w:qFormat/>
    <w:rsid w:val="005D1524"/>
    <w:rPr>
      <w:rFonts w:ascii="Arial" w:hAnsi="Arial" w:cs="Arial"/>
      <w:b/>
      <w:bCs/>
      <w:color w:val="64AFE1" w:themeColor="accent2"/>
      <w:sz w:val="64"/>
      <w:szCs w:val="24"/>
      <w:lang w:eastAsia="en-US"/>
    </w:rPr>
  </w:style>
  <w:style w:type="paragraph" w:customStyle="1" w:styleId="Strapline24pt">
    <w:name w:val="Strapline 24pt"/>
    <w:qFormat/>
    <w:rsid w:val="00171634"/>
    <w:pPr>
      <w:spacing w:after="140"/>
    </w:pPr>
    <w:rPr>
      <w:rFonts w:ascii="Arial" w:hAnsi="Arial"/>
      <w:color w:val="939290"/>
      <w:sz w:val="48"/>
      <w:szCs w:val="24"/>
      <w:lang w:val="en-US" w:eastAsia="en-US"/>
    </w:rPr>
  </w:style>
  <w:style w:type="character" w:customStyle="1" w:styleId="A4">
    <w:name w:val="A4"/>
    <w:uiPriority w:val="99"/>
    <w:rsid w:val="0098039C"/>
    <w:rPr>
      <w:b/>
      <w:bCs/>
      <w:color w:val="F5821E"/>
      <w:sz w:val="40"/>
      <w:szCs w:val="40"/>
    </w:rPr>
  </w:style>
  <w:style w:type="paragraph" w:customStyle="1" w:styleId="Heading20pt">
    <w:name w:val="Heading 20pt"/>
    <w:qFormat/>
    <w:rsid w:val="005D1524"/>
    <w:pPr>
      <w:spacing w:after="80"/>
    </w:pPr>
    <w:rPr>
      <w:rFonts w:ascii="Arial" w:hAnsi="Arial" w:cs="Arial-BoldMT"/>
      <w:b/>
      <w:bCs/>
      <w:color w:val="64AFE1" w:themeColor="accent2"/>
      <w:sz w:val="40"/>
      <w:szCs w:val="40"/>
      <w:lang w:eastAsia="en-US"/>
    </w:rPr>
  </w:style>
  <w:style w:type="paragraph" w:customStyle="1" w:styleId="Standfirst">
    <w:name w:val="Standfirst"/>
    <w:qFormat/>
    <w:rsid w:val="006D6E1D"/>
    <w:pPr>
      <w:spacing w:before="320" w:after="400"/>
    </w:pPr>
    <w:rPr>
      <w:rFonts w:ascii="Arial" w:hAnsi="Arial" w:cs="Arial"/>
      <w:bCs/>
      <w:sz w:val="24"/>
      <w:szCs w:val="23"/>
      <w:lang w:eastAsia="en-US"/>
    </w:rPr>
  </w:style>
  <w:style w:type="paragraph" w:customStyle="1" w:styleId="Subheading">
    <w:name w:val="Subheading"/>
    <w:qFormat/>
    <w:rsid w:val="005D1524"/>
    <w:pPr>
      <w:spacing w:before="240"/>
      <w:contextualSpacing/>
    </w:pPr>
    <w:rPr>
      <w:rFonts w:ascii="Arial" w:hAnsi="Arial" w:cs="Arial"/>
      <w:b/>
      <w:bCs/>
      <w:color w:val="64AFE1" w:themeColor="accent2"/>
      <w:sz w:val="24"/>
      <w:szCs w:val="24"/>
      <w:lang w:eastAsia="en-US"/>
    </w:rPr>
  </w:style>
  <w:style w:type="paragraph" w:customStyle="1" w:styleId="Pa6">
    <w:name w:val="Pa6"/>
    <w:basedOn w:val="Default"/>
    <w:next w:val="Default"/>
    <w:uiPriority w:val="99"/>
    <w:rsid w:val="002E5B84"/>
    <w:pPr>
      <w:spacing w:line="241" w:lineRule="atLeast"/>
    </w:pPr>
    <w:rPr>
      <w:color w:val="auto"/>
    </w:rPr>
  </w:style>
  <w:style w:type="character" w:customStyle="1" w:styleId="A6">
    <w:name w:val="A6"/>
    <w:uiPriority w:val="99"/>
    <w:rsid w:val="002E5B84"/>
    <w:rPr>
      <w:color w:val="57585A"/>
      <w:sz w:val="18"/>
      <w:szCs w:val="18"/>
    </w:rPr>
  </w:style>
  <w:style w:type="paragraph" w:customStyle="1" w:styleId="Style1">
    <w:name w:val="Style1"/>
    <w:basedOn w:val="Normal"/>
    <w:qFormat/>
    <w:rsid w:val="002E5B84"/>
  </w:style>
  <w:style w:type="paragraph" w:customStyle="1" w:styleId="Bodytext">
    <w:name w:val="Bodytext"/>
    <w:basedOn w:val="Normal"/>
    <w:qFormat/>
    <w:rsid w:val="006D6E1D"/>
    <w:pPr>
      <w:spacing w:after="140"/>
    </w:pPr>
    <w:rPr>
      <w:color w:val="000000"/>
      <w:szCs w:val="18"/>
      <w:lang w:val="en-GB"/>
    </w:rPr>
  </w:style>
  <w:style w:type="paragraph" w:customStyle="1" w:styleId="Pa7">
    <w:name w:val="Pa7"/>
    <w:basedOn w:val="Default"/>
    <w:next w:val="Default"/>
    <w:uiPriority w:val="99"/>
    <w:rsid w:val="00901FBE"/>
    <w:pPr>
      <w:spacing w:line="241" w:lineRule="atLeast"/>
    </w:pPr>
    <w:rPr>
      <w:color w:val="auto"/>
    </w:rPr>
  </w:style>
  <w:style w:type="character" w:customStyle="1" w:styleId="A0">
    <w:name w:val="A0"/>
    <w:uiPriority w:val="99"/>
    <w:rsid w:val="00901FBE"/>
    <w:rPr>
      <w:b/>
      <w:bCs/>
      <w:color w:val="F5821E"/>
      <w:sz w:val="22"/>
      <w:szCs w:val="22"/>
    </w:rPr>
  </w:style>
  <w:style w:type="paragraph" w:customStyle="1" w:styleId="Pa8">
    <w:name w:val="Pa8"/>
    <w:basedOn w:val="Default"/>
    <w:next w:val="Default"/>
    <w:uiPriority w:val="99"/>
    <w:rsid w:val="00901FBE"/>
    <w:pPr>
      <w:spacing w:line="241" w:lineRule="atLeast"/>
    </w:pPr>
    <w:rPr>
      <w:color w:val="auto"/>
    </w:rPr>
  </w:style>
  <w:style w:type="paragraph" w:customStyle="1" w:styleId="Bullet">
    <w:name w:val="Bullet"/>
    <w:basedOn w:val="Bodytext"/>
    <w:qFormat/>
    <w:rsid w:val="005D1524"/>
    <w:pPr>
      <w:numPr>
        <w:numId w:val="25"/>
      </w:numPr>
      <w:spacing w:after="0"/>
      <w:ind w:right="397"/>
    </w:pPr>
  </w:style>
  <w:style w:type="paragraph" w:customStyle="1" w:styleId="Bullet2ndlevel">
    <w:name w:val="Bullet 2nd level"/>
    <w:basedOn w:val="Bullet"/>
    <w:qFormat/>
    <w:rsid w:val="00AA5A4A"/>
    <w:pPr>
      <w:numPr>
        <w:numId w:val="16"/>
      </w:numPr>
    </w:pPr>
  </w:style>
  <w:style w:type="paragraph" w:styleId="Header">
    <w:name w:val="header"/>
    <w:basedOn w:val="Normal"/>
    <w:link w:val="HeaderChar"/>
    <w:unhideWhenUsed/>
    <w:rsid w:val="00332E60"/>
    <w:pPr>
      <w:tabs>
        <w:tab w:val="center" w:pos="4513"/>
        <w:tab w:val="right" w:pos="9026"/>
      </w:tabs>
    </w:pPr>
  </w:style>
  <w:style w:type="character" w:customStyle="1" w:styleId="HeaderChar">
    <w:name w:val="Header Char"/>
    <w:link w:val="Header"/>
    <w:uiPriority w:val="99"/>
    <w:rsid w:val="00332E60"/>
    <w:rPr>
      <w:rFonts w:ascii="Arial" w:hAnsi="Arial"/>
      <w:sz w:val="22"/>
    </w:rPr>
  </w:style>
  <w:style w:type="paragraph" w:styleId="Footer">
    <w:name w:val="footer"/>
    <w:basedOn w:val="Normal"/>
    <w:link w:val="FooterChar"/>
    <w:uiPriority w:val="99"/>
    <w:unhideWhenUsed/>
    <w:rsid w:val="00332E60"/>
    <w:pPr>
      <w:tabs>
        <w:tab w:val="center" w:pos="4513"/>
        <w:tab w:val="right" w:pos="9026"/>
      </w:tabs>
    </w:pPr>
  </w:style>
  <w:style w:type="character" w:customStyle="1" w:styleId="FooterChar">
    <w:name w:val="Footer Char"/>
    <w:link w:val="Footer"/>
    <w:uiPriority w:val="99"/>
    <w:rsid w:val="00332E60"/>
    <w:rPr>
      <w:rFonts w:ascii="Arial" w:hAnsi="Arial"/>
      <w:sz w:val="22"/>
    </w:rPr>
  </w:style>
  <w:style w:type="character" w:customStyle="1" w:styleId="A3">
    <w:name w:val="A3"/>
    <w:uiPriority w:val="99"/>
    <w:rsid w:val="00332E60"/>
    <w:rPr>
      <w:b/>
      <w:bCs/>
      <w:color w:val="F5821E"/>
      <w:sz w:val="16"/>
      <w:szCs w:val="16"/>
    </w:rPr>
  </w:style>
  <w:style w:type="character" w:styleId="Hyperlink">
    <w:name w:val="Hyperlink"/>
    <w:uiPriority w:val="99"/>
    <w:unhideWhenUsed/>
    <w:rsid w:val="008B2DB1"/>
    <w:rPr>
      <w:color w:val="293A95" w:themeColor="accent1"/>
      <w:u w:val="single"/>
    </w:rPr>
  </w:style>
  <w:style w:type="paragraph" w:customStyle="1" w:styleId="Pa11">
    <w:name w:val="Pa11"/>
    <w:basedOn w:val="Default"/>
    <w:next w:val="Default"/>
    <w:uiPriority w:val="99"/>
    <w:rsid w:val="00716E79"/>
    <w:pPr>
      <w:spacing w:line="221" w:lineRule="atLeast"/>
    </w:pPr>
    <w:rPr>
      <w:color w:val="auto"/>
    </w:rPr>
  </w:style>
  <w:style w:type="character" w:customStyle="1" w:styleId="A9">
    <w:name w:val="A9"/>
    <w:uiPriority w:val="99"/>
    <w:rsid w:val="00716E79"/>
    <w:rPr>
      <w:color w:val="57585A"/>
      <w:sz w:val="28"/>
      <w:szCs w:val="28"/>
    </w:rPr>
  </w:style>
  <w:style w:type="paragraph" w:customStyle="1" w:styleId="BasicParagraph">
    <w:name w:val="[Basic Paragraph]"/>
    <w:basedOn w:val="Normal"/>
    <w:uiPriority w:val="99"/>
    <w:rsid w:val="0086480D"/>
    <w:pPr>
      <w:widowControl w:val="0"/>
      <w:autoSpaceDE w:val="0"/>
      <w:autoSpaceDN w:val="0"/>
      <w:adjustRightInd w:val="0"/>
      <w:spacing w:line="288" w:lineRule="auto"/>
      <w:textAlignment w:val="center"/>
    </w:pPr>
    <w:rPr>
      <w:rFonts w:ascii="MinionPro-Regular" w:hAnsi="MinionPro-Regular" w:cs="MinionPro-Regular"/>
      <w:color w:val="000000"/>
      <w:sz w:val="24"/>
      <w:lang w:val="en-GB" w:bidi="ar-YE"/>
    </w:rPr>
  </w:style>
  <w:style w:type="paragraph" w:customStyle="1" w:styleId="TableTitle">
    <w:name w:val="TableTitle"/>
    <w:basedOn w:val="Bodytext"/>
    <w:qFormat/>
    <w:rsid w:val="005D1524"/>
    <w:rPr>
      <w:b/>
      <w:color w:val="64AFE1" w:themeColor="accent2"/>
    </w:rPr>
  </w:style>
  <w:style w:type="paragraph" w:customStyle="1" w:styleId="BodyTextitalic">
    <w:name w:val="BodyText_italic"/>
    <w:basedOn w:val="Bodytext"/>
    <w:qFormat/>
    <w:rsid w:val="00410E64"/>
    <w:rPr>
      <w:i/>
    </w:rPr>
  </w:style>
  <w:style w:type="paragraph" w:customStyle="1" w:styleId="BulletTitle">
    <w:name w:val="Bullet Title"/>
    <w:basedOn w:val="TableTitle"/>
    <w:qFormat/>
    <w:rsid w:val="005D1524"/>
    <w:pPr>
      <w:numPr>
        <w:numId w:val="23"/>
      </w:numPr>
    </w:pPr>
    <w:rPr>
      <w:bCs/>
    </w:rPr>
  </w:style>
  <w:style w:type="paragraph" w:customStyle="1" w:styleId="Strapline14pt">
    <w:name w:val="Strapline 14pt"/>
    <w:qFormat/>
    <w:rsid w:val="00E92177"/>
    <w:pPr>
      <w:spacing w:before="140"/>
    </w:pPr>
    <w:rPr>
      <w:rFonts w:ascii="Arial" w:hAnsi="Arial"/>
      <w:color w:val="939290"/>
      <w:sz w:val="28"/>
      <w:szCs w:val="28"/>
      <w:lang w:val="en-US" w:eastAsia="en-US"/>
    </w:rPr>
  </w:style>
  <w:style w:type="paragraph" w:customStyle="1" w:styleId="MainHeading24pt">
    <w:name w:val="Main Heading 24pt"/>
    <w:qFormat/>
    <w:rsid w:val="005D1524"/>
    <w:rPr>
      <w:rFonts w:ascii="Arial" w:hAnsi="Arial"/>
      <w:b/>
      <w:color w:val="64AFE1" w:themeColor="accent2"/>
      <w:sz w:val="48"/>
      <w:szCs w:val="48"/>
      <w:lang w:val="en-US" w:eastAsia="en-US"/>
    </w:rPr>
  </w:style>
  <w:style w:type="paragraph" w:customStyle="1" w:styleId="Pa5">
    <w:name w:val="Pa5"/>
    <w:basedOn w:val="Default"/>
    <w:next w:val="Default"/>
    <w:uiPriority w:val="99"/>
    <w:rsid w:val="003D155F"/>
    <w:pPr>
      <w:spacing w:line="241" w:lineRule="atLeast"/>
    </w:pPr>
    <w:rPr>
      <w:color w:val="auto"/>
      <w:lang w:eastAsia="en-GB"/>
    </w:rPr>
  </w:style>
  <w:style w:type="character" w:styleId="PageNumber">
    <w:name w:val="page number"/>
    <w:basedOn w:val="DefaultParagraphFont"/>
    <w:unhideWhenUsed/>
    <w:rsid w:val="002F2963"/>
  </w:style>
  <w:style w:type="paragraph" w:customStyle="1" w:styleId="Strapline">
    <w:name w:val="Strapline"/>
    <w:qFormat/>
    <w:rsid w:val="00AD28A4"/>
    <w:pPr>
      <w:spacing w:after="140"/>
    </w:pPr>
    <w:rPr>
      <w:rFonts w:ascii="Arial" w:eastAsiaTheme="minorHAnsi" w:hAnsi="Arial" w:cstheme="minorBidi"/>
      <w:color w:val="939290" w:themeColor="text1" w:themeTint="A6"/>
      <w:sz w:val="44"/>
      <w:szCs w:val="24"/>
      <w:lang w:val="en-US" w:eastAsia="en-US"/>
    </w:rPr>
  </w:style>
  <w:style w:type="paragraph" w:customStyle="1" w:styleId="Bodytext9pt">
    <w:name w:val="Bodytext 9pt"/>
    <w:basedOn w:val="Normal"/>
    <w:qFormat/>
    <w:rsid w:val="006D6E1D"/>
    <w:pPr>
      <w:spacing w:after="120"/>
    </w:pPr>
    <w:rPr>
      <w:rFonts w:eastAsiaTheme="minorHAnsi" w:cstheme="minorBidi"/>
      <w:color w:val="000000"/>
      <w:sz w:val="18"/>
      <w:szCs w:val="18"/>
    </w:rPr>
  </w:style>
  <w:style w:type="paragraph" w:customStyle="1" w:styleId="Standfirst12pt">
    <w:name w:val="Standfirst 12pt"/>
    <w:qFormat/>
    <w:rsid w:val="006D6E1D"/>
    <w:pPr>
      <w:spacing w:before="320" w:after="400"/>
    </w:pPr>
    <w:rPr>
      <w:rFonts w:ascii="Arial" w:eastAsiaTheme="minorHAnsi" w:hAnsi="Arial" w:cs="Arial"/>
      <w:bCs/>
      <w:sz w:val="24"/>
      <w:szCs w:val="23"/>
      <w:lang w:eastAsia="en-US"/>
    </w:rPr>
  </w:style>
  <w:style w:type="character" w:customStyle="1" w:styleId="Heading2Char">
    <w:name w:val="Heading 2 Char"/>
    <w:aliases w:val="Section Headings Char"/>
    <w:basedOn w:val="DefaultParagraphFont"/>
    <w:link w:val="Heading2"/>
    <w:rsid w:val="006D6E1D"/>
    <w:rPr>
      <w:rFonts w:ascii="Arial" w:eastAsiaTheme="majorEastAsia" w:hAnsi="Arial" w:cs="Arial"/>
      <w:b/>
      <w:bCs/>
      <w:sz w:val="22"/>
      <w:szCs w:val="22"/>
      <w:lang w:val="en-US" w:eastAsia="en-US"/>
    </w:rPr>
  </w:style>
  <w:style w:type="character" w:styleId="IntenseEmphasis">
    <w:name w:val="Intense Emphasis"/>
    <w:basedOn w:val="DefaultParagraphFont"/>
    <w:uiPriority w:val="21"/>
    <w:qFormat/>
    <w:rsid w:val="005D1524"/>
    <w:rPr>
      <w:i/>
      <w:iCs/>
      <w:color w:val="64AFE1" w:themeColor="accent2"/>
    </w:rPr>
  </w:style>
  <w:style w:type="character" w:styleId="IntenseReference">
    <w:name w:val="Intense Reference"/>
    <w:basedOn w:val="DefaultParagraphFont"/>
    <w:uiPriority w:val="32"/>
    <w:qFormat/>
    <w:rsid w:val="005D1524"/>
    <w:rPr>
      <w:b/>
      <w:bCs/>
      <w:smallCaps/>
      <w:color w:val="64AFE1" w:themeColor="accent2"/>
      <w:spacing w:val="5"/>
    </w:rPr>
  </w:style>
  <w:style w:type="paragraph" w:styleId="IntenseQuote">
    <w:name w:val="Intense Quote"/>
    <w:basedOn w:val="Normal"/>
    <w:next w:val="Normal"/>
    <w:link w:val="IntenseQuoteChar"/>
    <w:uiPriority w:val="30"/>
    <w:qFormat/>
    <w:rsid w:val="00737B96"/>
    <w:pPr>
      <w:pBdr>
        <w:top w:val="single" w:sz="4" w:space="10" w:color="64AFE1" w:themeColor="accent2"/>
        <w:bottom w:val="single" w:sz="4" w:space="10" w:color="64AFE1" w:themeColor="accent2"/>
      </w:pBdr>
      <w:spacing w:before="360" w:after="360"/>
      <w:ind w:left="864" w:right="864"/>
      <w:jc w:val="center"/>
    </w:pPr>
    <w:rPr>
      <w:i/>
      <w:iCs/>
      <w:color w:val="64AFE1" w:themeColor="accent2"/>
    </w:rPr>
  </w:style>
  <w:style w:type="character" w:customStyle="1" w:styleId="IntenseQuoteChar">
    <w:name w:val="Intense Quote Char"/>
    <w:basedOn w:val="DefaultParagraphFont"/>
    <w:link w:val="IntenseQuote"/>
    <w:uiPriority w:val="30"/>
    <w:rsid w:val="00737B96"/>
    <w:rPr>
      <w:rFonts w:ascii="Arial" w:hAnsi="Arial"/>
      <w:i/>
      <w:iCs/>
      <w:color w:val="64AFE1" w:themeColor="accent2"/>
      <w:sz w:val="22"/>
      <w:szCs w:val="24"/>
      <w:lang w:val="en-US" w:eastAsia="en-US"/>
    </w:rPr>
  </w:style>
  <w:style w:type="paragraph" w:styleId="NoSpacing">
    <w:name w:val="No Spacing"/>
    <w:link w:val="NoSpacingChar"/>
    <w:uiPriority w:val="1"/>
    <w:qFormat/>
    <w:rsid w:val="006D6E1D"/>
    <w:rPr>
      <w:rFonts w:ascii="Arial" w:hAnsi="Arial"/>
      <w:sz w:val="22"/>
      <w:szCs w:val="24"/>
      <w:lang w:val="en-US" w:eastAsia="en-US"/>
    </w:rPr>
  </w:style>
  <w:style w:type="paragraph" w:styleId="Title">
    <w:name w:val="Title"/>
    <w:basedOn w:val="Normal"/>
    <w:next w:val="Normal"/>
    <w:link w:val="TitleChar"/>
    <w:qFormat/>
    <w:rsid w:val="006D6E1D"/>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rsid w:val="006D6E1D"/>
    <w:rPr>
      <w:rFonts w:ascii="Arial" w:eastAsiaTheme="majorEastAsia" w:hAnsi="Arial" w:cstheme="majorBidi"/>
      <w:spacing w:val="-10"/>
      <w:kern w:val="28"/>
      <w:sz w:val="56"/>
      <w:szCs w:val="56"/>
      <w:lang w:val="en-US" w:eastAsia="en-US"/>
    </w:rPr>
  </w:style>
  <w:style w:type="paragraph" w:styleId="Subtitle">
    <w:name w:val="Subtitle"/>
    <w:basedOn w:val="Normal"/>
    <w:next w:val="Normal"/>
    <w:link w:val="SubtitleChar"/>
    <w:uiPriority w:val="11"/>
    <w:qFormat/>
    <w:rsid w:val="006D6E1D"/>
    <w:pPr>
      <w:numPr>
        <w:ilvl w:val="1"/>
      </w:numPr>
      <w:spacing w:after="160"/>
    </w:pPr>
    <w:rPr>
      <w:rFonts w:eastAsiaTheme="minorEastAsia" w:cstheme="minorBidi"/>
      <w:color w:val="949291" w:themeColor="text1" w:themeTint="A5"/>
      <w:spacing w:val="15"/>
      <w:szCs w:val="22"/>
    </w:rPr>
  </w:style>
  <w:style w:type="character" w:customStyle="1" w:styleId="SubtitleChar">
    <w:name w:val="Subtitle Char"/>
    <w:basedOn w:val="DefaultParagraphFont"/>
    <w:link w:val="Subtitle"/>
    <w:uiPriority w:val="11"/>
    <w:rsid w:val="006D6E1D"/>
    <w:rPr>
      <w:rFonts w:ascii="Arial" w:eastAsiaTheme="minorEastAsia" w:hAnsi="Arial" w:cstheme="minorBidi"/>
      <w:color w:val="949291" w:themeColor="text1" w:themeTint="A5"/>
      <w:spacing w:val="15"/>
      <w:sz w:val="22"/>
      <w:szCs w:val="22"/>
      <w:lang w:val="en-US" w:eastAsia="en-US"/>
    </w:rPr>
  </w:style>
  <w:style w:type="character" w:styleId="SubtleEmphasis">
    <w:name w:val="Subtle Emphasis"/>
    <w:basedOn w:val="DefaultParagraphFont"/>
    <w:uiPriority w:val="19"/>
    <w:qFormat/>
    <w:rsid w:val="006D6E1D"/>
    <w:rPr>
      <w:rFonts w:ascii="Arial" w:hAnsi="Arial"/>
      <w:i/>
      <w:iCs/>
      <w:color w:val="838180" w:themeColor="text1" w:themeTint="BF"/>
    </w:rPr>
  </w:style>
  <w:style w:type="character" w:styleId="Emphasis">
    <w:name w:val="Emphasis"/>
    <w:basedOn w:val="DefaultParagraphFont"/>
    <w:uiPriority w:val="20"/>
    <w:qFormat/>
    <w:rsid w:val="006D6E1D"/>
    <w:rPr>
      <w:rFonts w:ascii="Arial" w:hAnsi="Arial"/>
      <w:i/>
      <w:iCs/>
      <w:sz w:val="20"/>
    </w:rPr>
  </w:style>
  <w:style w:type="character" w:styleId="Strong">
    <w:name w:val="Strong"/>
    <w:basedOn w:val="DefaultParagraphFont"/>
    <w:uiPriority w:val="22"/>
    <w:qFormat/>
    <w:rsid w:val="006D6E1D"/>
    <w:rPr>
      <w:rFonts w:ascii="Arial" w:hAnsi="Arial"/>
      <w:b/>
      <w:bCs/>
      <w:sz w:val="22"/>
    </w:rPr>
  </w:style>
  <w:style w:type="character" w:styleId="BookTitle">
    <w:name w:val="Book Title"/>
    <w:basedOn w:val="DefaultParagraphFont"/>
    <w:uiPriority w:val="33"/>
    <w:qFormat/>
    <w:rsid w:val="006D6E1D"/>
    <w:rPr>
      <w:rFonts w:ascii="Arial" w:hAnsi="Arial"/>
      <w:b/>
      <w:bCs/>
      <w:i/>
      <w:iCs/>
      <w:spacing w:val="5"/>
    </w:rPr>
  </w:style>
  <w:style w:type="paragraph" w:customStyle="1" w:styleId="Introorstandfirst">
    <w:name w:val="Intro or standfirst"/>
    <w:qFormat/>
    <w:rsid w:val="00D82F1F"/>
    <w:pPr>
      <w:spacing w:before="120" w:after="360"/>
    </w:pPr>
    <w:rPr>
      <w:rFonts w:ascii="Arial" w:hAnsi="Arial" w:cs="Arial"/>
      <w:bCs/>
      <w:color w:val="808080" w:themeColor="background1" w:themeShade="80"/>
      <w:sz w:val="28"/>
      <w:szCs w:val="23"/>
      <w:lang w:eastAsia="en-US"/>
    </w:rPr>
  </w:style>
  <w:style w:type="paragraph" w:styleId="FootnoteText">
    <w:name w:val="footnote text"/>
    <w:basedOn w:val="Normal"/>
    <w:link w:val="FootnoteTextChar"/>
    <w:unhideWhenUsed/>
    <w:rsid w:val="00CD376B"/>
    <w:rPr>
      <w:color w:val="595857" w:themeColor="text1"/>
      <w:sz w:val="20"/>
      <w:szCs w:val="20"/>
    </w:rPr>
  </w:style>
  <w:style w:type="character" w:customStyle="1" w:styleId="FootnoteTextChar">
    <w:name w:val="Footnote Text Char"/>
    <w:basedOn w:val="DefaultParagraphFont"/>
    <w:link w:val="FootnoteText"/>
    <w:rsid w:val="00CD376B"/>
    <w:rPr>
      <w:rFonts w:ascii="Arial" w:hAnsi="Arial"/>
      <w:color w:val="595857" w:themeColor="text1"/>
      <w:lang w:val="en-US" w:eastAsia="en-US"/>
    </w:rPr>
  </w:style>
  <w:style w:type="character" w:styleId="FootnoteReference">
    <w:name w:val="footnote reference"/>
    <w:aliases w:val="PD Footnote Reference"/>
    <w:basedOn w:val="DefaultParagraphFont"/>
    <w:unhideWhenUsed/>
    <w:rsid w:val="00CD376B"/>
    <w:rPr>
      <w:vertAlign w:val="superscript"/>
    </w:rPr>
  </w:style>
  <w:style w:type="character" w:styleId="UnresolvedMention">
    <w:name w:val="Unresolved Mention"/>
    <w:basedOn w:val="DefaultParagraphFont"/>
    <w:uiPriority w:val="99"/>
    <w:rsid w:val="00BB5C81"/>
    <w:rPr>
      <w:color w:val="605E5C"/>
      <w:shd w:val="clear" w:color="auto" w:fill="E1DFDD"/>
    </w:rPr>
  </w:style>
  <w:style w:type="character" w:styleId="FollowedHyperlink">
    <w:name w:val="FollowedHyperlink"/>
    <w:basedOn w:val="DefaultParagraphFont"/>
    <w:unhideWhenUsed/>
    <w:rsid w:val="00DF12B8"/>
    <w:rPr>
      <w:color w:val="293A95" w:themeColor="followedHyperlink"/>
      <w:u w:val="single"/>
    </w:rPr>
  </w:style>
  <w:style w:type="character" w:customStyle="1" w:styleId="Heading3Char">
    <w:name w:val="Heading 3 Char"/>
    <w:aliases w:val="Sub heading Char"/>
    <w:basedOn w:val="DefaultParagraphFont"/>
    <w:link w:val="Heading3"/>
    <w:rsid w:val="006C0F85"/>
    <w:rPr>
      <w:rFonts w:asciiTheme="majorHAnsi" w:eastAsiaTheme="majorEastAsia" w:hAnsiTheme="majorHAnsi" w:cstheme="majorBidi"/>
      <w:color w:val="141C49" w:themeColor="accent1" w:themeShade="7F"/>
      <w:sz w:val="24"/>
      <w:szCs w:val="24"/>
      <w:lang w:val="en-US" w:eastAsia="en-US"/>
    </w:rPr>
  </w:style>
  <w:style w:type="paragraph" w:customStyle="1" w:styleId="Footer1">
    <w:name w:val="Footer1"/>
    <w:basedOn w:val="Normal"/>
    <w:qFormat/>
    <w:rsid w:val="00D52853"/>
    <w:pPr>
      <w:framePr w:hSpace="181" w:wrap="around" w:vAnchor="page" w:hAnchor="page" w:x="1046" w:y="16025"/>
    </w:pPr>
    <w:rPr>
      <w:b/>
      <w:color w:val="FF6600"/>
      <w:sz w:val="16"/>
      <w:szCs w:val="16"/>
    </w:rPr>
  </w:style>
  <w:style w:type="character" w:customStyle="1" w:styleId="Heading4Char">
    <w:name w:val="Heading 4 Char"/>
    <w:aliases w:val="Faculty Heading Char"/>
    <w:basedOn w:val="DefaultParagraphFont"/>
    <w:link w:val="Heading4"/>
    <w:uiPriority w:val="9"/>
    <w:rsid w:val="000B1774"/>
    <w:rPr>
      <w:rFonts w:ascii="Arial" w:eastAsiaTheme="majorEastAsia" w:hAnsi="Arial" w:cstheme="majorBidi"/>
      <w:b/>
      <w:bCs/>
      <w:iCs/>
      <w:color w:val="AB1F4E" w:themeColor="accent5"/>
      <w:sz w:val="22"/>
      <w:szCs w:val="24"/>
      <w:lang w:val="en-US" w:eastAsia="en-US"/>
    </w:rPr>
  </w:style>
  <w:style w:type="character" w:customStyle="1" w:styleId="Heading5Char">
    <w:name w:val="Heading 5 Char"/>
    <w:aliases w:val="Online Academy Heading Char"/>
    <w:basedOn w:val="DefaultParagraphFont"/>
    <w:link w:val="Heading5"/>
    <w:rsid w:val="000B1774"/>
    <w:rPr>
      <w:rFonts w:asciiTheme="majorHAnsi" w:eastAsiaTheme="majorEastAsia" w:hAnsiTheme="majorHAnsi" w:cstheme="majorBidi"/>
      <w:b/>
      <w:bCs/>
      <w:color w:val="E73443" w:themeColor="accent6"/>
      <w:sz w:val="32"/>
      <w:szCs w:val="22"/>
    </w:rPr>
  </w:style>
  <w:style w:type="character" w:customStyle="1" w:styleId="Heading6Char">
    <w:name w:val="Heading 6 Char"/>
    <w:basedOn w:val="DefaultParagraphFont"/>
    <w:link w:val="Heading6"/>
    <w:rsid w:val="000B1774"/>
    <w:rPr>
      <w:rFonts w:asciiTheme="majorHAnsi" w:eastAsiaTheme="majorEastAsia" w:hAnsiTheme="majorHAnsi" w:cstheme="majorBidi"/>
      <w:color w:val="278ACB" w:themeColor="accent2" w:themeShade="BF"/>
      <w:sz w:val="22"/>
      <w:szCs w:val="22"/>
    </w:rPr>
  </w:style>
  <w:style w:type="character" w:customStyle="1" w:styleId="Heading7Char">
    <w:name w:val="Heading 7 Char"/>
    <w:basedOn w:val="DefaultParagraphFont"/>
    <w:link w:val="Heading7"/>
    <w:rsid w:val="000B1774"/>
    <w:rPr>
      <w:rFonts w:asciiTheme="majorHAnsi" w:eastAsiaTheme="majorEastAsia" w:hAnsiTheme="majorHAnsi" w:cstheme="majorBidi"/>
      <w:i/>
      <w:iCs/>
      <w:color w:val="141C49" w:themeColor="accent1" w:themeShade="7F"/>
      <w:sz w:val="22"/>
      <w:szCs w:val="24"/>
      <w:lang w:val="en-US" w:eastAsia="en-US"/>
    </w:rPr>
  </w:style>
  <w:style w:type="character" w:customStyle="1" w:styleId="Heading8Char">
    <w:name w:val="Heading 8 Char"/>
    <w:basedOn w:val="DefaultParagraphFont"/>
    <w:link w:val="Heading8"/>
    <w:uiPriority w:val="9"/>
    <w:semiHidden/>
    <w:rsid w:val="000B1774"/>
    <w:rPr>
      <w:rFonts w:asciiTheme="majorHAnsi" w:eastAsiaTheme="majorEastAsia" w:hAnsiTheme="majorHAnsi" w:cstheme="majorBidi"/>
      <w:i/>
      <w:iCs/>
      <w:color w:val="64AFE1" w:themeColor="accent2"/>
    </w:rPr>
  </w:style>
  <w:style w:type="character" w:customStyle="1" w:styleId="Heading9Char">
    <w:name w:val="Heading 9 Char"/>
    <w:basedOn w:val="DefaultParagraphFont"/>
    <w:link w:val="Heading9"/>
    <w:rsid w:val="000B1774"/>
    <w:rPr>
      <w:rFonts w:asciiTheme="majorHAnsi" w:eastAsiaTheme="majorEastAsia" w:hAnsiTheme="majorHAnsi" w:cstheme="majorBidi"/>
      <w:i/>
      <w:iCs/>
      <w:color w:val="64AFE1" w:themeColor="accent2"/>
    </w:rPr>
  </w:style>
  <w:style w:type="paragraph" w:customStyle="1" w:styleId="Heading20">
    <w:name w:val="Heading2"/>
    <w:qFormat/>
    <w:rsid w:val="000B1774"/>
    <w:pPr>
      <w:spacing w:before="240" w:after="60"/>
    </w:pPr>
    <w:rPr>
      <w:rFonts w:ascii="Arial" w:hAnsi="Arial"/>
      <w:b/>
      <w:color w:val="FF6600" w:themeColor="background2"/>
      <w:sz w:val="24"/>
      <w:szCs w:val="24"/>
      <w:lang w:val="en-US" w:eastAsia="en-US"/>
    </w:rPr>
  </w:style>
  <w:style w:type="paragraph" w:customStyle="1" w:styleId="Identifierdescription">
    <w:name w:val="Identifier description"/>
    <w:basedOn w:val="Identifierheader"/>
    <w:qFormat/>
    <w:rsid w:val="000B1774"/>
    <w:rPr>
      <w:b w:val="0"/>
      <w:color w:val="474645"/>
      <w:sz w:val="22"/>
    </w:rPr>
  </w:style>
  <w:style w:type="paragraph" w:customStyle="1" w:styleId="Mainheading">
    <w:name w:val="Main heading"/>
    <w:qFormat/>
    <w:rsid w:val="000B1774"/>
    <w:pPr>
      <w:tabs>
        <w:tab w:val="right" w:pos="9858"/>
      </w:tabs>
      <w:spacing w:before="1200"/>
    </w:pPr>
    <w:rPr>
      <w:rFonts w:ascii="Arial" w:hAnsi="Arial" w:cs="Arial"/>
      <w:b/>
      <w:bCs/>
      <w:color w:val="FF6600"/>
      <w:sz w:val="64"/>
      <w:szCs w:val="24"/>
      <w:lang w:eastAsia="en-US"/>
    </w:rPr>
  </w:style>
  <w:style w:type="paragraph" w:customStyle="1" w:styleId="Sectionheading">
    <w:name w:val="Section heading"/>
    <w:qFormat/>
    <w:rsid w:val="000B1774"/>
    <w:pPr>
      <w:spacing w:after="120"/>
    </w:pPr>
    <w:rPr>
      <w:rFonts w:ascii="Arial" w:hAnsi="Arial" w:cs="Arial-BoldMT"/>
      <w:b/>
      <w:bCs/>
      <w:color w:val="44546A" w:themeColor="text2"/>
      <w:sz w:val="40"/>
      <w:szCs w:val="40"/>
      <w:lang w:eastAsia="en-US"/>
    </w:rPr>
  </w:style>
  <w:style w:type="paragraph" w:customStyle="1" w:styleId="Subheading1">
    <w:name w:val="Subheading1"/>
    <w:rsid w:val="000B1774"/>
    <w:pPr>
      <w:spacing w:before="240" w:after="60"/>
      <w:contextualSpacing/>
    </w:pPr>
    <w:rPr>
      <w:rFonts w:ascii="Arial" w:hAnsi="Arial" w:cs="Arial"/>
      <w:b/>
      <w:bCs/>
      <w:color w:val="01818F" w:themeColor="accent3"/>
      <w:sz w:val="28"/>
      <w:szCs w:val="24"/>
      <w:lang w:eastAsia="en-US"/>
    </w:rPr>
  </w:style>
  <w:style w:type="paragraph" w:styleId="BalloonText">
    <w:name w:val="Balloon Text"/>
    <w:basedOn w:val="Normal"/>
    <w:link w:val="BalloonTextChar"/>
    <w:unhideWhenUsed/>
    <w:rsid w:val="000B1774"/>
    <w:rPr>
      <w:rFonts w:ascii="Lucida Grande" w:hAnsi="Lucida Grande" w:cs="Lucida Grande"/>
      <w:color w:val="595857" w:themeColor="text1"/>
      <w:szCs w:val="18"/>
    </w:rPr>
  </w:style>
  <w:style w:type="character" w:customStyle="1" w:styleId="BalloonTextChar">
    <w:name w:val="Balloon Text Char"/>
    <w:basedOn w:val="DefaultParagraphFont"/>
    <w:link w:val="BalloonText"/>
    <w:rsid w:val="000B1774"/>
    <w:rPr>
      <w:rFonts w:ascii="Lucida Grande" w:hAnsi="Lucida Grande" w:cs="Lucida Grande"/>
      <w:color w:val="595857" w:themeColor="text1"/>
      <w:sz w:val="22"/>
      <w:szCs w:val="18"/>
      <w:lang w:val="en-US" w:eastAsia="en-US"/>
    </w:rPr>
  </w:style>
  <w:style w:type="character" w:styleId="SubtleReference">
    <w:name w:val="Subtle Reference"/>
    <w:uiPriority w:val="31"/>
    <w:qFormat/>
    <w:rsid w:val="000B1774"/>
    <w:rPr>
      <w:color w:val="595857"/>
      <w:sz w:val="18"/>
      <w:szCs w:val="18"/>
    </w:rPr>
  </w:style>
  <w:style w:type="paragraph" w:customStyle="1" w:styleId="Identifierdescription-white">
    <w:name w:val="Identifier description - white"/>
    <w:basedOn w:val="Identifierdescription"/>
    <w:qFormat/>
    <w:rsid w:val="000B1774"/>
    <w:rPr>
      <w:color w:val="FFFFFF" w:themeColor="background1"/>
    </w:rPr>
  </w:style>
  <w:style w:type="paragraph" w:customStyle="1" w:styleId="Identifierheader-white">
    <w:name w:val="Identifier header - white"/>
    <w:basedOn w:val="Identifierheader"/>
    <w:qFormat/>
    <w:rsid w:val="000B1774"/>
    <w:rPr>
      <w:color w:val="FFFFFF" w:themeColor="background1"/>
      <w:sz w:val="22"/>
    </w:rPr>
  </w:style>
  <w:style w:type="paragraph" w:customStyle="1" w:styleId="eventdetails-masthead">
    <w:name w:val="event details - masthead"/>
    <w:basedOn w:val="Strapline"/>
    <w:qFormat/>
    <w:rsid w:val="000B1774"/>
    <w:pPr>
      <w:spacing w:before="240" w:after="600"/>
    </w:pPr>
    <w:rPr>
      <w:rFonts w:eastAsia="SimSun" w:cs="Times New Roman"/>
      <w:color w:val="FFFFFF" w:themeColor="background1"/>
      <w:sz w:val="32"/>
      <w:szCs w:val="32"/>
    </w:rPr>
  </w:style>
  <w:style w:type="paragraph" w:customStyle="1" w:styleId="eventdetails-grey">
    <w:name w:val="event details - grey"/>
    <w:basedOn w:val="eventdetails-masthead"/>
    <w:qFormat/>
    <w:rsid w:val="000B1774"/>
    <w:pPr>
      <w:spacing w:before="0"/>
    </w:pPr>
    <w:rPr>
      <w:color w:val="FFA366" w:themeColor="background2" w:themeTint="99"/>
    </w:rPr>
  </w:style>
  <w:style w:type="character" w:styleId="CommentReference">
    <w:name w:val="annotation reference"/>
    <w:unhideWhenUsed/>
    <w:rsid w:val="000B1774"/>
    <w:rPr>
      <w:sz w:val="16"/>
      <w:szCs w:val="16"/>
    </w:rPr>
  </w:style>
  <w:style w:type="paragraph" w:styleId="CommentText">
    <w:name w:val="annotation text"/>
    <w:basedOn w:val="Normal"/>
    <w:link w:val="CommentTextChar"/>
    <w:unhideWhenUsed/>
    <w:rsid w:val="000B1774"/>
    <w:rPr>
      <w:rFonts w:ascii="Times New Roman" w:eastAsia="Times New Roman" w:hAnsi="Times New Roman"/>
      <w:sz w:val="20"/>
      <w:szCs w:val="20"/>
      <w:lang w:val="en-GB" w:eastAsia="en-GB"/>
    </w:rPr>
  </w:style>
  <w:style w:type="character" w:customStyle="1" w:styleId="CommentTextChar">
    <w:name w:val="Comment Text Char"/>
    <w:basedOn w:val="DefaultParagraphFont"/>
    <w:link w:val="CommentText"/>
    <w:rsid w:val="000B1774"/>
    <w:rPr>
      <w:rFonts w:ascii="Times New Roman" w:eastAsia="Times New Roman" w:hAnsi="Times New Roman"/>
    </w:rPr>
  </w:style>
  <w:style w:type="paragraph" w:styleId="Caption">
    <w:name w:val="caption"/>
    <w:basedOn w:val="Normal"/>
    <w:next w:val="Normal"/>
    <w:unhideWhenUsed/>
    <w:qFormat/>
    <w:rsid w:val="000B1774"/>
    <w:rPr>
      <w:rFonts w:ascii="Times New Roman" w:eastAsia="Times New Roman" w:hAnsi="Times New Roman"/>
      <w:b/>
      <w:bCs/>
      <w:color w:val="278ACB" w:themeColor="accent2" w:themeShade="BF"/>
      <w:sz w:val="18"/>
      <w:szCs w:val="18"/>
      <w:lang w:val="en-GB" w:eastAsia="en-GB"/>
    </w:rPr>
  </w:style>
  <w:style w:type="character" w:customStyle="1" w:styleId="NoSpacingChar">
    <w:name w:val="No Spacing Char"/>
    <w:basedOn w:val="DefaultParagraphFont"/>
    <w:link w:val="NoSpacing"/>
    <w:uiPriority w:val="1"/>
    <w:rsid w:val="000B1774"/>
    <w:rPr>
      <w:rFonts w:ascii="Arial" w:hAnsi="Arial"/>
      <w:sz w:val="22"/>
      <w:szCs w:val="24"/>
      <w:lang w:val="en-US" w:eastAsia="en-US"/>
    </w:rPr>
  </w:style>
  <w:style w:type="paragraph" w:styleId="Quote">
    <w:name w:val="Quote"/>
    <w:basedOn w:val="Normal"/>
    <w:next w:val="Normal"/>
    <w:link w:val="QuoteChar"/>
    <w:uiPriority w:val="29"/>
    <w:qFormat/>
    <w:rsid w:val="000B1774"/>
    <w:rPr>
      <w:rFonts w:eastAsia="Times New Roman"/>
      <w:i/>
      <w:iCs/>
      <w:sz w:val="20"/>
      <w:szCs w:val="20"/>
      <w:lang w:val="en-GB" w:eastAsia="en-GB"/>
    </w:rPr>
  </w:style>
  <w:style w:type="character" w:customStyle="1" w:styleId="QuoteChar">
    <w:name w:val="Quote Char"/>
    <w:basedOn w:val="DefaultParagraphFont"/>
    <w:link w:val="Quote"/>
    <w:uiPriority w:val="29"/>
    <w:rsid w:val="000B1774"/>
    <w:rPr>
      <w:rFonts w:ascii="Arial" w:eastAsia="Times New Roman" w:hAnsi="Arial"/>
      <w:i/>
      <w:iCs/>
    </w:rPr>
  </w:style>
  <w:style w:type="paragraph" w:styleId="TOCHeading">
    <w:name w:val="TOC Heading"/>
    <w:basedOn w:val="Heading1"/>
    <w:next w:val="Normal"/>
    <w:uiPriority w:val="39"/>
    <w:semiHidden/>
    <w:unhideWhenUsed/>
    <w:qFormat/>
    <w:rsid w:val="000B1774"/>
    <w:pPr>
      <w:keepNext w:val="0"/>
      <w:keepLines w:val="0"/>
      <w:spacing w:before="480" w:after="100"/>
      <w:outlineLvl w:val="9"/>
    </w:pPr>
    <w:rPr>
      <w:rFonts w:asciiTheme="majorHAnsi" w:eastAsiaTheme="majorEastAsia" w:hAnsiTheme="majorHAnsi" w:cstheme="majorBidi"/>
      <w:bCs/>
      <w:color w:val="auto"/>
      <w:sz w:val="28"/>
      <w:szCs w:val="22"/>
      <w:lang w:val="en-GB" w:eastAsia="en-GB" w:bidi="en-US"/>
      <w14:textOutline w14:w="9525" w14:cap="rnd" w14:cmpd="sng" w14:algn="ctr">
        <w14:noFill/>
        <w14:prstDash w14:val="solid"/>
        <w14:bevel/>
      </w14:textOutline>
    </w:rPr>
  </w:style>
  <w:style w:type="paragraph" w:customStyle="1" w:styleId="HealthcareCostingforValue">
    <w:name w:val="Healthcare Costing for Value"/>
    <w:basedOn w:val="Heading5"/>
    <w:link w:val="HealthcareCostingforValueChar"/>
    <w:uiPriority w:val="10"/>
    <w:qFormat/>
    <w:rsid w:val="000B1774"/>
    <w:rPr>
      <w:color w:val="D13F97"/>
    </w:rPr>
  </w:style>
  <w:style w:type="character" w:customStyle="1" w:styleId="HealthcareCostingforValueChar">
    <w:name w:val="Healthcare Costing for Value Char"/>
    <w:basedOn w:val="Heading5Char"/>
    <w:link w:val="HealthcareCostingforValue"/>
    <w:uiPriority w:val="10"/>
    <w:rsid w:val="000B1774"/>
    <w:rPr>
      <w:rFonts w:asciiTheme="majorHAnsi" w:eastAsiaTheme="majorEastAsia" w:hAnsiTheme="majorHAnsi" w:cstheme="majorBidi"/>
      <w:b/>
      <w:bCs/>
      <w:color w:val="D13F97"/>
      <w:sz w:val="32"/>
      <w:szCs w:val="22"/>
    </w:rPr>
  </w:style>
  <w:style w:type="paragraph" w:styleId="BodyText0">
    <w:name w:val="Body Text"/>
    <w:basedOn w:val="Normal"/>
    <w:link w:val="BodyTextChar"/>
    <w:rsid w:val="000B1774"/>
    <w:rPr>
      <w:rFonts w:eastAsia="Times New Roman"/>
      <w:sz w:val="24"/>
      <w:szCs w:val="20"/>
      <w:lang w:val="en-GB" w:eastAsia="en-GB"/>
    </w:rPr>
  </w:style>
  <w:style w:type="character" w:customStyle="1" w:styleId="BodyTextChar">
    <w:name w:val="Body Text Char"/>
    <w:basedOn w:val="DefaultParagraphFont"/>
    <w:link w:val="BodyText0"/>
    <w:rsid w:val="000B1774"/>
    <w:rPr>
      <w:rFonts w:ascii="Arial" w:eastAsia="Times New Roman" w:hAnsi="Arial"/>
      <w:sz w:val="24"/>
    </w:rPr>
  </w:style>
  <w:style w:type="paragraph" w:styleId="CommentSubject">
    <w:name w:val="annotation subject"/>
    <w:basedOn w:val="CommentText"/>
    <w:next w:val="CommentText"/>
    <w:link w:val="CommentSubjectChar"/>
    <w:unhideWhenUsed/>
    <w:rsid w:val="000B1774"/>
    <w:rPr>
      <w:b/>
      <w:bCs/>
    </w:rPr>
  </w:style>
  <w:style w:type="character" w:customStyle="1" w:styleId="CommentSubjectChar">
    <w:name w:val="Comment Subject Char"/>
    <w:basedOn w:val="CommentTextChar"/>
    <w:link w:val="CommentSubject"/>
    <w:rsid w:val="000B1774"/>
    <w:rPr>
      <w:rFonts w:ascii="Times New Roman" w:eastAsia="Times New Roman" w:hAnsi="Times New Roman"/>
      <w:b/>
      <w:bCs/>
    </w:rPr>
  </w:style>
  <w:style w:type="numbering" w:customStyle="1" w:styleId="NoList1">
    <w:name w:val="No List1"/>
    <w:next w:val="NoList"/>
    <w:uiPriority w:val="99"/>
    <w:semiHidden/>
    <w:unhideWhenUsed/>
    <w:rsid w:val="000B1774"/>
  </w:style>
  <w:style w:type="paragraph" w:customStyle="1" w:styleId="Approval">
    <w:name w:val="Approval"/>
    <w:basedOn w:val="Normal"/>
    <w:next w:val="linespace"/>
    <w:rsid w:val="000B1774"/>
    <w:pPr>
      <w:spacing w:before="160" w:after="160" w:line="220" w:lineRule="atLeast"/>
      <w:jc w:val="center"/>
    </w:pPr>
    <w:rPr>
      <w:rFonts w:ascii="Times New Roman" w:eastAsia="Times New Roman" w:hAnsi="Times New Roman"/>
      <w:i/>
      <w:szCs w:val="20"/>
      <w:lang w:val="en-GB"/>
    </w:rPr>
  </w:style>
  <w:style w:type="paragraph" w:customStyle="1" w:styleId="linespace">
    <w:name w:val="linespace"/>
    <w:rsid w:val="000B1774"/>
    <w:pPr>
      <w:spacing w:line="240" w:lineRule="exact"/>
    </w:pPr>
    <w:rPr>
      <w:rFonts w:ascii="Times New Roman" w:eastAsia="Times New Roman" w:hAnsi="Times New Roman"/>
      <w:noProof/>
      <w:lang w:eastAsia="en-US"/>
    </w:rPr>
  </w:style>
  <w:style w:type="paragraph" w:customStyle="1" w:styleId="ArrHead">
    <w:name w:val="ArrHead"/>
    <w:basedOn w:val="Normal"/>
    <w:rsid w:val="000B1774"/>
    <w:pPr>
      <w:keepNext/>
      <w:tabs>
        <w:tab w:val="right" w:pos="8200"/>
      </w:tabs>
      <w:spacing w:before="480" w:after="120" w:line="220" w:lineRule="atLeast"/>
      <w:jc w:val="center"/>
    </w:pPr>
    <w:rPr>
      <w:rFonts w:ascii="Times New Roman" w:eastAsia="Times New Roman" w:hAnsi="Times New Roman"/>
      <w:caps/>
      <w:sz w:val="28"/>
      <w:szCs w:val="20"/>
      <w:lang w:val="en-GB"/>
    </w:rPr>
  </w:style>
  <w:style w:type="paragraph" w:customStyle="1" w:styleId="Banner">
    <w:name w:val="Banner"/>
    <w:next w:val="Number"/>
    <w:rsid w:val="000B1774"/>
    <w:pPr>
      <w:pBdr>
        <w:top w:val="single" w:sz="12" w:space="8" w:color="auto"/>
        <w:bottom w:val="single" w:sz="12" w:space="8" w:color="auto"/>
      </w:pBdr>
      <w:spacing w:after="480" w:line="230" w:lineRule="exact"/>
      <w:jc w:val="center"/>
    </w:pPr>
    <w:rPr>
      <w:rFonts w:ascii="Times New Roman" w:eastAsia="Times New Roman" w:hAnsi="Times New Roman"/>
      <w:caps/>
      <w:spacing w:val="74"/>
      <w:sz w:val="22"/>
      <w:lang w:eastAsia="en-US"/>
    </w:rPr>
  </w:style>
  <w:style w:type="paragraph" w:customStyle="1" w:styleId="Number">
    <w:name w:val="Number"/>
    <w:basedOn w:val="Normal"/>
    <w:next w:val="subject"/>
    <w:rsid w:val="000B1774"/>
    <w:pPr>
      <w:spacing w:after="320"/>
      <w:jc w:val="center"/>
    </w:pPr>
    <w:rPr>
      <w:rFonts w:ascii="Times New Roman" w:eastAsia="Times New Roman" w:hAnsi="Times New Roman"/>
      <w:b/>
      <w:sz w:val="32"/>
      <w:szCs w:val="20"/>
      <w:lang w:val="en-GB"/>
    </w:rPr>
  </w:style>
  <w:style w:type="paragraph" w:customStyle="1" w:styleId="subject">
    <w:name w:val="subject"/>
    <w:basedOn w:val="Normal"/>
    <w:next w:val="Subsub"/>
    <w:rsid w:val="000B1774"/>
    <w:pPr>
      <w:spacing w:after="320"/>
      <w:jc w:val="center"/>
    </w:pPr>
    <w:rPr>
      <w:rFonts w:ascii="Times New Roman" w:eastAsia="Times New Roman" w:hAnsi="Times New Roman"/>
      <w:b/>
      <w:caps/>
      <w:sz w:val="32"/>
      <w:szCs w:val="20"/>
      <w:lang w:val="en-GB"/>
    </w:rPr>
  </w:style>
  <w:style w:type="paragraph" w:customStyle="1" w:styleId="Subsub">
    <w:name w:val="Subsub"/>
    <w:basedOn w:val="Normal"/>
    <w:rsid w:val="000B1774"/>
    <w:pPr>
      <w:spacing w:after="360"/>
      <w:jc w:val="center"/>
    </w:pPr>
    <w:rPr>
      <w:rFonts w:ascii="Times New Roman" w:eastAsia="Times New Roman" w:hAnsi="Times New Roman"/>
      <w:b/>
      <w:caps/>
      <w:sz w:val="24"/>
      <w:szCs w:val="20"/>
      <w:lang w:val="en-GB"/>
    </w:rPr>
  </w:style>
  <w:style w:type="paragraph" w:customStyle="1" w:styleId="ColumnHeader">
    <w:name w:val="ColumnHeader"/>
    <w:basedOn w:val="Normal"/>
    <w:rsid w:val="000B1774"/>
    <w:pPr>
      <w:spacing w:before="40" w:line="220" w:lineRule="atLeast"/>
      <w:jc w:val="both"/>
    </w:pPr>
    <w:rPr>
      <w:rFonts w:ascii="Times New Roman" w:eastAsia="Times New Roman" w:hAnsi="Times New Roman"/>
      <w:i/>
      <w:sz w:val="21"/>
      <w:szCs w:val="20"/>
      <w:lang w:val="en-GB"/>
    </w:rPr>
  </w:style>
  <w:style w:type="paragraph" w:customStyle="1" w:styleId="Coming">
    <w:name w:val="Coming"/>
    <w:basedOn w:val="Normal"/>
    <w:next w:val="Pre"/>
    <w:rsid w:val="000B1774"/>
    <w:pPr>
      <w:tabs>
        <w:tab w:val="left" w:pos="3232"/>
        <w:tab w:val="left" w:pos="3629"/>
        <w:tab w:val="right" w:pos="6804"/>
      </w:tabs>
      <w:spacing w:line="220" w:lineRule="atLeast"/>
      <w:ind w:left="1711" w:right="1541" w:hanging="170"/>
      <w:jc w:val="both"/>
    </w:pPr>
    <w:rPr>
      <w:rFonts w:ascii="Times New Roman" w:eastAsia="Times New Roman" w:hAnsi="Times New Roman"/>
      <w:i/>
      <w:sz w:val="21"/>
      <w:szCs w:val="20"/>
      <w:lang w:val="en-GB"/>
    </w:rPr>
  </w:style>
  <w:style w:type="paragraph" w:customStyle="1" w:styleId="Pre">
    <w:name w:val="Pre"/>
    <w:basedOn w:val="Normal"/>
    <w:rsid w:val="000B1774"/>
    <w:pPr>
      <w:spacing w:before="360" w:line="220" w:lineRule="atLeast"/>
      <w:jc w:val="both"/>
    </w:pPr>
    <w:rPr>
      <w:rFonts w:ascii="Times New Roman" w:eastAsia="Times New Roman" w:hAnsi="Times New Roman"/>
      <w:sz w:val="21"/>
      <w:szCs w:val="20"/>
      <w:lang w:val="en-GB"/>
    </w:rPr>
  </w:style>
  <w:style w:type="paragraph" w:customStyle="1" w:styleId="ComingC">
    <w:name w:val="ComingC"/>
    <w:basedOn w:val="Coming"/>
    <w:rsid w:val="000B1774"/>
    <w:pPr>
      <w:tabs>
        <w:tab w:val="clear" w:pos="3232"/>
        <w:tab w:val="clear" w:pos="3629"/>
      </w:tabs>
      <w:spacing w:before="80"/>
      <w:ind w:left="1956" w:right="3400"/>
      <w:jc w:val="left"/>
    </w:pPr>
  </w:style>
  <w:style w:type="paragraph" w:customStyle="1" w:styleId="Confirmed">
    <w:name w:val="Confirmed"/>
    <w:basedOn w:val="Normal"/>
    <w:next w:val="linespace"/>
    <w:rsid w:val="000B1774"/>
    <w:pPr>
      <w:spacing w:after="240" w:line="220" w:lineRule="atLeast"/>
      <w:jc w:val="both"/>
    </w:pPr>
    <w:rPr>
      <w:rFonts w:ascii="Times New Roman" w:eastAsia="Times New Roman" w:hAnsi="Times New Roman"/>
      <w:i/>
      <w:sz w:val="21"/>
      <w:szCs w:val="20"/>
      <w:lang w:val="en-GB"/>
    </w:rPr>
  </w:style>
  <w:style w:type="paragraph" w:customStyle="1" w:styleId="Correction">
    <w:name w:val="Correction"/>
    <w:next w:val="Draft"/>
    <w:rsid w:val="000B1774"/>
    <w:pPr>
      <w:spacing w:after="240" w:line="220" w:lineRule="atLeast"/>
      <w:jc w:val="center"/>
    </w:pPr>
    <w:rPr>
      <w:rFonts w:ascii="Times New Roman" w:eastAsia="Times New Roman" w:hAnsi="Times New Roman"/>
      <w:i/>
      <w:sz w:val="21"/>
      <w:lang w:eastAsia="en-US"/>
    </w:rPr>
  </w:style>
  <w:style w:type="paragraph" w:customStyle="1" w:styleId="Draft">
    <w:name w:val="Draft"/>
    <w:basedOn w:val="Normal"/>
    <w:rsid w:val="000B1774"/>
    <w:pPr>
      <w:spacing w:after="240" w:line="220" w:lineRule="atLeast"/>
      <w:jc w:val="both"/>
    </w:pPr>
    <w:rPr>
      <w:rFonts w:ascii="Times New Roman" w:eastAsia="Times New Roman" w:hAnsi="Times New Roman"/>
      <w:i/>
      <w:sz w:val="21"/>
      <w:szCs w:val="20"/>
      <w:lang w:val="en-GB"/>
    </w:rPr>
  </w:style>
  <w:style w:type="paragraph" w:customStyle="1" w:styleId="DefPara">
    <w:name w:val="Def Para"/>
    <w:basedOn w:val="Normal"/>
    <w:rsid w:val="000B1774"/>
    <w:pPr>
      <w:spacing w:before="80" w:line="220" w:lineRule="atLeast"/>
      <w:ind w:left="340"/>
      <w:jc w:val="both"/>
    </w:pPr>
    <w:rPr>
      <w:rFonts w:ascii="Times New Roman" w:eastAsia="Times New Roman" w:hAnsi="Times New Roman"/>
      <w:sz w:val="21"/>
      <w:szCs w:val="20"/>
      <w:lang w:val="en-GB"/>
    </w:rPr>
  </w:style>
  <w:style w:type="paragraph" w:customStyle="1" w:styleId="dept">
    <w:name w:val="dept"/>
    <w:next w:val="linespace"/>
    <w:rsid w:val="000B1774"/>
    <w:pPr>
      <w:jc w:val="right"/>
    </w:pPr>
    <w:rPr>
      <w:rFonts w:ascii="Times New Roman" w:eastAsia="Times New Roman" w:hAnsi="Times New Roman"/>
      <w:b/>
      <w:noProof/>
      <w:lang w:eastAsia="en-US"/>
    </w:rPr>
  </w:style>
  <w:style w:type="paragraph" w:customStyle="1" w:styleId="DisplayItem">
    <w:name w:val="DisplayItem"/>
    <w:rsid w:val="000B1774"/>
    <w:pPr>
      <w:spacing w:before="120" w:after="120"/>
      <w:jc w:val="center"/>
    </w:pPr>
    <w:rPr>
      <w:rFonts w:ascii="Times New Roman" w:eastAsia="Times New Roman" w:hAnsi="Times New Roman"/>
      <w:lang w:eastAsia="en-US"/>
    </w:rPr>
  </w:style>
  <w:style w:type="paragraph" w:customStyle="1" w:styleId="EANote">
    <w:name w:val="EA_Note"/>
    <w:basedOn w:val="Normal"/>
    <w:rsid w:val="000B1774"/>
    <w:pPr>
      <w:keepNext/>
      <w:spacing w:after="120" w:line="220" w:lineRule="atLeast"/>
      <w:jc w:val="center"/>
    </w:pPr>
    <w:rPr>
      <w:rFonts w:ascii="Times New Roman" w:eastAsia="Times New Roman" w:hAnsi="Times New Roman"/>
      <w:b/>
      <w:sz w:val="21"/>
      <w:szCs w:val="20"/>
      <w:lang w:val="en-GB"/>
    </w:rPr>
  </w:style>
  <w:style w:type="paragraph" w:customStyle="1" w:styleId="EANotenote">
    <w:name w:val="EA_Note_note"/>
    <w:basedOn w:val="Normal"/>
    <w:next w:val="T1"/>
    <w:rsid w:val="000B1774"/>
    <w:pPr>
      <w:spacing w:after="240" w:line="220" w:lineRule="atLeast"/>
      <w:jc w:val="center"/>
    </w:pPr>
    <w:rPr>
      <w:rFonts w:ascii="Times New Roman" w:eastAsia="Times New Roman" w:hAnsi="Times New Roman"/>
      <w:i/>
      <w:sz w:val="21"/>
      <w:szCs w:val="20"/>
      <w:lang w:val="en-GB"/>
    </w:rPr>
  </w:style>
  <w:style w:type="paragraph" w:customStyle="1" w:styleId="T1">
    <w:name w:val="T1"/>
    <w:basedOn w:val="Normal"/>
    <w:rsid w:val="000B1774"/>
    <w:pPr>
      <w:spacing w:before="160" w:line="220" w:lineRule="atLeast"/>
      <w:jc w:val="both"/>
    </w:pPr>
    <w:rPr>
      <w:rFonts w:ascii="Times New Roman" w:eastAsia="Times New Roman" w:hAnsi="Times New Roman"/>
      <w:sz w:val="21"/>
      <w:szCs w:val="20"/>
      <w:lang w:val="en-GB"/>
    </w:rPr>
  </w:style>
  <w:style w:type="paragraph" w:customStyle="1" w:styleId="FootnoteCont">
    <w:name w:val="Footnote Cont"/>
    <w:basedOn w:val="FootnoteText"/>
    <w:rsid w:val="000B1774"/>
    <w:pPr>
      <w:spacing w:line="180" w:lineRule="exact"/>
      <w:ind w:left="340"/>
      <w:jc w:val="both"/>
    </w:pPr>
    <w:rPr>
      <w:rFonts w:asciiTheme="minorHAnsi" w:eastAsia="Times New Roman" w:hAnsiTheme="minorHAnsi"/>
      <w:color w:val="auto"/>
      <w:lang w:val="en-GB"/>
    </w:rPr>
  </w:style>
  <w:style w:type="paragraph" w:customStyle="1" w:styleId="FormHeading">
    <w:name w:val="FormHeading"/>
    <w:rsid w:val="000B1774"/>
    <w:pPr>
      <w:jc w:val="center"/>
    </w:pPr>
    <w:rPr>
      <w:rFonts w:ascii="Times New Roman" w:eastAsia="Times New Roman" w:hAnsi="Times New Roman"/>
      <w:sz w:val="28"/>
      <w:lang w:eastAsia="en-US"/>
    </w:rPr>
  </w:style>
  <w:style w:type="paragraph" w:customStyle="1" w:styleId="FormSubHeading">
    <w:name w:val="FormSubHeading"/>
    <w:rsid w:val="000B1774"/>
    <w:pPr>
      <w:jc w:val="center"/>
    </w:pPr>
    <w:rPr>
      <w:rFonts w:ascii="Times New Roman" w:eastAsia="Times New Roman" w:hAnsi="Times New Roman"/>
      <w:sz w:val="24"/>
      <w:lang w:eastAsia="en-US"/>
    </w:rPr>
  </w:style>
  <w:style w:type="paragraph" w:customStyle="1" w:styleId="FormText">
    <w:name w:val="FormText"/>
    <w:rsid w:val="000B1774"/>
    <w:pPr>
      <w:spacing w:line="220" w:lineRule="atLeast"/>
    </w:pPr>
    <w:rPr>
      <w:rFonts w:ascii="Times New Roman" w:eastAsia="Times New Roman" w:hAnsi="Times New Roman"/>
      <w:sz w:val="21"/>
      <w:lang w:eastAsia="en-US"/>
    </w:rPr>
  </w:style>
  <w:style w:type="paragraph" w:customStyle="1" w:styleId="H1">
    <w:name w:val="H1"/>
    <w:basedOn w:val="Normal"/>
    <w:next w:val="N1"/>
    <w:rsid w:val="000B1774"/>
    <w:pPr>
      <w:keepNext/>
      <w:spacing w:before="320" w:line="220" w:lineRule="atLeast"/>
      <w:jc w:val="both"/>
    </w:pPr>
    <w:rPr>
      <w:rFonts w:ascii="Times New Roman" w:eastAsia="Times New Roman" w:hAnsi="Times New Roman"/>
      <w:b/>
      <w:sz w:val="21"/>
      <w:szCs w:val="20"/>
      <w:lang w:val="en-GB"/>
    </w:rPr>
  </w:style>
  <w:style w:type="paragraph" w:customStyle="1" w:styleId="N1">
    <w:name w:val="N1"/>
    <w:basedOn w:val="Normal"/>
    <w:rsid w:val="000B1774"/>
    <w:pPr>
      <w:numPr>
        <w:numId w:val="40"/>
      </w:numPr>
      <w:spacing w:before="160" w:line="220" w:lineRule="atLeast"/>
      <w:jc w:val="both"/>
    </w:pPr>
    <w:rPr>
      <w:rFonts w:ascii="Times New Roman" w:eastAsia="Times New Roman" w:hAnsi="Times New Roman"/>
      <w:sz w:val="21"/>
      <w:szCs w:val="20"/>
      <w:lang w:val="en-GB"/>
    </w:rPr>
  </w:style>
  <w:style w:type="paragraph" w:customStyle="1" w:styleId="H2">
    <w:name w:val="H2"/>
    <w:basedOn w:val="Heading2"/>
    <w:next w:val="N2"/>
    <w:rsid w:val="000B1774"/>
    <w:pPr>
      <w:keepLines w:val="0"/>
      <w:spacing w:before="80" w:line="220" w:lineRule="atLeast"/>
      <w:ind w:left="170"/>
      <w:contextualSpacing w:val="0"/>
      <w:jc w:val="both"/>
      <w:outlineLvl w:val="9"/>
    </w:pPr>
    <w:rPr>
      <w:rFonts w:ascii="Times New Roman" w:eastAsia="Times New Roman" w:hAnsi="Times New Roman" w:cs="Times New Roman"/>
      <w:b w:val="0"/>
      <w:bCs w:val="0"/>
      <w:i/>
      <w:iCs/>
      <w:sz w:val="21"/>
      <w:szCs w:val="20"/>
      <w:lang w:val="en-GB" w:eastAsia="en-GB"/>
    </w:rPr>
  </w:style>
  <w:style w:type="paragraph" w:customStyle="1" w:styleId="N2">
    <w:name w:val="N2"/>
    <w:basedOn w:val="N1"/>
    <w:rsid w:val="000B1774"/>
    <w:pPr>
      <w:numPr>
        <w:ilvl w:val="1"/>
      </w:numPr>
      <w:spacing w:before="80"/>
    </w:pPr>
  </w:style>
  <w:style w:type="paragraph" w:customStyle="1" w:styleId="H3">
    <w:name w:val="H3"/>
    <w:basedOn w:val="Heading3"/>
    <w:next w:val="N3"/>
    <w:rsid w:val="000B1774"/>
    <w:pPr>
      <w:keepLines w:val="0"/>
      <w:spacing w:before="80" w:line="220" w:lineRule="atLeast"/>
      <w:ind w:left="340"/>
      <w:jc w:val="both"/>
      <w:outlineLvl w:val="9"/>
    </w:pPr>
    <w:rPr>
      <w:rFonts w:ascii="Times New Roman" w:eastAsia="Times New Roman" w:hAnsi="Times New Roman" w:cs="Times New Roman"/>
      <w:i/>
      <w:iCs/>
      <w:color w:val="auto"/>
      <w:sz w:val="21"/>
      <w:szCs w:val="20"/>
      <w:lang w:val="en-GB" w:eastAsia="en-GB"/>
    </w:rPr>
  </w:style>
  <w:style w:type="paragraph" w:customStyle="1" w:styleId="N3">
    <w:name w:val="N3"/>
    <w:basedOn w:val="N2"/>
    <w:rsid w:val="000B1774"/>
    <w:pPr>
      <w:numPr>
        <w:ilvl w:val="2"/>
      </w:numPr>
    </w:pPr>
  </w:style>
  <w:style w:type="paragraph" w:customStyle="1" w:styleId="Interpretation">
    <w:name w:val="Interpretation"/>
    <w:basedOn w:val="Normal"/>
    <w:next w:val="linespace"/>
    <w:rsid w:val="000B1774"/>
    <w:pPr>
      <w:spacing w:before="360" w:line="220" w:lineRule="atLeast"/>
      <w:jc w:val="both"/>
    </w:pPr>
    <w:rPr>
      <w:rFonts w:ascii="Times New Roman" w:eastAsia="Times New Roman" w:hAnsi="Times New Roman"/>
      <w:sz w:val="21"/>
      <w:szCs w:val="20"/>
      <w:lang w:val="en-GB"/>
    </w:rPr>
  </w:style>
  <w:style w:type="paragraph" w:customStyle="1" w:styleId="Laid">
    <w:name w:val="Laid"/>
    <w:basedOn w:val="Normal"/>
    <w:next w:val="Coming"/>
    <w:rsid w:val="000B1774"/>
    <w:pPr>
      <w:tabs>
        <w:tab w:val="right" w:pos="6804"/>
      </w:tabs>
      <w:spacing w:after="160" w:line="220" w:lineRule="atLeast"/>
      <w:ind w:left="1541" w:right="1541"/>
      <w:jc w:val="both"/>
    </w:pPr>
    <w:rPr>
      <w:rFonts w:ascii="Times New Roman" w:eastAsia="Times New Roman" w:hAnsi="Times New Roman"/>
      <w:i/>
      <w:sz w:val="21"/>
      <w:szCs w:val="20"/>
      <w:lang w:val="en-GB"/>
    </w:rPr>
  </w:style>
  <w:style w:type="paragraph" w:customStyle="1" w:styleId="Laidbefore">
    <w:name w:val="Laid before"/>
    <w:basedOn w:val="Approval"/>
    <w:next w:val="linespace"/>
    <w:rsid w:val="000B1774"/>
  </w:style>
  <w:style w:type="paragraph" w:customStyle="1" w:styleId="LaidDraft">
    <w:name w:val="LaidDraft"/>
    <w:basedOn w:val="Approval"/>
    <w:next w:val="linespace"/>
    <w:rsid w:val="000B1774"/>
  </w:style>
  <w:style w:type="paragraph" w:customStyle="1" w:styleId="LegSeal">
    <w:name w:val="LegSeal"/>
    <w:next w:val="linespace"/>
    <w:rsid w:val="000B1774"/>
    <w:rPr>
      <w:rFonts w:ascii="Times New Roman" w:eastAsia="Times New Roman" w:hAnsi="Times New Roman"/>
      <w:noProof/>
      <w:lang w:eastAsia="en-US"/>
    </w:rPr>
  </w:style>
  <w:style w:type="paragraph" w:customStyle="1" w:styleId="lineseparator">
    <w:name w:val="lineseparator"/>
    <w:basedOn w:val="TOC9"/>
    <w:rsid w:val="000B1774"/>
    <w:pPr>
      <w:pBdr>
        <w:bottom w:val="single" w:sz="4" w:space="1" w:color="auto"/>
      </w:pBdr>
      <w:spacing w:before="240" w:after="480"/>
      <w:ind w:left="2400" w:right="2400"/>
    </w:pPr>
  </w:style>
  <w:style w:type="paragraph" w:styleId="TOC9">
    <w:name w:val="toc 9"/>
    <w:basedOn w:val="Normal"/>
    <w:next w:val="Normal"/>
    <w:rsid w:val="000B1774"/>
    <w:pPr>
      <w:keepLines/>
      <w:tabs>
        <w:tab w:val="left" w:pos="576"/>
        <w:tab w:val="right" w:pos="8280"/>
      </w:tabs>
      <w:spacing w:after="40"/>
      <w:ind w:left="576" w:right="720" w:hanging="576"/>
      <w:jc w:val="both"/>
    </w:pPr>
    <w:rPr>
      <w:rFonts w:ascii="Times New Roman" w:eastAsia="Times New Roman" w:hAnsi="Times New Roman"/>
      <w:sz w:val="21"/>
      <w:szCs w:val="20"/>
      <w:lang w:val="en-GB"/>
    </w:rPr>
  </w:style>
  <w:style w:type="paragraph" w:customStyle="1" w:styleId="List1">
    <w:name w:val="List1"/>
    <w:basedOn w:val="Normal"/>
    <w:rsid w:val="000B1774"/>
    <w:pPr>
      <w:spacing w:before="80" w:line="220" w:lineRule="atLeast"/>
      <w:ind w:left="737" w:hanging="397"/>
      <w:jc w:val="both"/>
    </w:pPr>
    <w:rPr>
      <w:rFonts w:ascii="Times New Roman" w:eastAsia="Times New Roman" w:hAnsi="Times New Roman"/>
      <w:sz w:val="21"/>
      <w:szCs w:val="20"/>
      <w:lang w:val="en-GB"/>
    </w:rPr>
  </w:style>
  <w:style w:type="paragraph" w:customStyle="1" w:styleId="List1Cont">
    <w:name w:val="List1 Cont"/>
    <w:basedOn w:val="List1"/>
    <w:rsid w:val="000B1774"/>
    <w:pPr>
      <w:ind w:firstLine="0"/>
    </w:pPr>
  </w:style>
  <w:style w:type="paragraph" w:customStyle="1" w:styleId="LQT1">
    <w:name w:val="LQT1"/>
    <w:basedOn w:val="Normal"/>
    <w:rsid w:val="000B1774"/>
    <w:pPr>
      <w:spacing w:before="160" w:line="220" w:lineRule="atLeast"/>
      <w:ind w:left="567"/>
      <w:jc w:val="both"/>
    </w:pPr>
    <w:rPr>
      <w:rFonts w:ascii="Times New Roman" w:eastAsia="Times New Roman" w:hAnsi="Times New Roman"/>
      <w:sz w:val="21"/>
      <w:szCs w:val="20"/>
      <w:lang w:val="en-GB"/>
    </w:rPr>
  </w:style>
  <w:style w:type="paragraph" w:customStyle="1" w:styleId="LQT2">
    <w:name w:val="LQT2"/>
    <w:basedOn w:val="LQT1"/>
    <w:rsid w:val="000B1774"/>
    <w:pPr>
      <w:spacing w:before="80"/>
    </w:pPr>
  </w:style>
  <w:style w:type="paragraph" w:customStyle="1" w:styleId="LQDefPara">
    <w:name w:val="LQ Def Para"/>
    <w:basedOn w:val="LQT2"/>
    <w:rsid w:val="000B1774"/>
    <w:pPr>
      <w:ind w:left="907"/>
    </w:pPr>
  </w:style>
  <w:style w:type="paragraph" w:customStyle="1" w:styleId="LQArrHead">
    <w:name w:val="LQArrHead"/>
    <w:basedOn w:val="ArrHead"/>
    <w:next w:val="LQTOC1"/>
    <w:rsid w:val="000B1774"/>
    <w:pPr>
      <w:ind w:left="567"/>
    </w:pPr>
    <w:rPr>
      <w:caps w:val="0"/>
    </w:rPr>
  </w:style>
  <w:style w:type="paragraph" w:customStyle="1" w:styleId="LQTOC1">
    <w:name w:val="LQTOC 1"/>
    <w:basedOn w:val="TOC1"/>
    <w:next w:val="LQTOC2"/>
    <w:autoRedefine/>
    <w:rsid w:val="000B1774"/>
    <w:pPr>
      <w:ind w:left="567"/>
    </w:pPr>
  </w:style>
  <w:style w:type="paragraph" w:styleId="TOC1">
    <w:name w:val="toc 1"/>
    <w:basedOn w:val="Normal"/>
    <w:next w:val="Normal"/>
    <w:autoRedefine/>
    <w:semiHidden/>
    <w:rsid w:val="000B1774"/>
    <w:pPr>
      <w:keepNext/>
      <w:tabs>
        <w:tab w:val="right" w:pos="7938"/>
      </w:tabs>
      <w:spacing w:after="40" w:line="220" w:lineRule="atLeast"/>
      <w:jc w:val="center"/>
    </w:pPr>
    <w:rPr>
      <w:rFonts w:ascii="Times New Roman" w:eastAsia="Times New Roman" w:hAnsi="Times New Roman"/>
      <w:noProof/>
      <w:sz w:val="24"/>
      <w:szCs w:val="20"/>
      <w:lang w:val="en-GB"/>
    </w:rPr>
  </w:style>
  <w:style w:type="paragraph" w:customStyle="1" w:styleId="LQTOC2">
    <w:name w:val="LQTOC 2"/>
    <w:basedOn w:val="TOC2"/>
    <w:next w:val="LQTOC3"/>
    <w:autoRedefine/>
    <w:rsid w:val="000B1774"/>
    <w:pPr>
      <w:ind w:left="567"/>
    </w:pPr>
  </w:style>
  <w:style w:type="paragraph" w:styleId="TOC2">
    <w:name w:val="toc 2"/>
    <w:basedOn w:val="Normal"/>
    <w:next w:val="Normal"/>
    <w:autoRedefine/>
    <w:semiHidden/>
    <w:rsid w:val="000B1774"/>
    <w:pPr>
      <w:keepNext/>
      <w:tabs>
        <w:tab w:val="right" w:pos="7938"/>
      </w:tabs>
      <w:spacing w:after="40" w:line="220" w:lineRule="atLeast"/>
      <w:jc w:val="center"/>
    </w:pPr>
    <w:rPr>
      <w:rFonts w:ascii="Times New Roman" w:eastAsia="Times New Roman" w:hAnsi="Times New Roman"/>
      <w:noProof/>
      <w:szCs w:val="20"/>
      <w:lang w:val="en-GB"/>
    </w:rPr>
  </w:style>
  <w:style w:type="paragraph" w:customStyle="1" w:styleId="LQTOC3">
    <w:name w:val="LQTOC 3"/>
    <w:basedOn w:val="TOC3"/>
    <w:next w:val="LQTOC4"/>
    <w:autoRedefine/>
    <w:rsid w:val="000B1774"/>
    <w:pPr>
      <w:ind w:left="567"/>
    </w:pPr>
  </w:style>
  <w:style w:type="paragraph" w:styleId="TOC3">
    <w:name w:val="toc 3"/>
    <w:basedOn w:val="Normal"/>
    <w:next w:val="Normal"/>
    <w:autoRedefine/>
    <w:semiHidden/>
    <w:rsid w:val="000B1774"/>
    <w:pPr>
      <w:keepNext/>
      <w:tabs>
        <w:tab w:val="right" w:pos="7938"/>
      </w:tabs>
      <w:spacing w:after="40" w:line="220" w:lineRule="atLeast"/>
      <w:jc w:val="center"/>
    </w:pPr>
    <w:rPr>
      <w:rFonts w:ascii="Times New Roman" w:eastAsia="Times New Roman" w:hAnsi="Times New Roman"/>
      <w:noProof/>
      <w:sz w:val="20"/>
      <w:szCs w:val="20"/>
      <w:lang w:val="en-GB"/>
    </w:rPr>
  </w:style>
  <w:style w:type="paragraph" w:customStyle="1" w:styleId="LQTOC4">
    <w:name w:val="LQTOC 4"/>
    <w:basedOn w:val="TOC4"/>
    <w:next w:val="LQTOC5"/>
    <w:rsid w:val="000B1774"/>
    <w:pPr>
      <w:ind w:left="567"/>
    </w:pPr>
  </w:style>
  <w:style w:type="paragraph" w:styleId="TOC4">
    <w:name w:val="toc 4"/>
    <w:basedOn w:val="Normal"/>
    <w:next w:val="Normal"/>
    <w:autoRedefine/>
    <w:semiHidden/>
    <w:rsid w:val="000B1774"/>
    <w:pPr>
      <w:keepNext/>
      <w:tabs>
        <w:tab w:val="right" w:pos="7938"/>
      </w:tabs>
      <w:spacing w:after="40" w:line="220" w:lineRule="atLeast"/>
      <w:jc w:val="center"/>
    </w:pPr>
    <w:rPr>
      <w:rFonts w:ascii="Times New Roman" w:eastAsia="Times New Roman" w:hAnsi="Times New Roman"/>
      <w:noProof/>
      <w:sz w:val="18"/>
      <w:szCs w:val="20"/>
      <w:lang w:val="en-GB"/>
    </w:rPr>
  </w:style>
  <w:style w:type="paragraph" w:customStyle="1" w:styleId="LQTOC5">
    <w:name w:val="LQTOC 5"/>
    <w:basedOn w:val="TOC5"/>
    <w:next w:val="LQTOC6"/>
    <w:autoRedefine/>
    <w:rsid w:val="000B1774"/>
    <w:pPr>
      <w:ind w:left="567"/>
    </w:pPr>
  </w:style>
  <w:style w:type="paragraph" w:styleId="TOC5">
    <w:name w:val="toc 5"/>
    <w:basedOn w:val="Normal"/>
    <w:next w:val="Normal"/>
    <w:autoRedefine/>
    <w:semiHidden/>
    <w:rsid w:val="000B1774"/>
    <w:pPr>
      <w:keepNext/>
      <w:tabs>
        <w:tab w:val="right" w:pos="7938"/>
      </w:tabs>
      <w:spacing w:after="40" w:line="220" w:lineRule="atLeast"/>
      <w:jc w:val="center"/>
    </w:pPr>
    <w:rPr>
      <w:rFonts w:ascii="Times New Roman" w:eastAsia="Times New Roman" w:hAnsi="Times New Roman"/>
      <w:noProof/>
      <w:sz w:val="18"/>
      <w:szCs w:val="20"/>
      <w:lang w:val="en-GB"/>
    </w:rPr>
  </w:style>
  <w:style w:type="paragraph" w:customStyle="1" w:styleId="LQTOC6">
    <w:name w:val="LQTOC 6"/>
    <w:basedOn w:val="TOC6"/>
    <w:next w:val="LQTOC9"/>
    <w:autoRedefine/>
    <w:rsid w:val="000B1774"/>
    <w:pPr>
      <w:ind w:left="567"/>
    </w:pPr>
    <w:rPr>
      <w:i w:val="0"/>
    </w:rPr>
  </w:style>
  <w:style w:type="paragraph" w:styleId="TOC6">
    <w:name w:val="toc 6"/>
    <w:basedOn w:val="Normal"/>
    <w:next w:val="Normal"/>
    <w:autoRedefine/>
    <w:semiHidden/>
    <w:rsid w:val="000B1774"/>
    <w:pPr>
      <w:keepNext/>
      <w:tabs>
        <w:tab w:val="right" w:pos="7938"/>
      </w:tabs>
      <w:spacing w:after="40" w:line="220" w:lineRule="atLeast"/>
      <w:jc w:val="center"/>
    </w:pPr>
    <w:rPr>
      <w:rFonts w:ascii="Times New Roman" w:eastAsia="Times New Roman" w:hAnsi="Times New Roman"/>
      <w:i/>
      <w:noProof/>
      <w:sz w:val="20"/>
      <w:szCs w:val="20"/>
      <w:lang w:val="en-GB"/>
    </w:rPr>
  </w:style>
  <w:style w:type="paragraph" w:customStyle="1" w:styleId="LQTOC9">
    <w:name w:val="LQTOC 9"/>
    <w:basedOn w:val="TOC9"/>
    <w:rsid w:val="000B1774"/>
    <w:pPr>
      <w:tabs>
        <w:tab w:val="left" w:pos="1145"/>
      </w:tabs>
      <w:ind w:left="1145" w:hanging="578"/>
    </w:pPr>
  </w:style>
  <w:style w:type="paragraph" w:customStyle="1" w:styleId="LQDisplayItem">
    <w:name w:val="LQDisplayItem"/>
    <w:basedOn w:val="DisplayItem"/>
    <w:rsid w:val="000B1774"/>
    <w:pPr>
      <w:ind w:left="567"/>
    </w:pPr>
  </w:style>
  <w:style w:type="paragraph" w:customStyle="1" w:styleId="LQH1">
    <w:name w:val="LQH1"/>
    <w:basedOn w:val="H1"/>
    <w:next w:val="LQN1"/>
    <w:rsid w:val="000B1774"/>
    <w:pPr>
      <w:ind w:left="567"/>
    </w:pPr>
  </w:style>
  <w:style w:type="paragraph" w:customStyle="1" w:styleId="LQN1">
    <w:name w:val="LQN1"/>
    <w:basedOn w:val="Normal"/>
    <w:rsid w:val="000B1774"/>
    <w:pPr>
      <w:spacing w:before="160" w:line="220" w:lineRule="atLeast"/>
      <w:ind w:left="567" w:firstLine="170"/>
      <w:jc w:val="both"/>
    </w:pPr>
    <w:rPr>
      <w:rFonts w:ascii="Times New Roman" w:eastAsia="Times New Roman" w:hAnsi="Times New Roman"/>
      <w:sz w:val="21"/>
      <w:szCs w:val="20"/>
      <w:lang w:val="en-GB"/>
    </w:rPr>
  </w:style>
  <w:style w:type="paragraph" w:customStyle="1" w:styleId="LQH2">
    <w:name w:val="LQH2"/>
    <w:basedOn w:val="H2"/>
    <w:next w:val="LQN2"/>
    <w:rsid w:val="000B1774"/>
    <w:pPr>
      <w:ind w:left="737"/>
    </w:pPr>
  </w:style>
  <w:style w:type="paragraph" w:customStyle="1" w:styleId="LQN2">
    <w:name w:val="LQN2"/>
    <w:basedOn w:val="LQN1"/>
    <w:rsid w:val="000B1774"/>
    <w:pPr>
      <w:spacing w:before="80"/>
    </w:pPr>
  </w:style>
  <w:style w:type="paragraph" w:customStyle="1" w:styleId="LQH3">
    <w:name w:val="LQH3"/>
    <w:basedOn w:val="H3"/>
    <w:next w:val="LQN3"/>
    <w:rsid w:val="000B1774"/>
    <w:pPr>
      <w:ind w:left="907"/>
    </w:pPr>
  </w:style>
  <w:style w:type="paragraph" w:customStyle="1" w:styleId="LQN3">
    <w:name w:val="LQN3"/>
    <w:basedOn w:val="LQN2"/>
    <w:rsid w:val="000B1774"/>
    <w:pPr>
      <w:tabs>
        <w:tab w:val="left" w:pos="1304"/>
      </w:tabs>
      <w:ind w:left="1304" w:hanging="397"/>
    </w:pPr>
  </w:style>
  <w:style w:type="paragraph" w:customStyle="1" w:styleId="LQList1">
    <w:name w:val="LQList1"/>
    <w:basedOn w:val="List1"/>
    <w:rsid w:val="000B1774"/>
    <w:pPr>
      <w:ind w:left="1304"/>
    </w:pPr>
  </w:style>
  <w:style w:type="paragraph" w:customStyle="1" w:styleId="LQList1Cont">
    <w:name w:val="LQList1 Cont"/>
    <w:basedOn w:val="List1Cont"/>
    <w:rsid w:val="000B1774"/>
    <w:pPr>
      <w:ind w:left="1304"/>
    </w:pPr>
  </w:style>
  <w:style w:type="paragraph" w:customStyle="1" w:styleId="LQN3-N4">
    <w:name w:val="LQN3-N4"/>
    <w:basedOn w:val="LQN3"/>
    <w:next w:val="LQN4"/>
    <w:rsid w:val="000B1774"/>
    <w:pPr>
      <w:tabs>
        <w:tab w:val="clear" w:pos="1304"/>
        <w:tab w:val="right" w:pos="1588"/>
        <w:tab w:val="left" w:pos="1701"/>
      </w:tabs>
      <w:ind w:left="1701" w:hanging="794"/>
    </w:pPr>
  </w:style>
  <w:style w:type="paragraph" w:customStyle="1" w:styleId="LQN4">
    <w:name w:val="LQN4"/>
    <w:basedOn w:val="LQN3"/>
    <w:rsid w:val="000B1774"/>
    <w:pPr>
      <w:tabs>
        <w:tab w:val="clear" w:pos="1304"/>
        <w:tab w:val="right" w:pos="1588"/>
        <w:tab w:val="left" w:pos="1701"/>
      </w:tabs>
      <w:ind w:left="1701" w:hanging="1701"/>
    </w:pPr>
  </w:style>
  <w:style w:type="paragraph" w:customStyle="1" w:styleId="LQN4-N5">
    <w:name w:val="LQN4-N5"/>
    <w:basedOn w:val="LQN4"/>
    <w:next w:val="LQN5"/>
    <w:rsid w:val="000B1774"/>
    <w:pPr>
      <w:tabs>
        <w:tab w:val="left" w:pos="2268"/>
      </w:tabs>
      <w:ind w:left="2268" w:hanging="2268"/>
    </w:pPr>
  </w:style>
  <w:style w:type="paragraph" w:customStyle="1" w:styleId="LQN5">
    <w:name w:val="LQN5"/>
    <w:basedOn w:val="LQN4"/>
    <w:rsid w:val="000B1774"/>
    <w:pPr>
      <w:tabs>
        <w:tab w:val="clear" w:pos="1588"/>
        <w:tab w:val="clear" w:pos="1701"/>
        <w:tab w:val="left" w:pos="2268"/>
      </w:tabs>
      <w:ind w:left="2268" w:hanging="567"/>
    </w:pPr>
  </w:style>
  <w:style w:type="paragraph" w:customStyle="1" w:styleId="LQpart">
    <w:name w:val="LQpart"/>
    <w:basedOn w:val="Normal"/>
    <w:next w:val="LQpartHead"/>
    <w:rsid w:val="000B1774"/>
    <w:pPr>
      <w:keepNext/>
      <w:tabs>
        <w:tab w:val="center" w:pos="4451"/>
        <w:tab w:val="right" w:pos="8335"/>
      </w:tabs>
      <w:spacing w:before="480"/>
      <w:ind w:left="567"/>
      <w:jc w:val="center"/>
    </w:pPr>
    <w:rPr>
      <w:rFonts w:ascii="Times New Roman" w:eastAsia="Times New Roman" w:hAnsi="Times New Roman"/>
      <w:sz w:val="28"/>
      <w:szCs w:val="20"/>
      <w:lang w:val="en-GB"/>
    </w:rPr>
  </w:style>
  <w:style w:type="paragraph" w:customStyle="1" w:styleId="LQpartHead">
    <w:name w:val="LQpartHead"/>
    <w:basedOn w:val="Normal"/>
    <w:next w:val="LQT1"/>
    <w:rsid w:val="000B1774"/>
    <w:pPr>
      <w:keepNext/>
      <w:tabs>
        <w:tab w:val="center" w:pos="4167"/>
        <w:tab w:val="right" w:pos="8335"/>
      </w:tabs>
      <w:spacing w:before="120"/>
      <w:ind w:left="567"/>
      <w:jc w:val="center"/>
    </w:pPr>
    <w:rPr>
      <w:rFonts w:ascii="Times New Roman" w:eastAsia="Times New Roman" w:hAnsi="Times New Roman"/>
      <w:sz w:val="24"/>
      <w:szCs w:val="20"/>
      <w:lang w:val="en-GB"/>
    </w:rPr>
  </w:style>
  <w:style w:type="paragraph" w:customStyle="1" w:styleId="LQschedule">
    <w:name w:val="LQschedule"/>
    <w:basedOn w:val="Normal"/>
    <w:next w:val="LQscheduleHead"/>
    <w:rsid w:val="000B1774"/>
    <w:pPr>
      <w:keepNext/>
      <w:tabs>
        <w:tab w:val="center" w:pos="4451"/>
        <w:tab w:val="right" w:pos="8335"/>
      </w:tabs>
      <w:spacing w:before="480" w:after="120"/>
      <w:ind w:left="567"/>
      <w:jc w:val="center"/>
    </w:pPr>
    <w:rPr>
      <w:rFonts w:ascii="Times New Roman" w:eastAsia="Times New Roman" w:hAnsi="Times New Roman"/>
      <w:sz w:val="30"/>
      <w:szCs w:val="20"/>
      <w:lang w:val="en-GB"/>
    </w:rPr>
  </w:style>
  <w:style w:type="paragraph" w:customStyle="1" w:styleId="LQscheduleHead">
    <w:name w:val="LQscheduleHead"/>
    <w:basedOn w:val="Normal"/>
    <w:next w:val="LQT1"/>
    <w:rsid w:val="000B1774"/>
    <w:pPr>
      <w:keepNext/>
      <w:tabs>
        <w:tab w:val="center" w:pos="4167"/>
        <w:tab w:val="right" w:pos="8335"/>
      </w:tabs>
      <w:spacing w:before="120" w:after="100"/>
      <w:ind w:left="567"/>
      <w:jc w:val="center"/>
    </w:pPr>
    <w:rPr>
      <w:rFonts w:ascii="Times New Roman" w:eastAsia="Times New Roman" w:hAnsi="Times New Roman"/>
      <w:sz w:val="28"/>
      <w:szCs w:val="20"/>
      <w:lang w:val="en-GB"/>
    </w:rPr>
  </w:style>
  <w:style w:type="paragraph" w:customStyle="1" w:styleId="LQschedules">
    <w:name w:val="LQschedules"/>
    <w:basedOn w:val="Normal"/>
    <w:rsid w:val="000B1774"/>
    <w:pPr>
      <w:keepNext/>
      <w:spacing w:before="480" w:after="480"/>
      <w:ind w:left="567"/>
      <w:jc w:val="center"/>
    </w:pPr>
    <w:rPr>
      <w:rFonts w:ascii="Times New Roman" w:eastAsia="Times New Roman" w:hAnsi="Times New Roman"/>
      <w:sz w:val="30"/>
      <w:szCs w:val="20"/>
      <w:lang w:val="en-GB"/>
    </w:rPr>
  </w:style>
  <w:style w:type="paragraph" w:customStyle="1" w:styleId="LQsection">
    <w:name w:val="LQsection"/>
    <w:basedOn w:val="Normal"/>
    <w:next w:val="LQsectionHead"/>
    <w:rsid w:val="000B1774"/>
    <w:pPr>
      <w:keepNext/>
      <w:tabs>
        <w:tab w:val="center" w:pos="4451"/>
        <w:tab w:val="right" w:pos="8335"/>
      </w:tabs>
      <w:spacing w:before="80"/>
      <w:ind w:left="567"/>
      <w:jc w:val="center"/>
    </w:pPr>
    <w:rPr>
      <w:rFonts w:ascii="Times New Roman" w:eastAsia="Times New Roman" w:hAnsi="Times New Roman"/>
      <w:sz w:val="20"/>
      <w:szCs w:val="20"/>
      <w:lang w:val="en-GB"/>
    </w:rPr>
  </w:style>
  <w:style w:type="paragraph" w:customStyle="1" w:styleId="LQsectionHead">
    <w:name w:val="LQsectionHead"/>
    <w:basedOn w:val="Normal"/>
    <w:next w:val="LQT1"/>
    <w:rsid w:val="000B1774"/>
    <w:pPr>
      <w:keepNext/>
      <w:spacing w:before="80" w:line="220" w:lineRule="atLeast"/>
      <w:ind w:left="567"/>
      <w:jc w:val="center"/>
    </w:pPr>
    <w:rPr>
      <w:rFonts w:ascii="Times New Roman" w:eastAsia="Times New Roman" w:hAnsi="Times New Roman"/>
      <w:i/>
      <w:sz w:val="21"/>
      <w:szCs w:val="20"/>
      <w:lang w:val="en-GB"/>
    </w:rPr>
  </w:style>
  <w:style w:type="paragraph" w:customStyle="1" w:styleId="LQSublist1">
    <w:name w:val="LQSublist1"/>
    <w:basedOn w:val="Normal"/>
    <w:rsid w:val="000B1774"/>
    <w:pPr>
      <w:spacing w:before="80" w:line="220" w:lineRule="atLeast"/>
      <w:ind w:left="1701" w:hanging="397"/>
      <w:jc w:val="both"/>
    </w:pPr>
    <w:rPr>
      <w:rFonts w:ascii="Times New Roman" w:eastAsia="Times New Roman" w:hAnsi="Times New Roman"/>
      <w:sz w:val="21"/>
      <w:szCs w:val="20"/>
      <w:lang w:val="en-GB"/>
    </w:rPr>
  </w:style>
  <w:style w:type="paragraph" w:customStyle="1" w:styleId="LQSublist1Cont">
    <w:name w:val="LQSublist1 Cont"/>
    <w:basedOn w:val="Normal"/>
    <w:rsid w:val="000B1774"/>
    <w:pPr>
      <w:spacing w:before="80" w:line="220" w:lineRule="atLeast"/>
      <w:ind w:left="1701"/>
      <w:jc w:val="both"/>
    </w:pPr>
    <w:rPr>
      <w:rFonts w:ascii="Times New Roman" w:eastAsia="Times New Roman" w:hAnsi="Times New Roman"/>
      <w:sz w:val="21"/>
      <w:szCs w:val="20"/>
      <w:lang w:val="en-GB"/>
    </w:rPr>
  </w:style>
  <w:style w:type="paragraph" w:customStyle="1" w:styleId="LQsubPart">
    <w:name w:val="LQsubPart"/>
    <w:basedOn w:val="Normal"/>
    <w:next w:val="LQsubPartHead"/>
    <w:rsid w:val="000B1774"/>
    <w:pPr>
      <w:keepNext/>
      <w:tabs>
        <w:tab w:val="center" w:pos="4451"/>
        <w:tab w:val="right" w:pos="8335"/>
      </w:tabs>
      <w:spacing w:before="120"/>
      <w:ind w:left="567"/>
      <w:jc w:val="center"/>
    </w:pPr>
    <w:rPr>
      <w:rFonts w:ascii="Times New Roman" w:eastAsia="Times New Roman" w:hAnsi="Times New Roman"/>
      <w:szCs w:val="20"/>
      <w:lang w:val="en-GB"/>
    </w:rPr>
  </w:style>
  <w:style w:type="paragraph" w:customStyle="1" w:styleId="LQsubPartHead">
    <w:name w:val="LQsubPartHead"/>
    <w:basedOn w:val="Normal"/>
    <w:next w:val="LQT1"/>
    <w:rsid w:val="000B1774"/>
    <w:pPr>
      <w:keepNext/>
      <w:tabs>
        <w:tab w:val="center" w:pos="4167"/>
        <w:tab w:val="right" w:pos="8335"/>
      </w:tabs>
      <w:spacing w:before="120"/>
      <w:ind w:left="567"/>
      <w:jc w:val="center"/>
    </w:pPr>
    <w:rPr>
      <w:rFonts w:ascii="Times New Roman" w:eastAsia="Times New Roman" w:hAnsi="Times New Roman"/>
      <w:sz w:val="21"/>
      <w:szCs w:val="20"/>
      <w:lang w:val="en-GB"/>
    </w:rPr>
  </w:style>
  <w:style w:type="paragraph" w:customStyle="1" w:styleId="LQsubSection">
    <w:name w:val="LQsubSection"/>
    <w:basedOn w:val="Normal"/>
    <w:next w:val="LQsubSectionHead"/>
    <w:rsid w:val="000B1774"/>
    <w:pPr>
      <w:keepNext/>
      <w:tabs>
        <w:tab w:val="center" w:pos="4451"/>
        <w:tab w:val="right" w:pos="8335"/>
      </w:tabs>
      <w:spacing w:before="80"/>
      <w:ind w:left="567"/>
      <w:jc w:val="center"/>
    </w:pPr>
    <w:rPr>
      <w:rFonts w:ascii="Times New Roman" w:eastAsia="Times New Roman" w:hAnsi="Times New Roman"/>
      <w:sz w:val="18"/>
      <w:szCs w:val="20"/>
      <w:lang w:val="en-GB"/>
    </w:rPr>
  </w:style>
  <w:style w:type="paragraph" w:customStyle="1" w:styleId="LQsubSectionHead">
    <w:name w:val="LQsubSectionHead"/>
    <w:basedOn w:val="Normal"/>
    <w:next w:val="LQT1"/>
    <w:rsid w:val="000B1774"/>
    <w:pPr>
      <w:keepNext/>
      <w:spacing w:before="40" w:line="220" w:lineRule="atLeast"/>
      <w:ind w:left="567"/>
      <w:jc w:val="center"/>
    </w:pPr>
    <w:rPr>
      <w:rFonts w:ascii="Times New Roman" w:eastAsia="Times New Roman" w:hAnsi="Times New Roman"/>
      <w:i/>
      <w:sz w:val="20"/>
      <w:szCs w:val="20"/>
      <w:lang w:val="en-GB"/>
    </w:rPr>
  </w:style>
  <w:style w:type="paragraph" w:customStyle="1" w:styleId="LQT1Indent">
    <w:name w:val="LQT1 Indent"/>
    <w:basedOn w:val="LQT1"/>
    <w:rsid w:val="000B1774"/>
    <w:pPr>
      <w:ind w:firstLine="170"/>
    </w:pPr>
  </w:style>
  <w:style w:type="paragraph" w:customStyle="1" w:styleId="LQT3">
    <w:name w:val="LQT3"/>
    <w:basedOn w:val="LQT2"/>
    <w:rsid w:val="000B1774"/>
    <w:pPr>
      <w:ind w:left="1304"/>
    </w:pPr>
  </w:style>
  <w:style w:type="paragraph" w:customStyle="1" w:styleId="LQT4">
    <w:name w:val="LQT4"/>
    <w:basedOn w:val="LQT3"/>
    <w:rsid w:val="000B1774"/>
    <w:pPr>
      <w:ind w:left="1701"/>
    </w:pPr>
  </w:style>
  <w:style w:type="paragraph" w:customStyle="1" w:styleId="LQT5">
    <w:name w:val="LQT5"/>
    <w:basedOn w:val="LQT4"/>
    <w:rsid w:val="000B1774"/>
    <w:pPr>
      <w:ind w:left="2268"/>
    </w:pPr>
  </w:style>
  <w:style w:type="paragraph" w:customStyle="1" w:styleId="LQTableCaption">
    <w:name w:val="LQTableCaption"/>
    <w:basedOn w:val="Normal"/>
    <w:next w:val="LQTableTopText"/>
    <w:rsid w:val="000B1774"/>
    <w:pPr>
      <w:spacing w:after="120" w:line="220" w:lineRule="atLeast"/>
      <w:ind w:left="567"/>
    </w:pPr>
    <w:rPr>
      <w:rFonts w:ascii="Times New Roman" w:eastAsia="Times New Roman" w:hAnsi="Times New Roman"/>
      <w:b/>
      <w:sz w:val="21"/>
      <w:szCs w:val="20"/>
      <w:lang w:val="en-GB"/>
    </w:rPr>
  </w:style>
  <w:style w:type="paragraph" w:customStyle="1" w:styleId="LQTableTopText">
    <w:name w:val="LQTableTopText"/>
    <w:basedOn w:val="Normal"/>
    <w:rsid w:val="000B1774"/>
    <w:pPr>
      <w:spacing w:after="80" w:line="220" w:lineRule="atLeast"/>
      <w:ind w:left="567"/>
      <w:jc w:val="both"/>
    </w:pPr>
    <w:rPr>
      <w:rFonts w:ascii="Times New Roman" w:eastAsia="Times New Roman" w:hAnsi="Times New Roman"/>
      <w:sz w:val="21"/>
      <w:szCs w:val="20"/>
      <w:lang w:val="en-GB"/>
    </w:rPr>
  </w:style>
  <w:style w:type="paragraph" w:customStyle="1" w:styleId="LQTableFoot">
    <w:name w:val="LQTableFoot"/>
    <w:basedOn w:val="Normal"/>
    <w:rsid w:val="000B1774"/>
    <w:pPr>
      <w:spacing w:before="40" w:line="220" w:lineRule="atLeast"/>
      <w:ind w:left="567"/>
      <w:jc w:val="both"/>
    </w:pPr>
    <w:rPr>
      <w:rFonts w:ascii="Times New Roman" w:eastAsia="Times New Roman" w:hAnsi="Times New Roman"/>
      <w:sz w:val="20"/>
      <w:szCs w:val="20"/>
      <w:lang w:val="en-GB"/>
    </w:rPr>
  </w:style>
  <w:style w:type="paragraph" w:customStyle="1" w:styleId="LQTableNumber">
    <w:name w:val="LQTableNumber"/>
    <w:basedOn w:val="LQTableCaption"/>
    <w:next w:val="LQTableCaption"/>
    <w:rsid w:val="000B1774"/>
    <w:pPr>
      <w:spacing w:before="120"/>
    </w:pPr>
  </w:style>
  <w:style w:type="paragraph" w:customStyle="1" w:styleId="LQTOC10">
    <w:name w:val="LQTOC 10"/>
    <w:basedOn w:val="Normal"/>
    <w:rsid w:val="000B1774"/>
    <w:pPr>
      <w:keepLines/>
      <w:tabs>
        <w:tab w:val="right" w:pos="1680"/>
        <w:tab w:val="left" w:pos="1800"/>
        <w:tab w:val="left" w:pos="2120"/>
        <w:tab w:val="left" w:pos="2245"/>
        <w:tab w:val="right" w:pos="2364"/>
        <w:tab w:val="left" w:pos="2688"/>
        <w:tab w:val="right" w:pos="8280"/>
      </w:tabs>
      <w:spacing w:after="40"/>
      <w:ind w:left="3255" w:right="720" w:hanging="2688"/>
    </w:pPr>
    <w:rPr>
      <w:rFonts w:ascii="Times New Roman" w:eastAsia="Times New Roman" w:hAnsi="Times New Roman"/>
      <w:sz w:val="21"/>
      <w:szCs w:val="20"/>
      <w:lang w:val="en-GB"/>
    </w:rPr>
  </w:style>
  <w:style w:type="paragraph" w:customStyle="1" w:styleId="LQTOC11">
    <w:name w:val="LQTOC 11"/>
    <w:basedOn w:val="Normal"/>
    <w:rsid w:val="000B1774"/>
    <w:pPr>
      <w:keepLines/>
      <w:tabs>
        <w:tab w:val="right" w:pos="1680"/>
        <w:tab w:val="left" w:pos="1800"/>
        <w:tab w:val="left" w:pos="2120"/>
        <w:tab w:val="right" w:pos="2245"/>
        <w:tab w:val="left" w:pos="2364"/>
        <w:tab w:val="right" w:pos="8280"/>
      </w:tabs>
      <w:spacing w:after="40"/>
      <w:ind w:left="2120" w:right="720" w:hanging="2120"/>
    </w:pPr>
    <w:rPr>
      <w:rFonts w:ascii="Times New Roman" w:eastAsia="Times New Roman" w:hAnsi="Times New Roman"/>
      <w:sz w:val="21"/>
      <w:szCs w:val="20"/>
      <w:lang w:val="en-GB"/>
    </w:rPr>
  </w:style>
  <w:style w:type="paragraph" w:customStyle="1" w:styleId="LQTOC12">
    <w:name w:val="LQTOC 12"/>
    <w:basedOn w:val="Normal"/>
    <w:next w:val="LQTOC10"/>
    <w:rsid w:val="000B1774"/>
    <w:pPr>
      <w:keepNext/>
      <w:spacing w:after="240"/>
      <w:ind w:left="567"/>
      <w:jc w:val="center"/>
    </w:pPr>
    <w:rPr>
      <w:rFonts w:ascii="Times New Roman" w:eastAsia="Times New Roman" w:hAnsi="Times New Roman"/>
      <w:sz w:val="24"/>
      <w:szCs w:val="20"/>
      <w:lang w:val="en-GB"/>
    </w:rPr>
  </w:style>
  <w:style w:type="paragraph" w:customStyle="1" w:styleId="LQTOC9Indent">
    <w:name w:val="LQTOC 9 Indent"/>
    <w:basedOn w:val="Normal"/>
    <w:rsid w:val="000B1774"/>
    <w:pPr>
      <w:keepLines/>
      <w:tabs>
        <w:tab w:val="left" w:pos="1559"/>
        <w:tab w:val="right" w:pos="8277"/>
      </w:tabs>
      <w:spacing w:after="40"/>
      <w:ind w:left="1559" w:right="720" w:hanging="992"/>
      <w:jc w:val="both"/>
    </w:pPr>
    <w:rPr>
      <w:rFonts w:ascii="Times New Roman" w:eastAsia="Times New Roman" w:hAnsi="Times New Roman"/>
      <w:sz w:val="21"/>
      <w:szCs w:val="20"/>
      <w:lang w:val="en-GB"/>
    </w:rPr>
  </w:style>
  <w:style w:type="paragraph" w:customStyle="1" w:styleId="Made">
    <w:name w:val="Made"/>
    <w:basedOn w:val="Normal"/>
    <w:next w:val="Laid"/>
    <w:link w:val="MadeChar"/>
    <w:rsid w:val="000B1774"/>
    <w:pPr>
      <w:tabs>
        <w:tab w:val="left" w:pos="2438"/>
        <w:tab w:val="left" w:pos="2835"/>
        <w:tab w:val="left" w:pos="3232"/>
        <w:tab w:val="left" w:pos="3629"/>
        <w:tab w:val="right" w:pos="6804"/>
      </w:tabs>
      <w:spacing w:after="160" w:line="220" w:lineRule="atLeast"/>
      <w:ind w:left="1541" w:right="1541"/>
      <w:jc w:val="both"/>
    </w:pPr>
    <w:rPr>
      <w:rFonts w:ascii="Times New Roman" w:eastAsia="Times New Roman" w:hAnsi="Times New Roman"/>
      <w:i/>
      <w:sz w:val="21"/>
      <w:szCs w:val="20"/>
      <w:lang w:val="en-GB"/>
    </w:rPr>
  </w:style>
  <w:style w:type="character" w:customStyle="1" w:styleId="MadeChar">
    <w:name w:val="Made Char"/>
    <w:link w:val="Made"/>
    <w:locked/>
    <w:rsid w:val="000B1774"/>
    <w:rPr>
      <w:rFonts w:ascii="Times New Roman" w:eastAsia="Times New Roman" w:hAnsi="Times New Roman"/>
      <w:i/>
      <w:sz w:val="21"/>
      <w:lang w:eastAsia="en-US"/>
    </w:rPr>
  </w:style>
  <w:style w:type="paragraph" w:customStyle="1" w:styleId="N1legal">
    <w:name w:val="N1legal"/>
    <w:basedOn w:val="Normal"/>
    <w:rsid w:val="000B1774"/>
    <w:pPr>
      <w:spacing w:before="160" w:line="220" w:lineRule="atLeast"/>
      <w:ind w:firstLine="170"/>
      <w:jc w:val="both"/>
    </w:pPr>
    <w:rPr>
      <w:rFonts w:ascii="Times New Roman" w:eastAsia="Times New Roman" w:hAnsi="Times New Roman"/>
      <w:sz w:val="21"/>
      <w:szCs w:val="20"/>
      <w:lang w:val="en-GB"/>
    </w:rPr>
  </w:style>
  <w:style w:type="paragraph" w:customStyle="1" w:styleId="N3-N4">
    <w:name w:val="N3-N4"/>
    <w:basedOn w:val="N3"/>
    <w:next w:val="N4"/>
    <w:rsid w:val="000B1774"/>
    <w:pPr>
      <w:numPr>
        <w:ilvl w:val="0"/>
        <w:numId w:val="0"/>
      </w:numPr>
      <w:tabs>
        <w:tab w:val="right" w:pos="1020"/>
        <w:tab w:val="left" w:pos="1134"/>
      </w:tabs>
      <w:ind w:left="1134" w:hanging="794"/>
    </w:pPr>
  </w:style>
  <w:style w:type="paragraph" w:customStyle="1" w:styleId="N4">
    <w:name w:val="N4"/>
    <w:basedOn w:val="N3"/>
    <w:rsid w:val="000B1774"/>
    <w:pPr>
      <w:numPr>
        <w:ilvl w:val="3"/>
      </w:numPr>
    </w:pPr>
  </w:style>
  <w:style w:type="paragraph" w:customStyle="1" w:styleId="N4-N5">
    <w:name w:val="N4-N5"/>
    <w:basedOn w:val="N4"/>
    <w:next w:val="N5"/>
    <w:rsid w:val="000B1774"/>
    <w:pPr>
      <w:numPr>
        <w:ilvl w:val="0"/>
        <w:numId w:val="0"/>
      </w:numPr>
      <w:tabs>
        <w:tab w:val="right" w:pos="1021"/>
        <w:tab w:val="left" w:pos="1134"/>
        <w:tab w:val="left" w:pos="1701"/>
      </w:tabs>
      <w:ind w:left="1701" w:hanging="1701"/>
    </w:pPr>
  </w:style>
  <w:style w:type="paragraph" w:customStyle="1" w:styleId="N5">
    <w:name w:val="N5"/>
    <w:basedOn w:val="N4"/>
    <w:rsid w:val="000B1774"/>
    <w:pPr>
      <w:numPr>
        <w:ilvl w:val="4"/>
      </w:numPr>
    </w:pPr>
  </w:style>
  <w:style w:type="paragraph" w:customStyle="1" w:styleId="Negative">
    <w:name w:val="Negative"/>
    <w:basedOn w:val="Normal"/>
    <w:next w:val="linespace"/>
    <w:rsid w:val="000B1774"/>
    <w:pPr>
      <w:tabs>
        <w:tab w:val="left" w:pos="3232"/>
        <w:tab w:val="left" w:pos="3629"/>
        <w:tab w:val="right" w:pos="6804"/>
      </w:tabs>
      <w:spacing w:before="160" w:after="160" w:line="220" w:lineRule="atLeast"/>
      <w:ind w:left="1712" w:right="1542" w:hanging="170"/>
    </w:pPr>
    <w:rPr>
      <w:rFonts w:ascii="Times New Roman" w:eastAsia="Times New Roman" w:hAnsi="Times New Roman"/>
      <w:i/>
      <w:sz w:val="21"/>
      <w:szCs w:val="20"/>
      <w:lang w:val="en-GB"/>
    </w:rPr>
  </w:style>
  <w:style w:type="paragraph" w:customStyle="1" w:styleId="NLQDefPara">
    <w:name w:val="NLQ Def Para"/>
    <w:basedOn w:val="LQDefPara"/>
    <w:rsid w:val="000B1774"/>
    <w:pPr>
      <w:ind w:left="1474"/>
    </w:pPr>
  </w:style>
  <w:style w:type="paragraph" w:customStyle="1" w:styleId="NLQDisplayItem">
    <w:name w:val="NLQDisplayItem"/>
    <w:basedOn w:val="LQDisplayItem"/>
    <w:rsid w:val="000B1774"/>
    <w:pPr>
      <w:ind w:left="1134"/>
    </w:pPr>
  </w:style>
  <w:style w:type="paragraph" w:customStyle="1" w:styleId="NLQH1">
    <w:name w:val="NLQH1"/>
    <w:basedOn w:val="LQH1"/>
    <w:next w:val="NLQN1"/>
    <w:rsid w:val="000B1774"/>
    <w:pPr>
      <w:ind w:left="1134"/>
    </w:pPr>
  </w:style>
  <w:style w:type="paragraph" w:customStyle="1" w:styleId="NLQN1">
    <w:name w:val="NLQN1"/>
    <w:basedOn w:val="LQN1"/>
    <w:rsid w:val="000B1774"/>
    <w:pPr>
      <w:ind w:left="1134"/>
    </w:pPr>
  </w:style>
  <w:style w:type="paragraph" w:customStyle="1" w:styleId="NLQH2">
    <w:name w:val="NLQH2"/>
    <w:basedOn w:val="LQH2"/>
    <w:next w:val="NLQN2"/>
    <w:rsid w:val="000B1774"/>
    <w:pPr>
      <w:ind w:left="1304"/>
    </w:pPr>
  </w:style>
  <w:style w:type="paragraph" w:customStyle="1" w:styleId="NLQN2">
    <w:name w:val="NLQN2"/>
    <w:basedOn w:val="LQN2"/>
    <w:rsid w:val="000B1774"/>
    <w:pPr>
      <w:ind w:left="1134"/>
    </w:pPr>
  </w:style>
  <w:style w:type="paragraph" w:customStyle="1" w:styleId="NLQH3">
    <w:name w:val="NLQH3"/>
    <w:basedOn w:val="LQH3"/>
    <w:next w:val="NLQN3"/>
    <w:rsid w:val="000B1774"/>
    <w:pPr>
      <w:ind w:left="1474"/>
    </w:pPr>
  </w:style>
  <w:style w:type="paragraph" w:customStyle="1" w:styleId="NLQN3">
    <w:name w:val="NLQN3"/>
    <w:basedOn w:val="LQN3"/>
    <w:rsid w:val="000B1774"/>
    <w:pPr>
      <w:ind w:left="1871"/>
    </w:pPr>
  </w:style>
  <w:style w:type="paragraph" w:customStyle="1" w:styleId="NLQList1">
    <w:name w:val="NLQList1"/>
    <w:basedOn w:val="LQList1"/>
    <w:rsid w:val="000B1774"/>
    <w:pPr>
      <w:ind w:left="1871"/>
    </w:pPr>
  </w:style>
  <w:style w:type="paragraph" w:customStyle="1" w:styleId="NLQList1Cont">
    <w:name w:val="NLQList1 Cont"/>
    <w:basedOn w:val="LQList1Cont"/>
    <w:rsid w:val="000B1774"/>
    <w:pPr>
      <w:ind w:left="1871"/>
    </w:pPr>
  </w:style>
  <w:style w:type="paragraph" w:customStyle="1" w:styleId="NLQN3-N4">
    <w:name w:val="NLQN3-N4"/>
    <w:basedOn w:val="NLQN3"/>
    <w:next w:val="NLQN4"/>
    <w:rsid w:val="000B1774"/>
    <w:pPr>
      <w:tabs>
        <w:tab w:val="clear" w:pos="1304"/>
        <w:tab w:val="right" w:pos="2155"/>
        <w:tab w:val="left" w:pos="2268"/>
      </w:tabs>
      <w:ind w:left="2268" w:hanging="794"/>
    </w:pPr>
  </w:style>
  <w:style w:type="paragraph" w:customStyle="1" w:styleId="NLQN4">
    <w:name w:val="NLQN4"/>
    <w:basedOn w:val="LQN4"/>
    <w:rsid w:val="000B1774"/>
    <w:pPr>
      <w:tabs>
        <w:tab w:val="clear" w:pos="1588"/>
        <w:tab w:val="clear" w:pos="1701"/>
        <w:tab w:val="right" w:pos="2155"/>
        <w:tab w:val="left" w:pos="2268"/>
      </w:tabs>
      <w:ind w:left="2268"/>
    </w:pPr>
  </w:style>
  <w:style w:type="paragraph" w:customStyle="1" w:styleId="NLQN4-N5">
    <w:name w:val="NLQN4-N5"/>
    <w:basedOn w:val="LQN4-N5"/>
    <w:next w:val="NLQN5"/>
    <w:rsid w:val="000B1774"/>
    <w:pPr>
      <w:tabs>
        <w:tab w:val="clear" w:pos="1588"/>
        <w:tab w:val="clear" w:pos="1701"/>
        <w:tab w:val="right" w:pos="2155"/>
        <w:tab w:val="left" w:pos="2835"/>
      </w:tabs>
      <w:ind w:left="2835" w:hanging="2835"/>
    </w:pPr>
  </w:style>
  <w:style w:type="paragraph" w:customStyle="1" w:styleId="NLQN5">
    <w:name w:val="NLQN5"/>
    <w:basedOn w:val="LQN5"/>
    <w:rsid w:val="000B1774"/>
    <w:pPr>
      <w:ind w:left="2835"/>
    </w:pPr>
  </w:style>
  <w:style w:type="paragraph" w:customStyle="1" w:styleId="NLQpart">
    <w:name w:val="NLQpart"/>
    <w:basedOn w:val="LQpart"/>
    <w:next w:val="NLQpartHead"/>
    <w:rsid w:val="000B1774"/>
    <w:pPr>
      <w:tabs>
        <w:tab w:val="clear" w:pos="4451"/>
        <w:tab w:val="center" w:pos="4734"/>
      </w:tabs>
      <w:ind w:left="1134"/>
    </w:pPr>
  </w:style>
  <w:style w:type="paragraph" w:customStyle="1" w:styleId="NLQpartHead">
    <w:name w:val="NLQpartHead"/>
    <w:basedOn w:val="LQpartHead"/>
    <w:next w:val="NLQT1"/>
    <w:rsid w:val="000B1774"/>
    <w:pPr>
      <w:ind w:left="1134"/>
    </w:pPr>
  </w:style>
  <w:style w:type="paragraph" w:customStyle="1" w:styleId="NLQT1">
    <w:name w:val="NLQT1"/>
    <w:basedOn w:val="LQT1"/>
    <w:rsid w:val="000B1774"/>
    <w:pPr>
      <w:ind w:left="1134"/>
    </w:pPr>
  </w:style>
  <w:style w:type="paragraph" w:customStyle="1" w:styleId="NLQschedule">
    <w:name w:val="NLQschedule"/>
    <w:basedOn w:val="LQschedule"/>
    <w:next w:val="NLQscheduleHead"/>
    <w:rsid w:val="000B1774"/>
    <w:pPr>
      <w:tabs>
        <w:tab w:val="clear" w:pos="4451"/>
        <w:tab w:val="center" w:pos="4734"/>
      </w:tabs>
      <w:ind w:left="1134"/>
    </w:pPr>
  </w:style>
  <w:style w:type="paragraph" w:customStyle="1" w:styleId="NLQscheduleHead">
    <w:name w:val="NLQscheduleHead"/>
    <w:basedOn w:val="LQscheduleHead"/>
    <w:next w:val="NLQT1"/>
    <w:rsid w:val="000B1774"/>
    <w:pPr>
      <w:ind w:left="1134"/>
    </w:pPr>
  </w:style>
  <w:style w:type="paragraph" w:customStyle="1" w:styleId="NLQschedules">
    <w:name w:val="NLQschedules"/>
    <w:basedOn w:val="Normal"/>
    <w:rsid w:val="000B1774"/>
    <w:pPr>
      <w:keepNext/>
      <w:spacing w:before="480" w:after="480"/>
      <w:ind w:left="1134"/>
      <w:jc w:val="center"/>
    </w:pPr>
    <w:rPr>
      <w:rFonts w:ascii="Times New Roman" w:eastAsia="Times New Roman" w:hAnsi="Times New Roman"/>
      <w:sz w:val="30"/>
      <w:szCs w:val="20"/>
      <w:lang w:val="en-GB"/>
    </w:rPr>
  </w:style>
  <w:style w:type="paragraph" w:customStyle="1" w:styleId="NLQsection">
    <w:name w:val="NLQsection"/>
    <w:basedOn w:val="LQsection"/>
    <w:next w:val="NLQsectionHead"/>
    <w:rsid w:val="000B1774"/>
    <w:pPr>
      <w:tabs>
        <w:tab w:val="clear" w:pos="4451"/>
        <w:tab w:val="center" w:pos="4734"/>
      </w:tabs>
      <w:ind w:left="1134"/>
    </w:pPr>
  </w:style>
  <w:style w:type="paragraph" w:customStyle="1" w:styleId="NLQsectionHead">
    <w:name w:val="NLQsectionHead"/>
    <w:basedOn w:val="LQsectionHead"/>
    <w:next w:val="NLQT1"/>
    <w:rsid w:val="000B1774"/>
    <w:pPr>
      <w:ind w:left="1134"/>
    </w:pPr>
  </w:style>
  <w:style w:type="paragraph" w:customStyle="1" w:styleId="NLQSublist1">
    <w:name w:val="NLQSublist1"/>
    <w:basedOn w:val="LQSublist1"/>
    <w:rsid w:val="000B1774"/>
    <w:pPr>
      <w:ind w:left="2308"/>
    </w:pPr>
  </w:style>
  <w:style w:type="paragraph" w:customStyle="1" w:styleId="NLQSublist1Cont">
    <w:name w:val="NLQSublist1 Cont"/>
    <w:basedOn w:val="LQSublist1Cont"/>
    <w:rsid w:val="000B1774"/>
    <w:pPr>
      <w:ind w:left="2308"/>
    </w:pPr>
  </w:style>
  <w:style w:type="paragraph" w:customStyle="1" w:styleId="NLQsubPart">
    <w:name w:val="NLQsubPart"/>
    <w:basedOn w:val="LQsubPart"/>
    <w:next w:val="NLQsubPartHead"/>
    <w:rsid w:val="000B1774"/>
    <w:pPr>
      <w:tabs>
        <w:tab w:val="clear" w:pos="4451"/>
        <w:tab w:val="center" w:pos="4734"/>
      </w:tabs>
      <w:ind w:left="1134"/>
    </w:pPr>
  </w:style>
  <w:style w:type="paragraph" w:customStyle="1" w:styleId="NLQsubPartHead">
    <w:name w:val="NLQsubPartHead"/>
    <w:basedOn w:val="LQsubPartHead"/>
    <w:next w:val="NLQT1"/>
    <w:rsid w:val="000B1774"/>
    <w:pPr>
      <w:ind w:left="1134"/>
    </w:pPr>
  </w:style>
  <w:style w:type="paragraph" w:customStyle="1" w:styleId="NLQsubSection">
    <w:name w:val="NLQsubSection"/>
    <w:basedOn w:val="LQsubSection"/>
    <w:next w:val="NLQsubSectionHead"/>
    <w:rsid w:val="000B1774"/>
    <w:pPr>
      <w:tabs>
        <w:tab w:val="clear" w:pos="4451"/>
        <w:tab w:val="center" w:pos="4734"/>
      </w:tabs>
      <w:ind w:left="1134"/>
    </w:pPr>
  </w:style>
  <w:style w:type="paragraph" w:customStyle="1" w:styleId="NLQsubSectionHead">
    <w:name w:val="NLQsubSectionHead"/>
    <w:basedOn w:val="LQsubSectionHead"/>
    <w:next w:val="NLQT1"/>
    <w:rsid w:val="000B1774"/>
    <w:pPr>
      <w:ind w:left="1134"/>
    </w:pPr>
  </w:style>
  <w:style w:type="paragraph" w:customStyle="1" w:styleId="NLQT1Indent">
    <w:name w:val="NLQT1 Indent"/>
    <w:basedOn w:val="LQT1Indent"/>
    <w:rsid w:val="000B1774"/>
    <w:pPr>
      <w:ind w:left="1134"/>
    </w:pPr>
  </w:style>
  <w:style w:type="paragraph" w:customStyle="1" w:styleId="NLQT2">
    <w:name w:val="NLQT2"/>
    <w:basedOn w:val="LQT2"/>
    <w:rsid w:val="000B1774"/>
    <w:pPr>
      <w:ind w:left="1134"/>
    </w:pPr>
  </w:style>
  <w:style w:type="paragraph" w:customStyle="1" w:styleId="NLQT3">
    <w:name w:val="NLQT3"/>
    <w:basedOn w:val="LQT3"/>
    <w:rsid w:val="000B1774"/>
    <w:pPr>
      <w:ind w:left="1871"/>
    </w:pPr>
  </w:style>
  <w:style w:type="paragraph" w:customStyle="1" w:styleId="NLQT4">
    <w:name w:val="NLQT4"/>
    <w:basedOn w:val="LQT4"/>
    <w:rsid w:val="000B1774"/>
    <w:pPr>
      <w:ind w:left="2268"/>
    </w:pPr>
  </w:style>
  <w:style w:type="paragraph" w:customStyle="1" w:styleId="NLQT5">
    <w:name w:val="NLQT5"/>
    <w:basedOn w:val="LQT5"/>
    <w:rsid w:val="000B1774"/>
    <w:pPr>
      <w:ind w:left="2835"/>
    </w:pPr>
  </w:style>
  <w:style w:type="paragraph" w:customStyle="1" w:styleId="NLQTableCaption">
    <w:name w:val="NLQTableCaption"/>
    <w:basedOn w:val="LQTableCaption"/>
    <w:next w:val="NLQTableTopText"/>
    <w:rsid w:val="000B1774"/>
    <w:pPr>
      <w:ind w:left="1134"/>
    </w:pPr>
  </w:style>
  <w:style w:type="paragraph" w:customStyle="1" w:styleId="NLQTableTopText">
    <w:name w:val="NLQTableTopText"/>
    <w:basedOn w:val="LQTableTopText"/>
    <w:rsid w:val="000B1774"/>
    <w:pPr>
      <w:ind w:left="1134"/>
    </w:pPr>
  </w:style>
  <w:style w:type="paragraph" w:customStyle="1" w:styleId="NLQTableFoot">
    <w:name w:val="NLQTableFoot"/>
    <w:basedOn w:val="LQTableFoot"/>
    <w:rsid w:val="000B1774"/>
    <w:pPr>
      <w:ind w:left="1134"/>
    </w:pPr>
  </w:style>
  <w:style w:type="paragraph" w:customStyle="1" w:styleId="NLQTableNumber">
    <w:name w:val="NLQTableNumber"/>
    <w:basedOn w:val="LQTableNumber"/>
    <w:rsid w:val="000B1774"/>
    <w:pPr>
      <w:ind w:left="1134"/>
    </w:pPr>
  </w:style>
  <w:style w:type="paragraph" w:customStyle="1" w:styleId="Part">
    <w:name w:val="Part"/>
    <w:basedOn w:val="Normal"/>
    <w:next w:val="PartHead"/>
    <w:rsid w:val="000B1774"/>
    <w:pPr>
      <w:keepNext/>
      <w:tabs>
        <w:tab w:val="center" w:pos="4167"/>
        <w:tab w:val="right" w:pos="8335"/>
      </w:tabs>
      <w:spacing w:before="480"/>
      <w:jc w:val="center"/>
    </w:pPr>
    <w:rPr>
      <w:rFonts w:ascii="Times New Roman" w:eastAsia="Times New Roman" w:hAnsi="Times New Roman"/>
      <w:sz w:val="28"/>
      <w:szCs w:val="20"/>
      <w:lang w:val="en-GB"/>
    </w:rPr>
  </w:style>
  <w:style w:type="paragraph" w:customStyle="1" w:styleId="PartHead">
    <w:name w:val="PartHead"/>
    <w:basedOn w:val="Part"/>
    <w:next w:val="T1"/>
    <w:rsid w:val="000B1774"/>
    <w:pPr>
      <w:spacing w:before="120"/>
    </w:pPr>
    <w:rPr>
      <w:sz w:val="24"/>
    </w:rPr>
  </w:style>
  <w:style w:type="paragraph" w:customStyle="1" w:styleId="QualHead">
    <w:name w:val="QualHead"/>
    <w:basedOn w:val="Normal"/>
    <w:rsid w:val="000B1774"/>
    <w:pPr>
      <w:spacing w:line="220" w:lineRule="atLeast"/>
      <w:jc w:val="center"/>
    </w:pPr>
    <w:rPr>
      <w:rFonts w:ascii="Times New Roman" w:eastAsia="Times New Roman" w:hAnsi="Times New Roman"/>
      <w:sz w:val="21"/>
      <w:szCs w:val="20"/>
      <w:lang w:val="en-GB"/>
    </w:rPr>
  </w:style>
  <w:style w:type="character" w:customStyle="1" w:styleId="Ref">
    <w:name w:val="Ref"/>
    <w:rsid w:val="000B1774"/>
    <w:rPr>
      <w:sz w:val="21"/>
    </w:rPr>
  </w:style>
  <w:style w:type="paragraph" w:customStyle="1" w:styleId="Res">
    <w:name w:val="Res"/>
    <w:basedOn w:val="Pre"/>
    <w:next w:val="Pre"/>
    <w:rsid w:val="000B1774"/>
    <w:rPr>
      <w:b/>
    </w:rPr>
  </w:style>
  <w:style w:type="paragraph" w:customStyle="1" w:styleId="Royal">
    <w:name w:val="Royal"/>
    <w:basedOn w:val="Normal"/>
    <w:next w:val="Pre"/>
    <w:rsid w:val="000B1774"/>
    <w:pPr>
      <w:spacing w:after="220" w:line="220" w:lineRule="atLeast"/>
      <w:jc w:val="center"/>
    </w:pPr>
    <w:rPr>
      <w:rFonts w:ascii="Times New Roman" w:eastAsia="Times New Roman" w:hAnsi="Times New Roman"/>
      <w:sz w:val="21"/>
      <w:szCs w:val="20"/>
      <w:lang w:val="en-GB"/>
    </w:rPr>
  </w:style>
  <w:style w:type="paragraph" w:customStyle="1" w:styleId="Schedule">
    <w:name w:val="Schedule"/>
    <w:basedOn w:val="Normal"/>
    <w:next w:val="ScheduleHead"/>
    <w:rsid w:val="000B1774"/>
    <w:pPr>
      <w:keepNext/>
      <w:tabs>
        <w:tab w:val="center" w:pos="4167"/>
        <w:tab w:val="right" w:pos="8335"/>
      </w:tabs>
      <w:spacing w:before="480" w:after="120"/>
      <w:jc w:val="center"/>
    </w:pPr>
    <w:rPr>
      <w:rFonts w:ascii="Times New Roman" w:eastAsia="Times New Roman" w:hAnsi="Times New Roman"/>
      <w:sz w:val="30"/>
      <w:szCs w:val="20"/>
      <w:lang w:val="en-GB"/>
    </w:rPr>
  </w:style>
  <w:style w:type="paragraph" w:customStyle="1" w:styleId="ScheduleHead">
    <w:name w:val="ScheduleHead"/>
    <w:basedOn w:val="Schedule"/>
    <w:next w:val="T1"/>
    <w:rsid w:val="000B1774"/>
    <w:pPr>
      <w:spacing w:before="120" w:after="100"/>
    </w:pPr>
    <w:rPr>
      <w:sz w:val="28"/>
    </w:rPr>
  </w:style>
  <w:style w:type="paragraph" w:customStyle="1" w:styleId="Schedules">
    <w:name w:val="Schedules"/>
    <w:basedOn w:val="Normal"/>
    <w:rsid w:val="000B1774"/>
    <w:pPr>
      <w:keepNext/>
      <w:spacing w:before="480" w:after="480"/>
      <w:jc w:val="center"/>
    </w:pPr>
    <w:rPr>
      <w:rFonts w:ascii="Times New Roman" w:eastAsia="Times New Roman" w:hAnsi="Times New Roman"/>
      <w:sz w:val="30"/>
      <w:szCs w:val="20"/>
      <w:lang w:val="en-GB"/>
    </w:rPr>
  </w:style>
  <w:style w:type="paragraph" w:customStyle="1" w:styleId="Section">
    <w:name w:val="Section"/>
    <w:basedOn w:val="Normal"/>
    <w:next w:val="SectionHead"/>
    <w:rsid w:val="000B1774"/>
    <w:pPr>
      <w:keepNext/>
      <w:tabs>
        <w:tab w:val="center" w:pos="4167"/>
        <w:tab w:val="right" w:pos="8335"/>
      </w:tabs>
      <w:spacing w:before="80"/>
      <w:jc w:val="center"/>
    </w:pPr>
    <w:rPr>
      <w:rFonts w:ascii="Times New Roman" w:eastAsia="Times New Roman" w:hAnsi="Times New Roman"/>
      <w:sz w:val="20"/>
      <w:szCs w:val="20"/>
      <w:lang w:val="en-GB"/>
    </w:rPr>
  </w:style>
  <w:style w:type="paragraph" w:customStyle="1" w:styleId="SectionHead">
    <w:name w:val="SectionHead"/>
    <w:basedOn w:val="Normal"/>
    <w:next w:val="T1"/>
    <w:rsid w:val="000B1774"/>
    <w:pPr>
      <w:keepNext/>
      <w:spacing w:before="80" w:line="220" w:lineRule="atLeast"/>
      <w:jc w:val="center"/>
    </w:pPr>
    <w:rPr>
      <w:rFonts w:ascii="Times New Roman" w:eastAsia="Times New Roman" w:hAnsi="Times New Roman"/>
      <w:i/>
      <w:sz w:val="21"/>
      <w:szCs w:val="20"/>
      <w:lang w:val="en-GB"/>
    </w:rPr>
  </w:style>
  <w:style w:type="character" w:customStyle="1" w:styleId="SigAdd">
    <w:name w:val="Sig_Add"/>
    <w:rsid w:val="000B1774"/>
  </w:style>
  <w:style w:type="character" w:customStyle="1" w:styleId="SigDate">
    <w:name w:val="Sig_Date"/>
    <w:rsid w:val="000B1774"/>
  </w:style>
  <w:style w:type="character" w:customStyle="1" w:styleId="Sigsignatory">
    <w:name w:val="Sig_signatory"/>
    <w:rsid w:val="000B1774"/>
  </w:style>
  <w:style w:type="character" w:customStyle="1" w:styleId="SigSignee">
    <w:name w:val="Sig_Signee"/>
    <w:rsid w:val="000B1774"/>
    <w:rPr>
      <w:i/>
    </w:rPr>
  </w:style>
  <w:style w:type="character" w:customStyle="1" w:styleId="Sigtitle">
    <w:name w:val="Sig_title"/>
    <w:rsid w:val="000B1774"/>
  </w:style>
  <w:style w:type="paragraph" w:customStyle="1" w:styleId="SigBlock">
    <w:name w:val="SigBlock"/>
    <w:basedOn w:val="Normal"/>
    <w:rsid w:val="000B1774"/>
    <w:pPr>
      <w:keepLines/>
      <w:tabs>
        <w:tab w:val="right" w:pos="8280"/>
      </w:tabs>
      <w:spacing w:line="220" w:lineRule="atLeast"/>
    </w:pPr>
    <w:rPr>
      <w:rFonts w:ascii="Times New Roman" w:eastAsia="Times New Roman" w:hAnsi="Times New Roman"/>
      <w:sz w:val="21"/>
      <w:szCs w:val="20"/>
      <w:lang w:val="en-GB"/>
    </w:rPr>
  </w:style>
  <w:style w:type="paragraph" w:styleId="Signature">
    <w:name w:val="Signature"/>
    <w:basedOn w:val="Normal"/>
    <w:link w:val="SignatureChar"/>
    <w:rsid w:val="000B1774"/>
    <w:pPr>
      <w:spacing w:line="220" w:lineRule="atLeast"/>
      <w:ind w:left="4320"/>
      <w:jc w:val="both"/>
    </w:pPr>
    <w:rPr>
      <w:rFonts w:ascii="Times New Roman" w:eastAsia="Times New Roman" w:hAnsi="Times New Roman"/>
      <w:sz w:val="21"/>
      <w:szCs w:val="20"/>
      <w:lang w:val="en-GB"/>
    </w:rPr>
  </w:style>
  <w:style w:type="character" w:customStyle="1" w:styleId="SignatureChar">
    <w:name w:val="Signature Char"/>
    <w:basedOn w:val="DefaultParagraphFont"/>
    <w:link w:val="Signature"/>
    <w:rsid w:val="000B1774"/>
    <w:rPr>
      <w:rFonts w:ascii="Times New Roman" w:eastAsia="Times New Roman" w:hAnsi="Times New Roman"/>
      <w:sz w:val="21"/>
      <w:lang w:eastAsia="en-US"/>
    </w:rPr>
  </w:style>
  <w:style w:type="paragraph" w:customStyle="1" w:styleId="StraddleHeader">
    <w:name w:val="StraddleHeader"/>
    <w:basedOn w:val="Normal"/>
    <w:rsid w:val="000B1774"/>
    <w:pPr>
      <w:spacing w:before="40" w:line="220" w:lineRule="atLeast"/>
    </w:pPr>
    <w:rPr>
      <w:rFonts w:ascii="Times New Roman" w:eastAsia="Times New Roman" w:hAnsi="Times New Roman"/>
      <w:b/>
      <w:sz w:val="21"/>
      <w:szCs w:val="20"/>
      <w:lang w:val="en-GB"/>
    </w:rPr>
  </w:style>
  <w:style w:type="paragraph" w:customStyle="1" w:styleId="Sublist1">
    <w:name w:val="Sublist1"/>
    <w:basedOn w:val="List1"/>
    <w:rsid w:val="000B1774"/>
    <w:pPr>
      <w:ind w:left="1134"/>
    </w:pPr>
  </w:style>
  <w:style w:type="paragraph" w:customStyle="1" w:styleId="Sublist1Cont">
    <w:name w:val="Sublist1 Cont"/>
    <w:basedOn w:val="Sublist1"/>
    <w:rsid w:val="000B1774"/>
    <w:pPr>
      <w:ind w:firstLine="0"/>
    </w:pPr>
  </w:style>
  <w:style w:type="paragraph" w:customStyle="1" w:styleId="SubPart">
    <w:name w:val="SubPart"/>
    <w:basedOn w:val="PartHead"/>
    <w:next w:val="SubPartHead"/>
    <w:rsid w:val="000B1774"/>
    <w:rPr>
      <w:sz w:val="22"/>
    </w:rPr>
  </w:style>
  <w:style w:type="paragraph" w:customStyle="1" w:styleId="SubPartHead">
    <w:name w:val="SubPartHead"/>
    <w:basedOn w:val="SubPart"/>
    <w:next w:val="T1"/>
    <w:rsid w:val="000B1774"/>
    <w:rPr>
      <w:sz w:val="21"/>
    </w:rPr>
  </w:style>
  <w:style w:type="paragraph" w:customStyle="1" w:styleId="SubSection">
    <w:name w:val="SubSection"/>
    <w:basedOn w:val="Section"/>
    <w:next w:val="SubSectionHead"/>
    <w:rsid w:val="000B1774"/>
    <w:rPr>
      <w:sz w:val="18"/>
    </w:rPr>
  </w:style>
  <w:style w:type="paragraph" w:customStyle="1" w:styleId="SubSectionHead">
    <w:name w:val="SubSectionHead"/>
    <w:basedOn w:val="SectionHead"/>
    <w:next w:val="T1"/>
    <w:rsid w:val="000B1774"/>
    <w:pPr>
      <w:spacing w:before="40"/>
    </w:pPr>
    <w:rPr>
      <w:sz w:val="20"/>
    </w:rPr>
  </w:style>
  <w:style w:type="paragraph" w:customStyle="1" w:styleId="T1Indent">
    <w:name w:val="T1 Indent"/>
    <w:basedOn w:val="T1"/>
    <w:rsid w:val="000B1774"/>
    <w:pPr>
      <w:ind w:firstLine="170"/>
    </w:pPr>
  </w:style>
  <w:style w:type="paragraph" w:customStyle="1" w:styleId="T2">
    <w:name w:val="T2"/>
    <w:basedOn w:val="T1"/>
    <w:rsid w:val="000B1774"/>
    <w:pPr>
      <w:spacing w:before="80"/>
    </w:pPr>
  </w:style>
  <w:style w:type="paragraph" w:customStyle="1" w:styleId="T3">
    <w:name w:val="T3"/>
    <w:basedOn w:val="T2"/>
    <w:rsid w:val="000B1774"/>
    <w:pPr>
      <w:ind w:left="737"/>
    </w:pPr>
  </w:style>
  <w:style w:type="paragraph" w:customStyle="1" w:styleId="T4">
    <w:name w:val="T4"/>
    <w:basedOn w:val="T3"/>
    <w:rsid w:val="000B1774"/>
    <w:pPr>
      <w:ind w:left="1134"/>
    </w:pPr>
  </w:style>
  <w:style w:type="paragraph" w:customStyle="1" w:styleId="T5">
    <w:name w:val="T5"/>
    <w:basedOn w:val="T4"/>
    <w:rsid w:val="000B1774"/>
    <w:pPr>
      <w:ind w:left="1701"/>
    </w:pPr>
  </w:style>
  <w:style w:type="paragraph" w:customStyle="1" w:styleId="TableCaption">
    <w:name w:val="TableCaption"/>
    <w:basedOn w:val="Caption"/>
    <w:next w:val="TableTopText"/>
    <w:rsid w:val="000B1774"/>
    <w:pPr>
      <w:spacing w:after="120" w:line="220" w:lineRule="atLeast"/>
    </w:pPr>
    <w:rPr>
      <w:bCs w:val="0"/>
      <w:iCs/>
      <w:color w:val="auto"/>
      <w:sz w:val="21"/>
      <w:szCs w:val="20"/>
    </w:rPr>
  </w:style>
  <w:style w:type="paragraph" w:customStyle="1" w:styleId="TableTopText">
    <w:name w:val="TableTopText"/>
    <w:basedOn w:val="Normal"/>
    <w:rsid w:val="000B1774"/>
    <w:pPr>
      <w:spacing w:after="80" w:line="220" w:lineRule="atLeast"/>
      <w:jc w:val="both"/>
    </w:pPr>
    <w:rPr>
      <w:rFonts w:ascii="Times New Roman" w:eastAsia="Times New Roman" w:hAnsi="Times New Roman"/>
      <w:sz w:val="21"/>
      <w:szCs w:val="20"/>
      <w:lang w:val="en-GB"/>
    </w:rPr>
  </w:style>
  <w:style w:type="paragraph" w:customStyle="1" w:styleId="TableFoot">
    <w:name w:val="TableFoot"/>
    <w:basedOn w:val="Normal"/>
    <w:rsid w:val="000B1774"/>
    <w:pPr>
      <w:spacing w:before="40" w:line="220" w:lineRule="atLeast"/>
      <w:jc w:val="both"/>
    </w:pPr>
    <w:rPr>
      <w:rFonts w:ascii="Times New Roman" w:eastAsia="Times New Roman" w:hAnsi="Times New Roman"/>
      <w:sz w:val="20"/>
      <w:szCs w:val="20"/>
      <w:lang w:val="en-GB"/>
    </w:rPr>
  </w:style>
  <w:style w:type="character" w:customStyle="1" w:styleId="TableFootRef">
    <w:name w:val="TableFootRef"/>
    <w:rsid w:val="000B1774"/>
    <w:rPr>
      <w:vertAlign w:val="superscript"/>
    </w:rPr>
  </w:style>
  <w:style w:type="paragraph" w:customStyle="1" w:styleId="TableNumber">
    <w:name w:val="TableNumber"/>
    <w:basedOn w:val="TableCaption"/>
    <w:next w:val="TableCaption"/>
    <w:rsid w:val="000B1774"/>
    <w:pPr>
      <w:spacing w:before="120"/>
    </w:pPr>
  </w:style>
  <w:style w:type="paragraph" w:customStyle="1" w:styleId="TableText">
    <w:name w:val="TableText"/>
    <w:basedOn w:val="Normal"/>
    <w:rsid w:val="000B1774"/>
    <w:pPr>
      <w:spacing w:before="20" w:line="220" w:lineRule="atLeast"/>
    </w:pPr>
    <w:rPr>
      <w:rFonts w:ascii="Times New Roman" w:eastAsia="Times New Roman" w:hAnsi="Times New Roman"/>
      <w:sz w:val="21"/>
      <w:szCs w:val="20"/>
      <w:lang w:val="en-GB"/>
    </w:rPr>
  </w:style>
  <w:style w:type="paragraph" w:customStyle="1" w:styleId="TOC10">
    <w:name w:val="TOC 10"/>
    <w:basedOn w:val="TOC9"/>
    <w:rsid w:val="000B1774"/>
    <w:pPr>
      <w:tabs>
        <w:tab w:val="clear" w:pos="576"/>
        <w:tab w:val="right" w:pos="1680"/>
        <w:tab w:val="left" w:pos="1800"/>
        <w:tab w:val="left" w:pos="2120"/>
      </w:tabs>
      <w:ind w:left="2120" w:hanging="2120"/>
      <w:jc w:val="left"/>
    </w:pPr>
  </w:style>
  <w:style w:type="paragraph" w:customStyle="1" w:styleId="TOC11">
    <w:name w:val="TOC 11"/>
    <w:basedOn w:val="TOC10"/>
    <w:rsid w:val="000B1774"/>
  </w:style>
  <w:style w:type="paragraph" w:customStyle="1" w:styleId="TOC12">
    <w:name w:val="TOC 12"/>
    <w:next w:val="TOC10"/>
    <w:rsid w:val="000B1774"/>
    <w:pPr>
      <w:keepNext/>
      <w:spacing w:after="240"/>
      <w:jc w:val="center"/>
    </w:pPr>
    <w:rPr>
      <w:rFonts w:ascii="Times New Roman" w:eastAsia="Times New Roman" w:hAnsi="Times New Roman"/>
      <w:sz w:val="24"/>
      <w:lang w:eastAsia="en-US"/>
    </w:rPr>
  </w:style>
  <w:style w:type="paragraph" w:styleId="TOC7">
    <w:name w:val="toc 7"/>
    <w:basedOn w:val="Normal"/>
    <w:next w:val="Normal"/>
    <w:autoRedefine/>
    <w:semiHidden/>
    <w:rsid w:val="000B1774"/>
    <w:pPr>
      <w:tabs>
        <w:tab w:val="right" w:pos="7938"/>
      </w:tabs>
      <w:spacing w:before="80" w:after="80" w:line="220" w:lineRule="atLeast"/>
      <w:jc w:val="center"/>
    </w:pPr>
    <w:rPr>
      <w:rFonts w:ascii="Times New Roman" w:eastAsia="Times New Roman" w:hAnsi="Times New Roman"/>
      <w:noProof/>
      <w:sz w:val="25"/>
      <w:szCs w:val="20"/>
      <w:lang w:val="en-GB"/>
    </w:rPr>
  </w:style>
  <w:style w:type="paragraph" w:styleId="TOC8">
    <w:name w:val="toc 8"/>
    <w:basedOn w:val="Normal"/>
    <w:next w:val="Normal"/>
    <w:autoRedefine/>
    <w:semiHidden/>
    <w:rsid w:val="000B1774"/>
    <w:pPr>
      <w:tabs>
        <w:tab w:val="right" w:pos="7938"/>
      </w:tabs>
      <w:spacing w:after="80" w:line="220" w:lineRule="atLeast"/>
      <w:jc w:val="center"/>
    </w:pPr>
    <w:rPr>
      <w:rFonts w:ascii="Times New Roman" w:eastAsia="Times New Roman" w:hAnsi="Times New Roman"/>
      <w:noProof/>
      <w:sz w:val="24"/>
      <w:szCs w:val="20"/>
      <w:lang w:val="en-GB"/>
    </w:rPr>
  </w:style>
  <w:style w:type="paragraph" w:customStyle="1" w:styleId="TOC9Indent">
    <w:name w:val="TOC 9 Indent"/>
    <w:basedOn w:val="Normal"/>
    <w:rsid w:val="000B1774"/>
    <w:pPr>
      <w:keepLines/>
      <w:tabs>
        <w:tab w:val="left" w:pos="992"/>
        <w:tab w:val="right" w:pos="8277"/>
      </w:tabs>
      <w:spacing w:after="40"/>
      <w:ind w:left="992" w:right="720" w:hanging="992"/>
      <w:jc w:val="both"/>
    </w:pPr>
    <w:rPr>
      <w:rFonts w:ascii="Times New Roman" w:eastAsia="Times New Roman" w:hAnsi="Times New Roman"/>
      <w:sz w:val="21"/>
      <w:szCs w:val="20"/>
      <w:lang w:val="en-GB"/>
    </w:rPr>
  </w:style>
  <w:style w:type="paragraph" w:customStyle="1" w:styleId="XNote">
    <w:name w:val="X_Note"/>
    <w:basedOn w:val="Normal"/>
    <w:rsid w:val="000B1774"/>
    <w:pPr>
      <w:keepNext/>
      <w:spacing w:after="120" w:line="220" w:lineRule="atLeast"/>
      <w:jc w:val="center"/>
    </w:pPr>
    <w:rPr>
      <w:rFonts w:ascii="Times New Roman" w:eastAsia="Times New Roman" w:hAnsi="Times New Roman"/>
      <w:b/>
      <w:sz w:val="21"/>
      <w:szCs w:val="20"/>
      <w:lang w:val="en-GB"/>
    </w:rPr>
  </w:style>
  <w:style w:type="paragraph" w:customStyle="1" w:styleId="XNotenote">
    <w:name w:val="X_Note_note"/>
    <w:basedOn w:val="Normal"/>
    <w:next w:val="T1"/>
    <w:rsid w:val="000B1774"/>
    <w:pPr>
      <w:keepNext/>
      <w:spacing w:after="120" w:line="220" w:lineRule="atLeast"/>
      <w:jc w:val="center"/>
    </w:pPr>
    <w:rPr>
      <w:rFonts w:ascii="Times New Roman" w:eastAsia="Times New Roman" w:hAnsi="Times New Roman"/>
      <w:i/>
      <w:sz w:val="21"/>
      <w:szCs w:val="20"/>
      <w:lang w:val="en-GB"/>
    </w:rPr>
  </w:style>
  <w:style w:type="paragraph" w:customStyle="1" w:styleId="Price">
    <w:name w:val="Price"/>
    <w:basedOn w:val="Normal"/>
    <w:rsid w:val="000B1774"/>
    <w:pPr>
      <w:spacing w:before="600"/>
      <w:jc w:val="both"/>
    </w:pPr>
    <w:rPr>
      <w:rFonts w:ascii="Times New Roman" w:eastAsia="Times New Roman" w:hAnsi="Times New Roman"/>
      <w:sz w:val="20"/>
      <w:szCs w:val="20"/>
      <w:lang w:val="en-GB"/>
    </w:rPr>
  </w:style>
  <w:style w:type="paragraph" w:customStyle="1" w:styleId="PrinterDetail">
    <w:name w:val="PrinterDetail"/>
    <w:basedOn w:val="Normal"/>
    <w:rsid w:val="000B1774"/>
    <w:pPr>
      <w:spacing w:before="480"/>
      <w:jc w:val="both"/>
    </w:pPr>
    <w:rPr>
      <w:rFonts w:ascii="Times New Roman" w:eastAsia="Times New Roman" w:hAnsi="Times New Roman"/>
      <w:sz w:val="14"/>
      <w:szCs w:val="20"/>
      <w:lang w:val="en-GB"/>
    </w:rPr>
  </w:style>
  <w:style w:type="paragraph" w:customStyle="1" w:styleId="Copyright">
    <w:name w:val="Copyright"/>
    <w:basedOn w:val="Normal"/>
    <w:rsid w:val="000B1774"/>
    <w:pPr>
      <w:spacing w:after="80"/>
    </w:pPr>
    <w:rPr>
      <w:rFonts w:ascii="Times New Roman" w:eastAsia="Times New Roman" w:hAnsi="Times New Roman"/>
      <w:sz w:val="16"/>
      <w:lang w:val="en-GB" w:eastAsia="en-GB"/>
    </w:rPr>
  </w:style>
  <w:style w:type="paragraph" w:customStyle="1" w:styleId="CopyrightLine">
    <w:name w:val="Copyright Line"/>
    <w:basedOn w:val="Normal"/>
    <w:rsid w:val="000B1774"/>
    <w:pPr>
      <w:spacing w:line="220" w:lineRule="atLeast"/>
      <w:jc w:val="both"/>
    </w:pPr>
    <w:rPr>
      <w:rFonts w:ascii="Times New Roman" w:eastAsia="Times New Roman" w:hAnsi="Times New Roman"/>
      <w:sz w:val="16"/>
      <w:lang w:val="en-GB" w:eastAsia="en-GB"/>
    </w:rPr>
  </w:style>
  <w:style w:type="character" w:customStyle="1" w:styleId="legds2">
    <w:name w:val="legds2"/>
    <w:rsid w:val="000B1774"/>
    <w:rPr>
      <w:vanish w:val="0"/>
      <w:webHidden w:val="0"/>
      <w:specVanish w:val="0"/>
    </w:rPr>
  </w:style>
  <w:style w:type="paragraph" w:customStyle="1" w:styleId="legclearfix2">
    <w:name w:val="legclearfix2"/>
    <w:basedOn w:val="Normal"/>
    <w:rsid w:val="000B1774"/>
    <w:pPr>
      <w:shd w:val="clear" w:color="auto" w:fill="FFFFFF"/>
      <w:spacing w:after="120" w:line="360" w:lineRule="atLeast"/>
    </w:pPr>
    <w:rPr>
      <w:rFonts w:ascii="Times New Roman" w:eastAsia="Times New Roman" w:hAnsi="Times New Roman"/>
      <w:color w:val="000000"/>
      <w:sz w:val="19"/>
      <w:szCs w:val="19"/>
      <w:lang w:val="en-GB" w:eastAsia="en-GB"/>
    </w:rPr>
  </w:style>
  <w:style w:type="character" w:customStyle="1" w:styleId="legamendingtext">
    <w:name w:val="legamendingtext"/>
    <w:rsid w:val="000B1774"/>
  </w:style>
  <w:style w:type="paragraph" w:customStyle="1" w:styleId="legexpnotetext1">
    <w:name w:val="legexpnotetext1"/>
    <w:basedOn w:val="Normal"/>
    <w:rsid w:val="000B1774"/>
    <w:pPr>
      <w:shd w:val="clear" w:color="auto" w:fill="FFFFFF"/>
      <w:spacing w:after="120" w:line="360" w:lineRule="atLeast"/>
      <w:jc w:val="both"/>
    </w:pPr>
    <w:rPr>
      <w:rFonts w:ascii="Times New Roman" w:eastAsia="Times New Roman" w:hAnsi="Times New Roman"/>
      <w:color w:val="494949"/>
      <w:sz w:val="19"/>
      <w:szCs w:val="19"/>
      <w:lang w:val="en-GB" w:eastAsia="en-GB"/>
    </w:rPr>
  </w:style>
  <w:style w:type="paragraph" w:customStyle="1" w:styleId="Doctitleorange">
    <w:name w:val="Doc title orange"/>
    <w:basedOn w:val="Default"/>
    <w:qFormat/>
    <w:rsid w:val="000B1774"/>
    <w:rPr>
      <w:rFonts w:eastAsia="MS Mincho"/>
      <w:b/>
      <w:bCs/>
      <w:color w:val="FF6500"/>
      <w:sz w:val="52"/>
      <w:szCs w:val="52"/>
      <w:lang w:val="en-US" w:eastAsia="ja-JP"/>
    </w:rPr>
  </w:style>
  <w:style w:type="paragraph" w:styleId="BodyText2">
    <w:name w:val="Body Text 2"/>
    <w:basedOn w:val="Normal"/>
    <w:link w:val="BodyText2Char"/>
    <w:rsid w:val="000B1774"/>
    <w:pPr>
      <w:spacing w:line="480" w:lineRule="auto"/>
      <w:jc w:val="both"/>
    </w:pPr>
    <w:rPr>
      <w:rFonts w:ascii="Times New Roman" w:eastAsia="Times New Roman" w:hAnsi="Times New Roman"/>
      <w:sz w:val="20"/>
      <w:szCs w:val="20"/>
      <w:u w:val="single"/>
      <w:lang w:val="en-GB"/>
    </w:rPr>
  </w:style>
  <w:style w:type="character" w:customStyle="1" w:styleId="BodyText2Char">
    <w:name w:val="Body Text 2 Char"/>
    <w:basedOn w:val="DefaultParagraphFont"/>
    <w:link w:val="BodyText2"/>
    <w:rsid w:val="000B1774"/>
    <w:rPr>
      <w:rFonts w:ascii="Times New Roman" w:eastAsia="Times New Roman" w:hAnsi="Times New Roman"/>
      <w:u w:val="single"/>
      <w:lang w:eastAsia="en-US"/>
    </w:rPr>
  </w:style>
  <w:style w:type="paragraph" w:styleId="BodyTextIndent2">
    <w:name w:val="Body Text Indent 2"/>
    <w:basedOn w:val="Normal"/>
    <w:link w:val="BodyTextIndent2Char"/>
    <w:rsid w:val="000B1774"/>
    <w:pPr>
      <w:tabs>
        <w:tab w:val="left" w:pos="540"/>
      </w:tabs>
      <w:ind w:left="2127" w:hanging="2127"/>
      <w:jc w:val="both"/>
    </w:pPr>
    <w:rPr>
      <w:rFonts w:eastAsia="Times New Roman"/>
      <w:szCs w:val="20"/>
    </w:rPr>
  </w:style>
  <w:style w:type="character" w:customStyle="1" w:styleId="BodyTextIndent2Char">
    <w:name w:val="Body Text Indent 2 Char"/>
    <w:basedOn w:val="DefaultParagraphFont"/>
    <w:link w:val="BodyTextIndent2"/>
    <w:rsid w:val="000B1774"/>
    <w:rPr>
      <w:rFonts w:ascii="Arial" w:eastAsia="Times New Roman" w:hAnsi="Arial"/>
      <w:sz w:val="22"/>
      <w:lang w:val="en-US" w:eastAsia="en-US"/>
    </w:rPr>
  </w:style>
  <w:style w:type="paragraph" w:styleId="BodyTextIndent3">
    <w:name w:val="Body Text Indent 3"/>
    <w:basedOn w:val="Normal"/>
    <w:link w:val="BodyTextIndent3Char"/>
    <w:rsid w:val="000B1774"/>
    <w:pPr>
      <w:tabs>
        <w:tab w:val="left" w:pos="540"/>
      </w:tabs>
      <w:ind w:left="2268" w:hanging="2268"/>
      <w:jc w:val="both"/>
    </w:pPr>
    <w:rPr>
      <w:rFonts w:eastAsia="Times New Roman"/>
      <w:szCs w:val="20"/>
    </w:rPr>
  </w:style>
  <w:style w:type="character" w:customStyle="1" w:styleId="BodyTextIndent3Char">
    <w:name w:val="Body Text Indent 3 Char"/>
    <w:basedOn w:val="DefaultParagraphFont"/>
    <w:link w:val="BodyTextIndent3"/>
    <w:rsid w:val="000B1774"/>
    <w:rPr>
      <w:rFonts w:ascii="Arial" w:eastAsia="Times New Roman" w:hAnsi="Arial"/>
      <w:sz w:val="22"/>
      <w:lang w:val="en-US" w:eastAsia="en-US"/>
    </w:rPr>
  </w:style>
  <w:style w:type="paragraph" w:styleId="BodyText3">
    <w:name w:val="Body Text 3"/>
    <w:basedOn w:val="Normal"/>
    <w:link w:val="BodyText3Char"/>
    <w:rsid w:val="000B1774"/>
    <w:pPr>
      <w:jc w:val="both"/>
    </w:pPr>
    <w:rPr>
      <w:rFonts w:ascii="Times New Roman" w:eastAsia="Times New Roman" w:hAnsi="Times New Roman" w:cs="Arial"/>
      <w:b/>
      <w:bCs/>
      <w:sz w:val="24"/>
      <w:lang w:val="en-GB"/>
    </w:rPr>
  </w:style>
  <w:style w:type="character" w:customStyle="1" w:styleId="BodyText3Char">
    <w:name w:val="Body Text 3 Char"/>
    <w:basedOn w:val="DefaultParagraphFont"/>
    <w:link w:val="BodyText3"/>
    <w:rsid w:val="000B1774"/>
    <w:rPr>
      <w:rFonts w:ascii="Times New Roman" w:eastAsia="Times New Roman" w:hAnsi="Times New Roman" w:cs="Arial"/>
      <w:b/>
      <w:bCs/>
      <w:sz w:val="24"/>
      <w:szCs w:val="24"/>
      <w:lang w:eastAsia="en-US"/>
    </w:rPr>
  </w:style>
  <w:style w:type="paragraph" w:styleId="Revision">
    <w:name w:val="Revision"/>
    <w:hidden/>
    <w:uiPriority w:val="99"/>
    <w:semiHidden/>
    <w:rsid w:val="000B1774"/>
    <w:rPr>
      <w:rFonts w:ascii="Times New Roman" w:eastAsia="Times New Roman" w:hAnsi="Times New Roman"/>
      <w:sz w:val="24"/>
      <w:szCs w:val="24"/>
    </w:rPr>
  </w:style>
  <w:style w:type="paragraph" w:styleId="NormalWeb">
    <w:name w:val="Normal (Web)"/>
    <w:basedOn w:val="Normal"/>
    <w:uiPriority w:val="99"/>
    <w:semiHidden/>
    <w:unhideWhenUsed/>
    <w:rsid w:val="000B1774"/>
    <w:pPr>
      <w:spacing w:before="100" w:beforeAutospacing="1" w:after="100" w:afterAutospacing="1"/>
    </w:pPr>
    <w:rPr>
      <w:rFonts w:ascii="Times New Roman" w:eastAsia="Times New Roman" w:hAnsi="Times New Roman"/>
      <w:sz w:val="24"/>
      <w:lang w:val="en-GB" w:eastAsia="en-GB"/>
    </w:rPr>
  </w:style>
  <w:style w:type="character" w:styleId="Mention">
    <w:name w:val="Mention"/>
    <w:basedOn w:val="DefaultParagraphFont"/>
    <w:uiPriority w:val="99"/>
    <w:rsid w:val="00AF330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9388680">
      <w:bodyDiv w:val="1"/>
      <w:marLeft w:val="0"/>
      <w:marRight w:val="0"/>
      <w:marTop w:val="0"/>
      <w:marBottom w:val="0"/>
      <w:divBdr>
        <w:top w:val="none" w:sz="0" w:space="0" w:color="auto"/>
        <w:left w:val="none" w:sz="0" w:space="0" w:color="auto"/>
        <w:bottom w:val="none" w:sz="0" w:space="0" w:color="auto"/>
        <w:right w:val="none" w:sz="0" w:space="0" w:color="auto"/>
      </w:divBdr>
    </w:div>
    <w:div w:id="1656495301">
      <w:bodyDiv w:val="1"/>
      <w:marLeft w:val="0"/>
      <w:marRight w:val="0"/>
      <w:marTop w:val="0"/>
      <w:marBottom w:val="0"/>
      <w:divBdr>
        <w:top w:val="none" w:sz="0" w:space="0" w:color="auto"/>
        <w:left w:val="none" w:sz="0" w:space="0" w:color="auto"/>
        <w:bottom w:val="none" w:sz="0" w:space="0" w:color="auto"/>
        <w:right w:val="none" w:sz="0" w:space="0" w:color="auto"/>
      </w:divBdr>
    </w:div>
    <w:div w:id="20552291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haritysorp.org/media/647775/information-sheet-3-the-companies-misc-reporting-regs-2018.pdf" TargetMode="External"/><Relationship Id="rId18" Type="http://schemas.openxmlformats.org/officeDocument/2006/relationships/header" Target="header2.xml"/><Relationship Id="rId26" Type="http://schemas.openxmlformats.org/officeDocument/2006/relationships/image" Target="media/image6.png"/><Relationship Id="rId39" Type="http://schemas.openxmlformats.org/officeDocument/2006/relationships/footer" Target="footer6.xml"/><Relationship Id="rId21" Type="http://schemas.openxmlformats.org/officeDocument/2006/relationships/header" Target="header3.xml"/><Relationship Id="rId34" Type="http://schemas.openxmlformats.org/officeDocument/2006/relationships/header" Target="header6.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haritysorp.org/media/648647/information-sheet-6-irish-charities-pdf.pdf" TargetMode="External"/><Relationship Id="rId20" Type="http://schemas.openxmlformats.org/officeDocument/2006/relationships/footer" Target="footer2.xml"/><Relationship Id="rId29" Type="http://schemas.openxmlformats.org/officeDocument/2006/relationships/hyperlink" Target="mailto:chief.exec@otm.org.u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aritysorp.org/media/645536/charities-sorp-information-sheet-implementation-issues-april-2017.pdf" TargetMode="External"/><Relationship Id="rId24" Type="http://schemas.openxmlformats.org/officeDocument/2006/relationships/footer" Target="footer4.xml"/><Relationship Id="rId32" Type="http://schemas.openxmlformats.org/officeDocument/2006/relationships/hyperlink" Target="https://www.hfma.org.uk/publications/nhs-trust-nhs-charity-recharges" TargetMode="External"/><Relationship Id="rId37" Type="http://schemas.openxmlformats.org/officeDocument/2006/relationships/hyperlink" Target="http://www.hfma.org.uk/"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haritysorp.org/media/649161/sorp-information-sheet-5-sept-2020.pdf" TargetMode="External"/><Relationship Id="rId23" Type="http://schemas.openxmlformats.org/officeDocument/2006/relationships/header" Target="header4.xml"/><Relationship Id="rId28" Type="http://schemas.openxmlformats.org/officeDocument/2006/relationships/hyperlink" Target="https://wellcome.org/" TargetMode="External"/><Relationship Id="rId36" Type="http://schemas.openxmlformats.org/officeDocument/2006/relationships/hyperlink" Target="mailto:info@hfma.org.uk"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mailto:chief.exec@hhft.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aritysorp.org/media/648163/information-sheet-4-frs-102.pdf" TargetMode="External"/><Relationship Id="rId22" Type="http://schemas.openxmlformats.org/officeDocument/2006/relationships/footer" Target="footer3.xml"/><Relationship Id="rId27" Type="http://schemas.openxmlformats.org/officeDocument/2006/relationships/hyperlink" Target="https://www.nihr.ac.uk/" TargetMode="External"/><Relationship Id="rId30" Type="http://schemas.openxmlformats.org/officeDocument/2006/relationships/hyperlink" Target="mailto:fundraising@otm.org.uk" TargetMode="External"/><Relationship Id="rId35" Type="http://schemas.openxmlformats.org/officeDocument/2006/relationships/footer" Target="footer5.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charitysorp.org/media/646752/Charities-SORP-Information-Sheet-2-January-2019.pdf" TargetMode="External"/><Relationship Id="rId17" Type="http://schemas.openxmlformats.org/officeDocument/2006/relationships/header" Target="header1.xml"/><Relationship Id="rId25" Type="http://schemas.openxmlformats.org/officeDocument/2006/relationships/image" Target="media/image5.png"/><Relationship Id="rId33" Type="http://schemas.openxmlformats.org/officeDocument/2006/relationships/header" Target="header5.xml"/><Relationship Id="rId38" Type="http://schemas.openxmlformats.org/officeDocument/2006/relationships/header" Target="header7.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8" Type="http://schemas.openxmlformats.org/officeDocument/2006/relationships/hyperlink" Target="https://www.charitycommissionni.org.uk/manage-your-charity/annual-reporting/" TargetMode="External"/><Relationship Id="rId13" Type="http://schemas.openxmlformats.org/officeDocument/2006/relationships/hyperlink" Target="https://www.fundraisingregulator.org.uk/more-from-us/resources/charities-act-2016-fundraising-reporting-requirements-guidance" TargetMode="External"/><Relationship Id="rId18" Type="http://schemas.openxmlformats.org/officeDocument/2006/relationships/hyperlink" Target="https://www.ons.gov.uk/peoplepopulationandcommunity/personalandhouseholdfinances/incomeandwealth/datasets/mappingincomedeprivationatalocalauthoritylevel" TargetMode="External"/><Relationship Id="rId26" Type="http://schemas.openxmlformats.org/officeDocument/2006/relationships/hyperlink" Target="https://www.hfma.org.uk/publications/nhs-trust-nhs-charity-recharges" TargetMode="External"/><Relationship Id="rId3" Type="http://schemas.openxmlformats.org/officeDocument/2006/relationships/hyperlink" Target="https://www.frc.org.uk/accountants/accounting-and-reporting-policy/uk-accounting-standards/standards-in-issue/frs-102-the-financial-reporting-standard-applicabl" TargetMode="External"/><Relationship Id="rId21" Type="http://schemas.openxmlformats.org/officeDocument/2006/relationships/hyperlink" Target="http://www.gov.uk/government/uploads/system/uploads/attachment_data/file/419157/NHS_Charities_guidance.pdf" TargetMode="External"/><Relationship Id="rId7" Type="http://schemas.openxmlformats.org/officeDocument/2006/relationships/hyperlink" Target="https://www.oscr.org.uk/guidance-and-forms/meeting-the-charity-test-guidance/public-benefit/" TargetMode="External"/><Relationship Id="rId12" Type="http://schemas.openxmlformats.org/officeDocument/2006/relationships/hyperlink" Target="http://www.legislation.gov.uk/ukpga/2016/4/section/13" TargetMode="External"/><Relationship Id="rId17" Type="http://schemas.openxmlformats.org/officeDocument/2006/relationships/hyperlink" Target="https://www.nhscharitiestogether.co.uk/" TargetMode="External"/><Relationship Id="rId25" Type="http://schemas.openxmlformats.org/officeDocument/2006/relationships/hyperlink" Target="https://www.hfma.org.uk/publications/details/income-recognition-for-nhs-charities" TargetMode="External"/><Relationship Id="rId2" Type="http://schemas.openxmlformats.org/officeDocument/2006/relationships/hyperlink" Target="http://www.charitysorp.org/choose-sorp-modules/charities-sorp-frs102/" TargetMode="External"/><Relationship Id="rId16" Type="http://schemas.openxmlformats.org/officeDocument/2006/relationships/hyperlink" Target="https://www.fundraisingregulator.org.uk/code" TargetMode="External"/><Relationship Id="rId20" Type="http://schemas.openxmlformats.org/officeDocument/2006/relationships/hyperlink" Target="https://assets.publishing.service.gov.uk/government/uploads/system/uploads/attachment_data/file/640425/NHS_Funds_held_on_Trust_FINAL.pdf" TargetMode="External"/><Relationship Id="rId1" Type="http://schemas.openxmlformats.org/officeDocument/2006/relationships/hyperlink" Target="https://www.gov.uk/government/publications/charity-reporting-and-accounting-the-essentials-november-2016-cc15d/charity-reporting-and-accounting-the-essentials-november-2016-cc15d--2" TargetMode="External"/><Relationship Id="rId6" Type="http://schemas.openxmlformats.org/officeDocument/2006/relationships/hyperlink" Target="https://www.charitysorp.org/home" TargetMode="External"/><Relationship Id="rId11" Type="http://schemas.openxmlformats.org/officeDocument/2006/relationships/hyperlink" Target="http://www.legislation.gov.uk/ukpga/2011/25/section/162A" TargetMode="External"/><Relationship Id="rId24" Type="http://schemas.openxmlformats.org/officeDocument/2006/relationships/hyperlink" Target="https://www.gov.uk/government/publications/accounts-monitoring-review-reporting-of-related-party-transactions-in-charity-accounts" TargetMode="External"/><Relationship Id="rId5" Type="http://schemas.openxmlformats.org/officeDocument/2006/relationships/hyperlink" Target="https://www.frc.org.uk/news-and-events/news/2024/03/frc-revises-uk-and-ireland-accounting-standards/" TargetMode="External"/><Relationship Id="rId15" Type="http://schemas.openxmlformats.org/officeDocument/2006/relationships/hyperlink" Target="https://www.gov.uk/government/publications/charities-and-fundraising-cc20" TargetMode="External"/><Relationship Id="rId23" Type="http://schemas.openxmlformats.org/officeDocument/2006/relationships/hyperlink" Target="https://www.frc.org.uk/news/april-2016/guidance-on-the-going-concern-basis-of-accounting" TargetMode="External"/><Relationship Id="rId10" Type="http://schemas.openxmlformats.org/officeDocument/2006/relationships/hyperlink" Target="https://www.gov.uk/government/publications/accounts-monitoring-review-public-benefit-reporting-by-charities/public-benefit-reporting-by-charities" TargetMode="External"/><Relationship Id="rId19" Type="http://schemas.openxmlformats.org/officeDocument/2006/relationships/hyperlink" Target="https://www.gov.uk/government/publications/charity-reserves-policies-demonstrating-and-building-resilience/charity-reserves-policies-demonstrating-and-building-resilience" TargetMode="External"/><Relationship Id="rId4" Type="http://schemas.openxmlformats.org/officeDocument/2006/relationships/hyperlink" Target="http://www.charitysorp.org/about-the-sorp/helpsheets/" TargetMode="External"/><Relationship Id="rId9" Type="http://schemas.openxmlformats.org/officeDocument/2006/relationships/hyperlink" Target="https://www.gov.uk/government/collections/charitable-purposes-and-public-benefit" TargetMode="External"/><Relationship Id="rId14" Type="http://schemas.openxmlformats.org/officeDocument/2006/relationships/hyperlink" Target="https://www.gov.uk/government/publications/charity-reporting-and-accounting-the-essentials-november-2016-cc15d" TargetMode="External"/><Relationship Id="rId22" Type="http://schemas.openxmlformats.org/officeDocument/2006/relationships/hyperlink" Target="http://www.gov.uk/government/publications/charity-reporting-and-accounting-the-essentials-november-2016-cc15d" TargetMode="External"/><Relationship Id="rId27" Type="http://schemas.openxmlformats.org/officeDocument/2006/relationships/hyperlink" Target="https://www.gov.uk/government/publications/accounts-monitoring-review-reporting-of-related-party-transactions-in-charity-accounts"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asterhead Template">
      <a:dk1>
        <a:srgbClr val="595857"/>
      </a:dk1>
      <a:lt1>
        <a:srgbClr val="FFFFFF"/>
      </a:lt1>
      <a:dk2>
        <a:srgbClr val="44546A"/>
      </a:dk2>
      <a:lt2>
        <a:srgbClr val="FF6600"/>
      </a:lt2>
      <a:accent1>
        <a:srgbClr val="293A95"/>
      </a:accent1>
      <a:accent2>
        <a:srgbClr val="64AFE1"/>
      </a:accent2>
      <a:accent3>
        <a:srgbClr val="01818F"/>
      </a:accent3>
      <a:accent4>
        <a:srgbClr val="51832B"/>
      </a:accent4>
      <a:accent5>
        <a:srgbClr val="AB1F4E"/>
      </a:accent5>
      <a:accent6>
        <a:srgbClr val="E73443"/>
      </a:accent6>
      <a:hlink>
        <a:srgbClr val="64AFE1"/>
      </a:hlink>
      <a:folHlink>
        <a:srgbClr val="293A9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1E081727DD234AB3B8B13F6BF64A00" ma:contentTypeVersion="18" ma:contentTypeDescription="Create a new document." ma:contentTypeScope="" ma:versionID="5d6d1b9e3a8d2a5f819664c328f42155">
  <xsd:schema xmlns:xsd="http://www.w3.org/2001/XMLSchema" xmlns:xs="http://www.w3.org/2001/XMLSchema" xmlns:p="http://schemas.microsoft.com/office/2006/metadata/properties" xmlns:ns2="906b7996-7a59-4ce4-9f89-259b7d2cd36e" xmlns:ns3="e8f5f3e8-a204-462c-b23a-74ca3b8f11c6" xmlns:ns4="8f5d9ec7-e2dd-4709-ad84-1bee4d5f0a4d" targetNamespace="http://schemas.microsoft.com/office/2006/metadata/properties" ma:root="true" ma:fieldsID="1aa2a59d4f06ceff319b46b053881923" ns2:_="" ns3:_="" ns4:_="">
    <xsd:import namespace="906b7996-7a59-4ce4-9f89-259b7d2cd36e"/>
    <xsd:import namespace="e8f5f3e8-a204-462c-b23a-74ca3b8f11c6"/>
    <xsd:import namespace="8f5d9ec7-e2dd-4709-ad84-1bee4d5f0a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6b7996-7a59-4ce4-9f89-259b7d2cd3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cd38df2-dab6-48e9-bb76-42d0e663aaa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f5f3e8-a204-462c-b23a-74ca3b8f11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5d9ec7-e2dd-4709-ad84-1bee4d5f0a4d"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a1806a2c-5050-4490-821c-120082b1ae7a}" ma:internalName="TaxCatchAll" ma:showField="CatchAllData" ma:web="8f5d9ec7-e2dd-4709-ad84-1bee4d5f0a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8f5f3e8-a204-462c-b23a-74ca3b8f11c6">
      <UserInfo>
        <DisplayName>Lauren Payne</DisplayName>
        <AccountId>6448</AccountId>
        <AccountType/>
      </UserInfo>
      <UserInfo>
        <DisplayName>Debbie Paterson</DisplayName>
        <AccountId>139</AccountId>
        <AccountType/>
      </UserInfo>
    </SharedWithUsers>
    <lcf76f155ced4ddcb4097134ff3c332f xmlns="906b7996-7a59-4ce4-9f89-259b7d2cd36e">
      <Terms xmlns="http://schemas.microsoft.com/office/infopath/2007/PartnerControls"/>
    </lcf76f155ced4ddcb4097134ff3c332f>
    <TaxCatchAll xmlns="8f5d9ec7-e2dd-4709-ad84-1bee4d5f0a4d"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C36849-0126-4229-951D-B8F06A27C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6b7996-7a59-4ce4-9f89-259b7d2cd36e"/>
    <ds:schemaRef ds:uri="e8f5f3e8-a204-462c-b23a-74ca3b8f11c6"/>
    <ds:schemaRef ds:uri="8f5d9ec7-e2dd-4709-ad84-1bee4d5f0a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298342-C482-42C9-AED3-FB0A23BF092D}">
  <ds:schemaRefs>
    <ds:schemaRef ds:uri="http://schemas.microsoft.com/office/2006/metadata/properties"/>
    <ds:schemaRef ds:uri="http://schemas.microsoft.com/office/infopath/2007/PartnerControls"/>
    <ds:schemaRef ds:uri="e8f5f3e8-a204-462c-b23a-74ca3b8f11c6"/>
    <ds:schemaRef ds:uri="906b7996-7a59-4ce4-9f89-259b7d2cd36e"/>
    <ds:schemaRef ds:uri="8f5d9ec7-e2dd-4709-ad84-1bee4d5f0a4d"/>
  </ds:schemaRefs>
</ds:datastoreItem>
</file>

<file path=customXml/itemProps3.xml><?xml version="1.0" encoding="utf-8"?>
<ds:datastoreItem xmlns:ds="http://schemas.openxmlformats.org/officeDocument/2006/customXml" ds:itemID="{01BA2E0A-29DC-4E9C-9804-F128D7F345A3}">
  <ds:schemaRefs>
    <ds:schemaRef ds:uri="http://schemas.openxmlformats.org/officeDocument/2006/bibliography"/>
  </ds:schemaRefs>
</ds:datastoreItem>
</file>

<file path=customXml/itemProps4.xml><?xml version="1.0" encoding="utf-8"?>
<ds:datastoreItem xmlns:ds="http://schemas.openxmlformats.org/officeDocument/2006/customXml" ds:itemID="{14DA8EE2-57FB-40A3-94B3-1A6CE628C8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58</Pages>
  <Words>22071</Words>
  <Characters>125807</Characters>
  <Application>Microsoft Office Word</Application>
  <DocSecurity>0</DocSecurity>
  <Lines>1048</Lines>
  <Paragraphs>295</Paragraphs>
  <ScaleCrop>false</ScaleCrop>
  <Company/>
  <LinksUpToDate>false</LinksUpToDate>
  <CharactersWithSpaces>147583</CharactersWithSpaces>
  <SharedDoc>false</SharedDoc>
  <HLinks>
    <vt:vector size="264" baseType="variant">
      <vt:variant>
        <vt:i4>3604522</vt:i4>
      </vt:variant>
      <vt:variant>
        <vt:i4>270</vt:i4>
      </vt:variant>
      <vt:variant>
        <vt:i4>0</vt:i4>
      </vt:variant>
      <vt:variant>
        <vt:i4>5</vt:i4>
      </vt:variant>
      <vt:variant>
        <vt:lpwstr>http://www.hfma.org.uk/</vt:lpwstr>
      </vt:variant>
      <vt:variant>
        <vt:lpwstr/>
      </vt:variant>
      <vt:variant>
        <vt:i4>5701692</vt:i4>
      </vt:variant>
      <vt:variant>
        <vt:i4>267</vt:i4>
      </vt:variant>
      <vt:variant>
        <vt:i4>0</vt:i4>
      </vt:variant>
      <vt:variant>
        <vt:i4>5</vt:i4>
      </vt:variant>
      <vt:variant>
        <vt:lpwstr>mailto:info@hfma.org.uk</vt:lpwstr>
      </vt:variant>
      <vt:variant>
        <vt:lpwstr/>
      </vt:variant>
      <vt:variant>
        <vt:i4>786459</vt:i4>
      </vt:variant>
      <vt:variant>
        <vt:i4>264</vt:i4>
      </vt:variant>
      <vt:variant>
        <vt:i4>0</vt:i4>
      </vt:variant>
      <vt:variant>
        <vt:i4>5</vt:i4>
      </vt:variant>
      <vt:variant>
        <vt:lpwstr>https://www.hfma.org.uk/publications/nhs-trust-nhs-charity-recharges</vt:lpwstr>
      </vt:variant>
      <vt:variant>
        <vt:lpwstr/>
      </vt:variant>
      <vt:variant>
        <vt:i4>3080206</vt:i4>
      </vt:variant>
      <vt:variant>
        <vt:i4>174</vt:i4>
      </vt:variant>
      <vt:variant>
        <vt:i4>0</vt:i4>
      </vt:variant>
      <vt:variant>
        <vt:i4>5</vt:i4>
      </vt:variant>
      <vt:variant>
        <vt:lpwstr>mailto:chief.exec@hhft.org.uk</vt:lpwstr>
      </vt:variant>
      <vt:variant>
        <vt:lpwstr/>
      </vt:variant>
      <vt:variant>
        <vt:i4>97</vt:i4>
      </vt:variant>
      <vt:variant>
        <vt:i4>171</vt:i4>
      </vt:variant>
      <vt:variant>
        <vt:i4>0</vt:i4>
      </vt:variant>
      <vt:variant>
        <vt:i4>5</vt:i4>
      </vt:variant>
      <vt:variant>
        <vt:lpwstr>mailto:fundraising@otm.org.uk</vt:lpwstr>
      </vt:variant>
      <vt:variant>
        <vt:lpwstr/>
      </vt:variant>
      <vt:variant>
        <vt:i4>2293773</vt:i4>
      </vt:variant>
      <vt:variant>
        <vt:i4>168</vt:i4>
      </vt:variant>
      <vt:variant>
        <vt:i4>0</vt:i4>
      </vt:variant>
      <vt:variant>
        <vt:i4>5</vt:i4>
      </vt:variant>
      <vt:variant>
        <vt:lpwstr>mailto:chief.exec@otm.org.uk</vt:lpwstr>
      </vt:variant>
      <vt:variant>
        <vt:lpwstr/>
      </vt:variant>
      <vt:variant>
        <vt:i4>1703945</vt:i4>
      </vt:variant>
      <vt:variant>
        <vt:i4>132</vt:i4>
      </vt:variant>
      <vt:variant>
        <vt:i4>0</vt:i4>
      </vt:variant>
      <vt:variant>
        <vt:i4>5</vt:i4>
      </vt:variant>
      <vt:variant>
        <vt:lpwstr>https://wellcome.org/</vt:lpwstr>
      </vt:variant>
      <vt:variant>
        <vt:lpwstr/>
      </vt:variant>
      <vt:variant>
        <vt:i4>7798910</vt:i4>
      </vt:variant>
      <vt:variant>
        <vt:i4>129</vt:i4>
      </vt:variant>
      <vt:variant>
        <vt:i4>0</vt:i4>
      </vt:variant>
      <vt:variant>
        <vt:i4>5</vt:i4>
      </vt:variant>
      <vt:variant>
        <vt:lpwstr>https://www.nihr.ac.uk/</vt:lpwstr>
      </vt:variant>
      <vt:variant>
        <vt:lpwstr/>
      </vt:variant>
      <vt:variant>
        <vt:i4>1310795</vt:i4>
      </vt:variant>
      <vt:variant>
        <vt:i4>15</vt:i4>
      </vt:variant>
      <vt:variant>
        <vt:i4>0</vt:i4>
      </vt:variant>
      <vt:variant>
        <vt:i4>5</vt:i4>
      </vt:variant>
      <vt:variant>
        <vt:lpwstr>https://www.charitysorp.org/media/648647/information-sheet-6-irish-charities-pdf.pdf</vt:lpwstr>
      </vt:variant>
      <vt:variant>
        <vt:lpwstr/>
      </vt:variant>
      <vt:variant>
        <vt:i4>6488118</vt:i4>
      </vt:variant>
      <vt:variant>
        <vt:i4>12</vt:i4>
      </vt:variant>
      <vt:variant>
        <vt:i4>0</vt:i4>
      </vt:variant>
      <vt:variant>
        <vt:i4>5</vt:i4>
      </vt:variant>
      <vt:variant>
        <vt:lpwstr>https://www.charitysorp.org/media/649161/sorp-information-sheet-5-sept-2020.pdf</vt:lpwstr>
      </vt:variant>
      <vt:variant>
        <vt:lpwstr/>
      </vt:variant>
      <vt:variant>
        <vt:i4>786504</vt:i4>
      </vt:variant>
      <vt:variant>
        <vt:i4>9</vt:i4>
      </vt:variant>
      <vt:variant>
        <vt:i4>0</vt:i4>
      </vt:variant>
      <vt:variant>
        <vt:i4>5</vt:i4>
      </vt:variant>
      <vt:variant>
        <vt:lpwstr>https://www.charitysorp.org/media/648163/information-sheet-4-frs-102.pdf</vt:lpwstr>
      </vt:variant>
      <vt:variant>
        <vt:lpwstr/>
      </vt:variant>
      <vt:variant>
        <vt:i4>4063275</vt:i4>
      </vt:variant>
      <vt:variant>
        <vt:i4>6</vt:i4>
      </vt:variant>
      <vt:variant>
        <vt:i4>0</vt:i4>
      </vt:variant>
      <vt:variant>
        <vt:i4>5</vt:i4>
      </vt:variant>
      <vt:variant>
        <vt:lpwstr>https://www.charitysorp.org/media/647775/information-sheet-3-the-companies-misc-reporting-regs-2018.pdf</vt:lpwstr>
      </vt:variant>
      <vt:variant>
        <vt:lpwstr/>
      </vt:variant>
      <vt:variant>
        <vt:i4>1572880</vt:i4>
      </vt:variant>
      <vt:variant>
        <vt:i4>3</vt:i4>
      </vt:variant>
      <vt:variant>
        <vt:i4>0</vt:i4>
      </vt:variant>
      <vt:variant>
        <vt:i4>5</vt:i4>
      </vt:variant>
      <vt:variant>
        <vt:lpwstr>https://www.charitysorp.org/media/646752/Charities-SORP-Information-Sheet-2-January-2019.pdf</vt:lpwstr>
      </vt:variant>
      <vt:variant>
        <vt:lpwstr/>
      </vt:variant>
      <vt:variant>
        <vt:i4>7602282</vt:i4>
      </vt:variant>
      <vt:variant>
        <vt:i4>0</vt:i4>
      </vt:variant>
      <vt:variant>
        <vt:i4>0</vt:i4>
      </vt:variant>
      <vt:variant>
        <vt:i4>5</vt:i4>
      </vt:variant>
      <vt:variant>
        <vt:lpwstr>https://www.charitysorp.org/media/645536/charities-sorp-information-sheet-implementation-issues-april-2017.pdf</vt:lpwstr>
      </vt:variant>
      <vt:variant>
        <vt:lpwstr/>
      </vt:variant>
      <vt:variant>
        <vt:i4>4456536</vt:i4>
      </vt:variant>
      <vt:variant>
        <vt:i4>69</vt:i4>
      </vt:variant>
      <vt:variant>
        <vt:i4>0</vt:i4>
      </vt:variant>
      <vt:variant>
        <vt:i4>5</vt:i4>
      </vt:variant>
      <vt:variant>
        <vt:lpwstr>https://www.gov.uk/government/publications/accounts-monitoring-review-reporting-of-related-party-transactions-in-charity-accounts</vt:lpwstr>
      </vt:variant>
      <vt:variant>
        <vt:lpwstr/>
      </vt:variant>
      <vt:variant>
        <vt:i4>1114206</vt:i4>
      </vt:variant>
      <vt:variant>
        <vt:i4>66</vt:i4>
      </vt:variant>
      <vt:variant>
        <vt:i4>0</vt:i4>
      </vt:variant>
      <vt:variant>
        <vt:i4>5</vt:i4>
      </vt:variant>
      <vt:variant>
        <vt:lpwstr>https://www.hfma.org.uk/publications/details/income-recognition-for-nhs-charities</vt:lpwstr>
      </vt:variant>
      <vt:variant>
        <vt:lpwstr/>
      </vt:variant>
      <vt:variant>
        <vt:i4>4456536</vt:i4>
      </vt:variant>
      <vt:variant>
        <vt:i4>63</vt:i4>
      </vt:variant>
      <vt:variant>
        <vt:i4>0</vt:i4>
      </vt:variant>
      <vt:variant>
        <vt:i4>5</vt:i4>
      </vt:variant>
      <vt:variant>
        <vt:lpwstr>https://www.gov.uk/government/publications/accounts-monitoring-review-reporting-of-related-party-transactions-in-charity-accounts</vt:lpwstr>
      </vt:variant>
      <vt:variant>
        <vt:lpwstr/>
      </vt:variant>
      <vt:variant>
        <vt:i4>5898270</vt:i4>
      </vt:variant>
      <vt:variant>
        <vt:i4>60</vt:i4>
      </vt:variant>
      <vt:variant>
        <vt:i4>0</vt:i4>
      </vt:variant>
      <vt:variant>
        <vt:i4>5</vt:i4>
      </vt:variant>
      <vt:variant>
        <vt:lpwstr>https://www.frc.org.uk/news/april-2016/guidance-on-the-going-concern-basis-of-accounting</vt:lpwstr>
      </vt:variant>
      <vt:variant>
        <vt:lpwstr/>
      </vt:variant>
      <vt:variant>
        <vt:i4>5570642</vt:i4>
      </vt:variant>
      <vt:variant>
        <vt:i4>57</vt:i4>
      </vt:variant>
      <vt:variant>
        <vt:i4>0</vt:i4>
      </vt:variant>
      <vt:variant>
        <vt:i4>5</vt:i4>
      </vt:variant>
      <vt:variant>
        <vt:lpwstr>http://www.gov.uk/government/publications/charity-reporting-and-accounting-the-essentials-november-2016-cc15d</vt:lpwstr>
      </vt:variant>
      <vt:variant>
        <vt:lpwstr/>
      </vt:variant>
      <vt:variant>
        <vt:i4>2555928</vt:i4>
      </vt:variant>
      <vt:variant>
        <vt:i4>54</vt:i4>
      </vt:variant>
      <vt:variant>
        <vt:i4>0</vt:i4>
      </vt:variant>
      <vt:variant>
        <vt:i4>5</vt:i4>
      </vt:variant>
      <vt:variant>
        <vt:lpwstr>http://www.gov.uk/government/uploads/system/uploads/attachment_data/file/419157/NHS_Charities_guidance.pdf</vt:lpwstr>
      </vt:variant>
      <vt:variant>
        <vt:lpwstr/>
      </vt:variant>
      <vt:variant>
        <vt:i4>5046362</vt:i4>
      </vt:variant>
      <vt:variant>
        <vt:i4>51</vt:i4>
      </vt:variant>
      <vt:variant>
        <vt:i4>0</vt:i4>
      </vt:variant>
      <vt:variant>
        <vt:i4>5</vt:i4>
      </vt:variant>
      <vt:variant>
        <vt:lpwstr>https://assets.publishing.service.gov.uk/government/uploads/system/uploads/attachment_data/file/640425/NHS_Funds_held_on_Trust_FINAL.pdf</vt:lpwstr>
      </vt:variant>
      <vt:variant>
        <vt:lpwstr/>
      </vt:variant>
      <vt:variant>
        <vt:i4>4128867</vt:i4>
      </vt:variant>
      <vt:variant>
        <vt:i4>48</vt:i4>
      </vt:variant>
      <vt:variant>
        <vt:i4>0</vt:i4>
      </vt:variant>
      <vt:variant>
        <vt:i4>5</vt:i4>
      </vt:variant>
      <vt:variant>
        <vt:lpwstr>https://www.gov.uk/government/publications/charity-reserves-policies-demonstrating-and-building-resilience/charity-reserves-policies-demonstrating-and-building-resilience</vt:lpwstr>
      </vt:variant>
      <vt:variant>
        <vt:lpwstr/>
      </vt:variant>
      <vt:variant>
        <vt:i4>4653083</vt:i4>
      </vt:variant>
      <vt:variant>
        <vt:i4>45</vt:i4>
      </vt:variant>
      <vt:variant>
        <vt:i4>0</vt:i4>
      </vt:variant>
      <vt:variant>
        <vt:i4>5</vt:i4>
      </vt:variant>
      <vt:variant>
        <vt:lpwstr>https://www.ons.gov.uk/peoplepopulationandcommunity/personalandhouseholdfinances/incomeandwealth/datasets/mappingincomedeprivationatalocalauthoritylevel</vt:lpwstr>
      </vt:variant>
      <vt:variant>
        <vt:lpwstr/>
      </vt:variant>
      <vt:variant>
        <vt:i4>6750304</vt:i4>
      </vt:variant>
      <vt:variant>
        <vt:i4>42</vt:i4>
      </vt:variant>
      <vt:variant>
        <vt:i4>0</vt:i4>
      </vt:variant>
      <vt:variant>
        <vt:i4>5</vt:i4>
      </vt:variant>
      <vt:variant>
        <vt:lpwstr>https://www.nhscharitiestogether.co.uk/</vt:lpwstr>
      </vt:variant>
      <vt:variant>
        <vt:lpwstr/>
      </vt:variant>
      <vt:variant>
        <vt:i4>131165</vt:i4>
      </vt:variant>
      <vt:variant>
        <vt:i4>39</vt:i4>
      </vt:variant>
      <vt:variant>
        <vt:i4>0</vt:i4>
      </vt:variant>
      <vt:variant>
        <vt:i4>5</vt:i4>
      </vt:variant>
      <vt:variant>
        <vt:lpwstr>https://www.fundraisingregulator.org.uk/code</vt:lpwstr>
      </vt:variant>
      <vt:variant>
        <vt:lpwstr/>
      </vt:variant>
      <vt:variant>
        <vt:i4>458762</vt:i4>
      </vt:variant>
      <vt:variant>
        <vt:i4>36</vt:i4>
      </vt:variant>
      <vt:variant>
        <vt:i4>0</vt:i4>
      </vt:variant>
      <vt:variant>
        <vt:i4>5</vt:i4>
      </vt:variant>
      <vt:variant>
        <vt:lpwstr>https://www.gov.uk/government/publications/charities-and-fundraising-cc20</vt:lpwstr>
      </vt:variant>
      <vt:variant>
        <vt:lpwstr/>
      </vt:variant>
      <vt:variant>
        <vt:i4>3014718</vt:i4>
      </vt:variant>
      <vt:variant>
        <vt:i4>33</vt:i4>
      </vt:variant>
      <vt:variant>
        <vt:i4>0</vt:i4>
      </vt:variant>
      <vt:variant>
        <vt:i4>5</vt:i4>
      </vt:variant>
      <vt:variant>
        <vt:lpwstr>https://www.gov.uk/government/publications/charity-reporting-and-accounting-the-essentials-november-2016-cc15d</vt:lpwstr>
      </vt:variant>
      <vt:variant>
        <vt:lpwstr/>
      </vt:variant>
      <vt:variant>
        <vt:i4>1572958</vt:i4>
      </vt:variant>
      <vt:variant>
        <vt:i4>30</vt:i4>
      </vt:variant>
      <vt:variant>
        <vt:i4>0</vt:i4>
      </vt:variant>
      <vt:variant>
        <vt:i4>5</vt:i4>
      </vt:variant>
      <vt:variant>
        <vt:lpwstr>https://www.fundraisingregulator.org.uk/more-from-us/resources/charities-act-2016-fundraising-reporting-requirements-guidance</vt:lpwstr>
      </vt:variant>
      <vt:variant>
        <vt:lpwstr/>
      </vt:variant>
      <vt:variant>
        <vt:i4>4784153</vt:i4>
      </vt:variant>
      <vt:variant>
        <vt:i4>27</vt:i4>
      </vt:variant>
      <vt:variant>
        <vt:i4>0</vt:i4>
      </vt:variant>
      <vt:variant>
        <vt:i4>5</vt:i4>
      </vt:variant>
      <vt:variant>
        <vt:lpwstr>http://www.legislation.gov.uk/ukpga/2016/4/section/13</vt:lpwstr>
      </vt:variant>
      <vt:variant>
        <vt:lpwstr/>
      </vt:variant>
      <vt:variant>
        <vt:i4>4653126</vt:i4>
      </vt:variant>
      <vt:variant>
        <vt:i4>24</vt:i4>
      </vt:variant>
      <vt:variant>
        <vt:i4>0</vt:i4>
      </vt:variant>
      <vt:variant>
        <vt:i4>5</vt:i4>
      </vt:variant>
      <vt:variant>
        <vt:lpwstr>http://www.legislation.gov.uk/ukpga/2011/25/section/162A</vt:lpwstr>
      </vt:variant>
      <vt:variant>
        <vt:lpwstr/>
      </vt:variant>
      <vt:variant>
        <vt:i4>1376275</vt:i4>
      </vt:variant>
      <vt:variant>
        <vt:i4>21</vt:i4>
      </vt:variant>
      <vt:variant>
        <vt:i4>0</vt:i4>
      </vt:variant>
      <vt:variant>
        <vt:i4>5</vt:i4>
      </vt:variant>
      <vt:variant>
        <vt:lpwstr>https://www.gov.uk/government/publications/accounts-monitoring-review-public-benefit-reporting-by-charities/public-benefit-reporting-by-charities</vt:lpwstr>
      </vt:variant>
      <vt:variant>
        <vt:lpwstr/>
      </vt:variant>
      <vt:variant>
        <vt:i4>917512</vt:i4>
      </vt:variant>
      <vt:variant>
        <vt:i4>18</vt:i4>
      </vt:variant>
      <vt:variant>
        <vt:i4>0</vt:i4>
      </vt:variant>
      <vt:variant>
        <vt:i4>5</vt:i4>
      </vt:variant>
      <vt:variant>
        <vt:lpwstr>https://www.gov.uk/government/collections/charitable-purposes-and-public-benefit</vt:lpwstr>
      </vt:variant>
      <vt:variant>
        <vt:lpwstr/>
      </vt:variant>
      <vt:variant>
        <vt:i4>1048595</vt:i4>
      </vt:variant>
      <vt:variant>
        <vt:i4>15</vt:i4>
      </vt:variant>
      <vt:variant>
        <vt:i4>0</vt:i4>
      </vt:variant>
      <vt:variant>
        <vt:i4>5</vt:i4>
      </vt:variant>
      <vt:variant>
        <vt:lpwstr>https://www.charitycommissionni.org.uk/manage-your-charity/annual-reporting/</vt:lpwstr>
      </vt:variant>
      <vt:variant>
        <vt:lpwstr/>
      </vt:variant>
      <vt:variant>
        <vt:i4>4587544</vt:i4>
      </vt:variant>
      <vt:variant>
        <vt:i4>12</vt:i4>
      </vt:variant>
      <vt:variant>
        <vt:i4>0</vt:i4>
      </vt:variant>
      <vt:variant>
        <vt:i4>5</vt:i4>
      </vt:variant>
      <vt:variant>
        <vt:lpwstr>https://www.oscr.org.uk/guidance-and-forms/meeting-the-charity-test-guidance/public-benefit/</vt:lpwstr>
      </vt:variant>
      <vt:variant>
        <vt:lpwstr/>
      </vt:variant>
      <vt:variant>
        <vt:i4>74</vt:i4>
      </vt:variant>
      <vt:variant>
        <vt:i4>9</vt:i4>
      </vt:variant>
      <vt:variant>
        <vt:i4>0</vt:i4>
      </vt:variant>
      <vt:variant>
        <vt:i4>5</vt:i4>
      </vt:variant>
      <vt:variant>
        <vt:lpwstr>http://www.charitysorp.org/about-the-sorp/helpsheets/</vt:lpwstr>
      </vt:variant>
      <vt:variant>
        <vt:lpwstr/>
      </vt:variant>
      <vt:variant>
        <vt:i4>5373982</vt:i4>
      </vt:variant>
      <vt:variant>
        <vt:i4>6</vt:i4>
      </vt:variant>
      <vt:variant>
        <vt:i4>0</vt:i4>
      </vt:variant>
      <vt:variant>
        <vt:i4>5</vt:i4>
      </vt:variant>
      <vt:variant>
        <vt:lpwstr>https://www.frc.org.uk/accountants/accounting-and-reporting-policy/uk-accounting-standards/standards-in-issue/frs-102-the-financial-reporting-standard-applicabl</vt:lpwstr>
      </vt:variant>
      <vt:variant>
        <vt:lpwstr/>
      </vt:variant>
      <vt:variant>
        <vt:i4>5832782</vt:i4>
      </vt:variant>
      <vt:variant>
        <vt:i4>3</vt:i4>
      </vt:variant>
      <vt:variant>
        <vt:i4>0</vt:i4>
      </vt:variant>
      <vt:variant>
        <vt:i4>5</vt:i4>
      </vt:variant>
      <vt:variant>
        <vt:lpwstr>http://www.charitysorp.org/choose-sorp-modules/charities-sorp-frs102/</vt:lpwstr>
      </vt:variant>
      <vt:variant>
        <vt:lpwstr/>
      </vt:variant>
      <vt:variant>
        <vt:i4>1179726</vt:i4>
      </vt:variant>
      <vt:variant>
        <vt:i4>0</vt:i4>
      </vt:variant>
      <vt:variant>
        <vt:i4>0</vt:i4>
      </vt:variant>
      <vt:variant>
        <vt:i4>5</vt:i4>
      </vt:variant>
      <vt:variant>
        <vt:lpwstr>https://www.gov.uk/government/publications/charity-reporting-and-accounting-the-essentials-november-2016-cc15d/charity-reporting-and-accounting-the-essentials-november-2016-cc15d--2</vt:lpwstr>
      </vt:variant>
      <vt:variant>
        <vt:lpwstr/>
      </vt:variant>
      <vt:variant>
        <vt:i4>262167</vt:i4>
      </vt:variant>
      <vt:variant>
        <vt:i4>15</vt:i4>
      </vt:variant>
      <vt:variant>
        <vt:i4>0</vt:i4>
      </vt:variant>
      <vt:variant>
        <vt:i4>5</vt:i4>
      </vt:variant>
      <vt:variant>
        <vt:lpwstr>https://www.hfma.org.uk/publications/charitable-expenditure-staff</vt:lpwstr>
      </vt:variant>
      <vt:variant>
        <vt:lpwstr/>
      </vt:variant>
      <vt:variant>
        <vt:i4>786459</vt:i4>
      </vt:variant>
      <vt:variant>
        <vt:i4>12</vt:i4>
      </vt:variant>
      <vt:variant>
        <vt:i4>0</vt:i4>
      </vt:variant>
      <vt:variant>
        <vt:i4>5</vt:i4>
      </vt:variant>
      <vt:variant>
        <vt:lpwstr>https://www.hfma.org.uk/publications/nhs-trust-nhs-charity-recharges</vt:lpwstr>
      </vt:variant>
      <vt:variant>
        <vt:lpwstr/>
      </vt:variant>
      <vt:variant>
        <vt:i4>7798910</vt:i4>
      </vt:variant>
      <vt:variant>
        <vt:i4>9</vt:i4>
      </vt:variant>
      <vt:variant>
        <vt:i4>0</vt:i4>
      </vt:variant>
      <vt:variant>
        <vt:i4>5</vt:i4>
      </vt:variant>
      <vt:variant>
        <vt:lpwstr>https://www.nihr.ac.uk/</vt:lpwstr>
      </vt:variant>
      <vt:variant>
        <vt:lpwstr/>
      </vt:variant>
      <vt:variant>
        <vt:i4>4128794</vt:i4>
      </vt:variant>
      <vt:variant>
        <vt:i4>6</vt:i4>
      </vt:variant>
      <vt:variant>
        <vt:i4>0</vt:i4>
      </vt:variant>
      <vt:variant>
        <vt:i4>5</vt:i4>
      </vt:variant>
      <vt:variant>
        <vt:lpwstr>mailto:suze.elmore@hfma.org.uk</vt:lpwstr>
      </vt:variant>
      <vt:variant>
        <vt:lpwstr/>
      </vt:variant>
      <vt:variant>
        <vt:i4>6160448</vt:i4>
      </vt:variant>
      <vt:variant>
        <vt:i4>3</vt:i4>
      </vt:variant>
      <vt:variant>
        <vt:i4>0</vt:i4>
      </vt:variant>
      <vt:variant>
        <vt:i4>5</vt:i4>
      </vt:variant>
      <vt:variant>
        <vt:lpwstr>https://www.charitysorp.org/home</vt:lpwstr>
      </vt:variant>
      <vt:variant>
        <vt:lpwstr/>
      </vt:variant>
      <vt:variant>
        <vt:i4>1966089</vt:i4>
      </vt:variant>
      <vt:variant>
        <vt:i4>0</vt:i4>
      </vt:variant>
      <vt:variant>
        <vt:i4>0</vt:i4>
      </vt:variant>
      <vt:variant>
        <vt:i4>5</vt:i4>
      </vt:variant>
      <vt:variant>
        <vt:lpwstr>https://www.frc.org.uk/news-and-events/news/2024/03/frc-revises-uk-and-ireland-accounting-standards/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Walker</dc:creator>
  <cp:keywords/>
  <dc:description/>
  <cp:lastModifiedBy>Suze Elmore</cp:lastModifiedBy>
  <cp:revision>47</cp:revision>
  <cp:lastPrinted>2024-04-23T13:33:00Z</cp:lastPrinted>
  <dcterms:created xsi:type="dcterms:W3CDTF">2024-04-23T09:50:00Z</dcterms:created>
  <dcterms:modified xsi:type="dcterms:W3CDTF">2024-04-23T13:33:00Z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GrammarlyDocumentId">
    <vt:lpwstr>a466bdfd38d320ab2f66eadc673f9383f4d66ca6c594f3f20513e3260cdce82d</vt:lpwstr>
  </property>
  <property fmtid="{D5CDD505-2E9C-101B-9397-08002B2CF9AE}" pid="4" name="ContentTypeId">
    <vt:lpwstr>0x0101002E1E081727DD234AB3B8B13F6BF64A00</vt:lpwstr>
  </property>
</Properties>
</file>