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1498B" w:rsidRPr="0051498B" w:rsidTr="0051498B">
        <w:trPr>
          <w:trHeight w:val="3000"/>
          <w:tblCellSpacing w:w="0" w:type="dxa"/>
        </w:trPr>
        <w:tc>
          <w:tcPr>
            <w:tcW w:w="0" w:type="auto"/>
            <w:hideMark/>
          </w:tcPr>
          <w:p w:rsidR="0051498B" w:rsidRPr="0051498B" w:rsidRDefault="0051498B" w:rsidP="0051498B">
            <w:pPr>
              <w:spacing w:after="225" w:line="330" w:lineRule="atLeast"/>
              <w:outlineLvl w:val="0"/>
              <w:rPr>
                <w:rFonts w:ascii="Source Sans Pro" w:eastAsia="Times New Roman" w:hAnsi="Source Sans Pro" w:cs="Arial"/>
                <w:color w:val="0079C2"/>
                <w:kern w:val="36"/>
                <w:sz w:val="33"/>
                <w:szCs w:val="33"/>
                <w:lang w:eastAsia="en-GB"/>
              </w:rPr>
            </w:pPr>
            <w:r w:rsidRPr="0051498B">
              <w:rPr>
                <w:rFonts w:ascii="Source Sans Pro" w:eastAsia="Times New Roman" w:hAnsi="Source Sans Pro" w:cs="Arial"/>
                <w:color w:val="0079C2"/>
                <w:kern w:val="36"/>
                <w:sz w:val="33"/>
                <w:szCs w:val="33"/>
                <w:lang w:eastAsia="en-GB"/>
              </w:rPr>
              <w:t>CIMA CPD Policy</w:t>
            </w:r>
          </w:p>
          <w:p w:rsidR="0051498B" w:rsidRPr="0051498B" w:rsidRDefault="0051498B" w:rsidP="0051498B">
            <w:pPr>
              <w:spacing w:before="360" w:after="120" w:line="270" w:lineRule="atLeast"/>
              <w:outlineLvl w:val="2"/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Source Sans Pro" w:eastAsia="Times New Roman" w:hAnsi="Source Sans Pro" w:cs="Arial"/>
                <w:noProof/>
                <w:color w:val="0073B9"/>
                <w:sz w:val="27"/>
                <w:szCs w:val="27"/>
                <w:lang w:eastAsia="en-GB"/>
              </w:rPr>
              <w:drawing>
                <wp:inline distT="0" distB="0" distL="0" distR="0">
                  <wp:extent cx="1143000" cy="466725"/>
                  <wp:effectExtent l="0" t="0" r="0" b="9525"/>
                  <wp:docPr id="2" name="Picture 2" descr="CIMA CPD">
                    <a:hlinkClick xmlns:a="http://schemas.openxmlformats.org/drawingml/2006/main" r:id="rId6" tgtFrame="&quot;_blank&quot;" tooltip="&quot;CIMA CP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A CPD">
                            <a:hlinkClick r:id="rId6" tgtFrame="&quot;_blank&quot;" tooltip="&quot;CIMA CP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98B"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  <w:t> </w:t>
            </w:r>
          </w:p>
          <w:p w:rsidR="0051498B" w:rsidRPr="0051498B" w:rsidRDefault="0051498B" w:rsidP="005149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Compliance with CIMA's professional development requirements is a condition of members' regulation 15 in the royal charter, byelaws and regulations.</w:t>
            </w:r>
          </w:p>
          <w:p w:rsidR="0051498B" w:rsidRPr="0051498B" w:rsidRDefault="0051498B" w:rsidP="005149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Members are required to undertake the CIMA professional development cycle, and are required to keep CPD records for a minimum of three years on a rolling basis.</w:t>
            </w:r>
          </w:p>
          <w:p w:rsidR="0051498B" w:rsidRPr="0051498B" w:rsidRDefault="0051498B" w:rsidP="005149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Members are responsible for assessing their development goals, selecting activities, and designing their CPD programmes.</w:t>
            </w:r>
          </w:p>
          <w:p w:rsidR="0051498B" w:rsidRPr="0051498B" w:rsidRDefault="0051498B" w:rsidP="0051498B">
            <w:pPr>
              <w:spacing w:before="360" w:after="120" w:line="270" w:lineRule="atLeast"/>
              <w:outlineLvl w:val="2"/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</w:pPr>
            <w:r w:rsidRPr="0051498B"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  <w:t>Monitoring</w:t>
            </w:r>
          </w:p>
          <w:p w:rsidR="0051498B" w:rsidRPr="0051498B" w:rsidRDefault="0051498B" w:rsidP="005149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CIMA selects a random sample of its membership to monitor each year.</w:t>
            </w:r>
          </w:p>
          <w:p w:rsidR="0051498B" w:rsidRPr="0051498B" w:rsidRDefault="0051498B" w:rsidP="005149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This may be weighted to include an appropriate proportion of members with high levels of responsibility, including direct contact with the public.</w:t>
            </w:r>
          </w:p>
          <w:p w:rsidR="0051498B" w:rsidRPr="0051498B" w:rsidRDefault="0051498B" w:rsidP="005149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 xml:space="preserve">Members selected for monitoring must demonstrate that they have undertaken all the steps in the </w:t>
            </w:r>
            <w:hyperlink r:id="rId8" w:history="1">
              <w:r w:rsidRPr="0051498B">
                <w:rPr>
                  <w:rFonts w:ascii="Arial" w:eastAsia="Times New Roman" w:hAnsi="Arial" w:cs="Arial"/>
                  <w:color w:val="0073B9"/>
                  <w:sz w:val="20"/>
                  <w:szCs w:val="20"/>
                  <w:lang w:eastAsia="en-GB"/>
                </w:rPr>
                <w:t>professional development cycle</w:t>
              </w:r>
            </w:hyperlink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.</w:t>
            </w:r>
          </w:p>
          <w:p w:rsidR="0051498B" w:rsidRPr="0051498B" w:rsidRDefault="0051498B" w:rsidP="0051498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They are required to provide activity evidence by submitting a CPD record, documenting activities and outcomes.</w:t>
            </w:r>
          </w:p>
          <w:p w:rsidR="0051498B" w:rsidRPr="0051498B" w:rsidRDefault="0051498B" w:rsidP="0051498B">
            <w:pPr>
              <w:spacing w:before="360" w:after="120" w:line="270" w:lineRule="atLeast"/>
              <w:outlineLvl w:val="2"/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</w:pPr>
            <w:r w:rsidRPr="0051498B"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  <w:t>Non compliance</w:t>
            </w:r>
          </w:p>
          <w:p w:rsidR="0051498B" w:rsidRPr="0051498B" w:rsidRDefault="0051498B" w:rsidP="005149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In exceptional circumstances, members who have not complied with the CPD requirements can apply for additional time to comply.</w:t>
            </w:r>
          </w:p>
          <w:p w:rsidR="0051498B" w:rsidRPr="0051498B" w:rsidRDefault="0051498B" w:rsidP="005149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 xml:space="preserve">Requests for an extension should be sent to </w:t>
            </w:r>
            <w:hyperlink r:id="rId9" w:history="1">
              <w:r w:rsidRPr="0051498B">
                <w:rPr>
                  <w:rFonts w:ascii="Arial" w:eastAsia="Times New Roman" w:hAnsi="Arial" w:cs="Arial"/>
                  <w:color w:val="0073B9"/>
                  <w:sz w:val="20"/>
                  <w:szCs w:val="20"/>
                  <w:lang w:eastAsia="en-GB"/>
                </w:rPr>
                <w:t>cpdmonitoring@cimaglobal.com</w:t>
              </w:r>
            </w:hyperlink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.</w:t>
            </w:r>
          </w:p>
          <w:p w:rsidR="0051498B" w:rsidRPr="0051498B" w:rsidRDefault="0051498B" w:rsidP="005149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Any member who fails to comply with the CPD requirements will be referred to a panel of CPD assessors who will determine what action to take.</w:t>
            </w:r>
          </w:p>
          <w:p w:rsidR="0051498B" w:rsidRPr="0051498B" w:rsidRDefault="0051498B" w:rsidP="0051498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The panel may refer cases to the investigation committee when wilful and persistent non compliance is suspected.</w:t>
            </w:r>
          </w:p>
          <w:p w:rsidR="0051498B" w:rsidRPr="0051498B" w:rsidRDefault="0051498B" w:rsidP="0051498B">
            <w:pPr>
              <w:spacing w:before="360" w:after="120" w:line="270" w:lineRule="atLeast"/>
              <w:outlineLvl w:val="2"/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</w:pPr>
            <w:r w:rsidRPr="0051498B">
              <w:rPr>
                <w:rFonts w:ascii="Source Sans Pro" w:eastAsia="Times New Roman" w:hAnsi="Source Sans Pro" w:cs="Arial"/>
                <w:color w:val="333333"/>
                <w:sz w:val="27"/>
                <w:szCs w:val="27"/>
                <w:lang w:eastAsia="en-GB"/>
              </w:rPr>
              <w:t>Access to CGMA</w:t>
            </w:r>
          </w:p>
          <w:p w:rsidR="0051498B" w:rsidRPr="0051498B" w:rsidRDefault="0051498B" w:rsidP="00514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 xml:space="preserve">The AICPA and CIMA have formed a joint venture which powers a new designation for management accountants, the Chartered Global Management Accountant (CGMA). The CGMA is designed to elevate </w:t>
            </w:r>
            <w:hyperlink r:id="rId10" w:tgtFrame="_blank" w:tooltip="find out more on management accounting" w:history="1">
              <w:r w:rsidRPr="0051498B">
                <w:rPr>
                  <w:rFonts w:ascii="Arial" w:eastAsia="Times New Roman" w:hAnsi="Arial" w:cs="Arial"/>
                  <w:color w:val="0073B9"/>
                  <w:sz w:val="20"/>
                  <w:szCs w:val="20"/>
                  <w:lang w:eastAsia="en-GB"/>
                </w:rPr>
                <w:t>management accounting</w:t>
              </w:r>
            </w:hyperlink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and further emphasise its importance for the public and private sectors worldwide.</w:t>
            </w:r>
          </w:p>
          <w:p w:rsidR="0051498B" w:rsidRPr="0051498B" w:rsidRDefault="0051498B" w:rsidP="00514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Normally this product is only available to CIMA/CGMA members, but this link provides all NHS finance professional with a wide range of </w:t>
            </w:r>
            <w:hyperlink r:id="rId11" w:tgtFrame="_blank" w:tooltip="CGMA resources" w:history="1">
              <w:r w:rsidRPr="0051498B">
                <w:rPr>
                  <w:rFonts w:ascii="Arial" w:eastAsia="Times New Roman" w:hAnsi="Arial" w:cs="Arial"/>
                  <w:color w:val="0073B9"/>
                  <w:sz w:val="20"/>
                  <w:szCs w:val="20"/>
                  <w:lang w:eastAsia="en-GB"/>
                </w:rPr>
                <w:t>resources</w:t>
              </w:r>
            </w:hyperlink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and </w:t>
            </w:r>
            <w:hyperlink r:id="rId12" w:tgtFrame="_blank" w:tooltip="CGMA learning opportunities" w:history="1">
              <w:r w:rsidRPr="0051498B">
                <w:rPr>
                  <w:rFonts w:ascii="Arial" w:eastAsia="Times New Roman" w:hAnsi="Arial" w:cs="Arial"/>
                  <w:color w:val="0073B9"/>
                  <w:sz w:val="20"/>
                  <w:szCs w:val="20"/>
                  <w:lang w:eastAsia="en-GB"/>
                </w:rPr>
                <w:t>learning opportunities</w:t>
              </w:r>
            </w:hyperlink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, that can be used as part of their continued professional development’.</w:t>
            </w:r>
          </w:p>
          <w:p w:rsidR="0051498B" w:rsidRPr="0051498B" w:rsidRDefault="0051498B" w:rsidP="005149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hyperlink r:id="rId13" w:tgtFrame="_blank" w:tooltip="access the CGMA portal" w:history="1">
              <w:r w:rsidRPr="0051498B">
                <w:rPr>
                  <w:rFonts w:ascii="Arial" w:eastAsia="Times New Roman" w:hAnsi="Arial" w:cs="Arial"/>
                  <w:color w:val="0073B9"/>
                  <w:sz w:val="20"/>
                  <w:szCs w:val="20"/>
                  <w:lang w:eastAsia="en-GB"/>
                </w:rPr>
                <w:t>Click here</w:t>
              </w:r>
            </w:hyperlink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 xml:space="preserve"> to access to the CGMA portal</w:t>
            </w:r>
          </w:p>
          <w:p w:rsidR="0051498B" w:rsidRPr="0051498B" w:rsidRDefault="0051498B" w:rsidP="0051498B">
            <w:pPr>
              <w:spacing w:after="0" w:line="240" w:lineRule="auto"/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</w:pPr>
            <w:r w:rsidRPr="0051498B">
              <w:rPr>
                <w:rFonts w:ascii="Arial" w:eastAsia="Times New Roman" w:hAnsi="Arial" w:cs="Arial"/>
                <w:color w:val="706F6F"/>
                <w:sz w:val="20"/>
                <w:szCs w:val="20"/>
                <w:lang w:eastAsia="en-GB"/>
              </w:rPr>
              <w:t> </w:t>
            </w:r>
          </w:p>
        </w:tc>
      </w:tr>
    </w:tbl>
    <w:p w:rsidR="0051498B" w:rsidRPr="0051498B" w:rsidRDefault="0051498B" w:rsidP="0051498B">
      <w:pPr>
        <w:spacing w:after="0" w:line="240" w:lineRule="auto"/>
        <w:rPr>
          <w:rFonts w:ascii="Arial" w:eastAsia="Times New Roman" w:hAnsi="Arial" w:cs="Arial"/>
          <w:b/>
          <w:bCs/>
          <w:color w:val="0079C2"/>
          <w:sz w:val="17"/>
          <w:szCs w:val="17"/>
          <w:lang w:eastAsia="en-GB"/>
        </w:rPr>
      </w:pPr>
      <w:hyperlink r:id="rId14" w:history="1">
        <w:r w:rsidRPr="0051498B">
          <w:rPr>
            <w:rFonts w:ascii="Arial" w:eastAsia="Times New Roman" w:hAnsi="Arial" w:cs="Arial"/>
            <w:b/>
            <w:bCs/>
            <w:color w:val="0073B9"/>
            <w:sz w:val="17"/>
            <w:szCs w:val="17"/>
            <w:lang w:eastAsia="en-GB"/>
          </w:rPr>
          <w:t>Site Map</w:t>
        </w:r>
      </w:hyperlink>
      <w:r w:rsidRPr="0051498B">
        <w:rPr>
          <w:rFonts w:ascii="Arial" w:eastAsia="Times New Roman" w:hAnsi="Arial" w:cs="Arial"/>
          <w:b/>
          <w:bCs/>
          <w:color w:val="0079C2"/>
          <w:sz w:val="17"/>
          <w:szCs w:val="17"/>
          <w:lang w:eastAsia="en-GB"/>
        </w:rPr>
        <w:t xml:space="preserve">  |  </w:t>
      </w:r>
      <w:hyperlink r:id="rId15" w:tgtFrame="_self" w:history="1">
        <w:r w:rsidRPr="0051498B">
          <w:rPr>
            <w:rFonts w:ascii="Arial" w:eastAsia="Times New Roman" w:hAnsi="Arial" w:cs="Arial"/>
            <w:b/>
            <w:bCs/>
            <w:color w:val="0073B9"/>
            <w:sz w:val="17"/>
            <w:szCs w:val="17"/>
            <w:lang w:eastAsia="en-GB"/>
          </w:rPr>
          <w:t>Accessibility</w:t>
        </w:r>
      </w:hyperlink>
      <w:r w:rsidRPr="0051498B">
        <w:rPr>
          <w:rFonts w:ascii="Arial" w:eastAsia="Times New Roman" w:hAnsi="Arial" w:cs="Arial"/>
          <w:b/>
          <w:bCs/>
          <w:color w:val="0079C2"/>
          <w:sz w:val="17"/>
          <w:szCs w:val="17"/>
          <w:lang w:eastAsia="en-GB"/>
        </w:rPr>
        <w:t xml:space="preserve"> </w:t>
      </w:r>
    </w:p>
    <w:p w:rsidR="0051498B" w:rsidRPr="0051498B" w:rsidRDefault="0051498B" w:rsidP="0051498B">
      <w:p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en-GB"/>
        </w:rPr>
      </w:pPr>
      <w:r w:rsidRPr="0051498B">
        <w:rPr>
          <w:rFonts w:ascii="Arial" w:eastAsia="Times New Roman" w:hAnsi="Arial" w:cs="Arial"/>
          <w:color w:val="231F20"/>
          <w:sz w:val="18"/>
          <w:szCs w:val="18"/>
          <w:lang w:eastAsia="en-GB"/>
        </w:rPr>
        <w:t>This is a public site, and non-NHS employees are welcome to access</w:t>
      </w:r>
      <w:r w:rsidRPr="0051498B">
        <w:rPr>
          <w:rFonts w:ascii="Arial" w:eastAsia="Times New Roman" w:hAnsi="Arial" w:cs="Arial"/>
          <w:color w:val="231F20"/>
          <w:sz w:val="18"/>
          <w:szCs w:val="18"/>
          <w:lang w:eastAsia="en-GB"/>
        </w:rPr>
        <w:br/>
        <w:t>the information. It should be noted that materials are Crown</w:t>
      </w:r>
      <w:r w:rsidRPr="0051498B">
        <w:rPr>
          <w:rFonts w:ascii="Arial" w:eastAsia="Times New Roman" w:hAnsi="Arial" w:cs="Arial"/>
          <w:color w:val="231F20"/>
          <w:sz w:val="18"/>
          <w:szCs w:val="18"/>
          <w:lang w:eastAsia="en-GB"/>
        </w:rPr>
        <w:br/>
        <w:t xml:space="preserve">copyright, and that the information is targeted at NHS employees. </w:t>
      </w:r>
    </w:p>
    <w:p w:rsidR="0051498B" w:rsidRPr="0051498B" w:rsidRDefault="0051498B" w:rsidP="0051498B">
      <w:pPr>
        <w:spacing w:after="0" w:line="240" w:lineRule="auto"/>
        <w:rPr>
          <w:rFonts w:ascii="Arial" w:eastAsia="Times New Roman" w:hAnsi="Arial" w:cs="Arial"/>
          <w:color w:val="706F6F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706F6F"/>
          <w:sz w:val="20"/>
          <w:szCs w:val="20"/>
          <w:lang w:eastAsia="en-GB"/>
        </w:rPr>
        <w:drawing>
          <wp:inline distT="0" distB="0" distL="0" distR="0">
            <wp:extent cx="2543175" cy="171450"/>
            <wp:effectExtent l="0" t="0" r="9525" b="0"/>
            <wp:docPr id="1" name="Picture 1" descr="NHS Finance Skill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inance Skill Develop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DB" w:rsidRDefault="006B36DB">
      <w:bookmarkStart w:id="0" w:name="_GoBack"/>
      <w:bookmarkEnd w:id="0"/>
    </w:p>
    <w:sectPr w:rsidR="006B3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3DC"/>
    <w:multiLevelType w:val="multilevel"/>
    <w:tmpl w:val="7DE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D3DF1"/>
    <w:multiLevelType w:val="multilevel"/>
    <w:tmpl w:val="1E0C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765FA"/>
    <w:multiLevelType w:val="multilevel"/>
    <w:tmpl w:val="026E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DE"/>
    <w:rsid w:val="0051498B"/>
    <w:rsid w:val="005674DE"/>
    <w:rsid w:val="006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98B"/>
    <w:pPr>
      <w:spacing w:after="225" w:line="330" w:lineRule="atLeast"/>
      <w:outlineLvl w:val="0"/>
    </w:pPr>
    <w:rPr>
      <w:rFonts w:ascii="Source Sans Pro" w:eastAsia="Times New Roman" w:hAnsi="Source Sans Pro" w:cs="Times New Roman"/>
      <w:color w:val="0079C2"/>
      <w:kern w:val="36"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1498B"/>
    <w:pPr>
      <w:spacing w:before="360" w:after="120" w:line="270" w:lineRule="atLeast"/>
      <w:outlineLvl w:val="2"/>
    </w:pPr>
    <w:rPr>
      <w:rFonts w:ascii="Source Sans Pro" w:eastAsia="Times New Roman" w:hAnsi="Source Sans Pro" w:cs="Times New Roman"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98B"/>
    <w:rPr>
      <w:rFonts w:ascii="Source Sans Pro" w:eastAsia="Times New Roman" w:hAnsi="Source Sans Pro" w:cs="Times New Roman"/>
      <w:color w:val="0079C2"/>
      <w:kern w:val="36"/>
      <w:sz w:val="33"/>
      <w:szCs w:val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1498B"/>
    <w:rPr>
      <w:rFonts w:ascii="Source Sans Pro" w:eastAsia="Times New Roman" w:hAnsi="Source Sans Pro" w:cs="Times New Roman"/>
      <w:color w:val="33333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498B"/>
    <w:rPr>
      <w:strike w:val="0"/>
      <w:dstrike w:val="0"/>
      <w:color w:val="0073B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98B"/>
    <w:pPr>
      <w:spacing w:after="225" w:line="330" w:lineRule="atLeast"/>
      <w:outlineLvl w:val="0"/>
    </w:pPr>
    <w:rPr>
      <w:rFonts w:ascii="Source Sans Pro" w:eastAsia="Times New Roman" w:hAnsi="Source Sans Pro" w:cs="Times New Roman"/>
      <w:color w:val="0079C2"/>
      <w:kern w:val="36"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1498B"/>
    <w:pPr>
      <w:spacing w:before="360" w:after="120" w:line="270" w:lineRule="atLeast"/>
      <w:outlineLvl w:val="2"/>
    </w:pPr>
    <w:rPr>
      <w:rFonts w:ascii="Source Sans Pro" w:eastAsia="Times New Roman" w:hAnsi="Source Sans Pro" w:cs="Times New Roman"/>
      <w:color w:val="33333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98B"/>
    <w:rPr>
      <w:rFonts w:ascii="Source Sans Pro" w:eastAsia="Times New Roman" w:hAnsi="Source Sans Pro" w:cs="Times New Roman"/>
      <w:color w:val="0079C2"/>
      <w:kern w:val="36"/>
      <w:sz w:val="33"/>
      <w:szCs w:val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1498B"/>
    <w:rPr>
      <w:rFonts w:ascii="Source Sans Pro" w:eastAsia="Times New Roman" w:hAnsi="Source Sans Pro" w:cs="Times New Roman"/>
      <w:color w:val="33333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498B"/>
    <w:rPr>
      <w:strike w:val="0"/>
      <w:dstrike w:val="0"/>
      <w:color w:val="0073B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1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aglobal.com/Members/CIMA-Professional-Development/Planning-your-CPD/CIMA-professional-development-cycle/" TargetMode="External"/><Relationship Id="rId13" Type="http://schemas.openxmlformats.org/officeDocument/2006/relationships/hyperlink" Target="http://www.cgma.org/Resources/Pages/ResourcesDefault.aspx?token=8011cb46-11fc-4dcc-b9d5-c62ac131073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cgma.org/Development/Page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cimaglobal.com/Members/FAQs/What-is-CPD-and-its-requirements/" TargetMode="External"/><Relationship Id="rId11" Type="http://schemas.openxmlformats.org/officeDocument/2006/relationships/hyperlink" Target="http://www.cgma.org/Resources/Pages/Resources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dnetwork.com/accessibility" TargetMode="External"/><Relationship Id="rId10" Type="http://schemas.openxmlformats.org/officeDocument/2006/relationships/hyperlink" Target="http://www.cgma.org/BecomeACGMA/mgmt-acctg/Pages/what-is-management-account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dmonitoring@cimaglobal.com" TargetMode="External"/><Relationship Id="rId14" Type="http://schemas.openxmlformats.org/officeDocument/2006/relationships/hyperlink" Target="http://www.fsdnetwork.com/site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Rowe</dc:creator>
  <cp:keywords/>
  <dc:description/>
  <cp:lastModifiedBy>Sophie Rowe</cp:lastModifiedBy>
  <cp:revision>2</cp:revision>
  <dcterms:created xsi:type="dcterms:W3CDTF">2014-12-19T15:52:00Z</dcterms:created>
  <dcterms:modified xsi:type="dcterms:W3CDTF">2014-12-19T15:52:00Z</dcterms:modified>
</cp:coreProperties>
</file>